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e1057dabf7101c796f791bc61dc6101f2b6f291"/>
    <w:p>
      <w:pPr>
        <w:pStyle w:val="Heading1"/>
      </w:pPr>
      <w:r>
        <w:t xml:space="preserve">Internationalization and Firm Performance across 50 Asian and Pacific Economies: Institutional Regimes, Digital Capabilities, and Managerial Characteristics as Contingency Factors</w:t>
      </w:r>
    </w:p>
    <w:p>
      <w:r>
        <w:pict>
          <v:rect style="width:0;height:1.5pt" o:hralign="center" o:hrstd="t" o:hr="t"/>
        </w:pict>
      </w:r>
    </w:p>
    <w:p>
      <w:pPr>
        <w:pStyle w:val="BlockText"/>
      </w:pPr>
      <w:r>
        <w:t xml:space="preserve">reproduce exactly (M2 quadratic N=81,022, TP=51.5%; M4 +TCI+DAI N=79,080, TP=43.6%).</w:t>
      </w:r>
      <w:r>
        <w:t xml:space="preserve"> </w:t>
      </w:r>
      <w:r>
        <w:t xml:space="preserve">digital-adoption (DAI) curve-reshaping interactions are</w:t>
      </w:r>
      <w:r>
        <w:t xml:space="preserve"> </w:t>
      </w:r>
      <w:r>
        <w:rPr>
          <w:bCs/>
          <w:b/>
        </w:rPr>
        <w:t xml:space="preserve">not</w:t>
      </w:r>
      <w:r>
        <w:t xml:space="preserve"> </w:t>
      </w:r>
      <w:r>
        <w:t xml:space="preserve">significant — DAI is</w:t>
      </w:r>
      <w:r>
        <w:t xml:space="preserve"> </w:t>
      </w:r>
      <w:r>
        <w:t xml:space="preserve">before journal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88,869 firms across 50 economies and 103 country-year waves of the World Bank Enterprise Survey (2003–2025; including Japan's inaugural 2025 wave), spanning all six Institutional Context Regime Variation (ICRV) groups, we estimate a hierarchical sequence of models on currency-neutral labour productivity (standardised within economy-year) with two-way (economy and year) fixed effects throughout and standard errors clustered by economy. We find robust support for an inverted-U I–P relationship: the quadratic baseline (M2, N=81,022) yields a turning point of 51.5% of export sales, tightening to 43.6% once technological capability and digital adoption are controlled (M4, N=79,080; Lind–Mehlum p &lt; .001 throughout). Technological capability (TCI, +0.108) and digital adoption (DAI, +0.219) both raise the performance level, but neither significantly reshapes the pooled curve — both are level-shifters, not curve-reshapers. The curve structure is instead governed by institutional regime: estimating the turning point within each ICRV group reveals a three-zone pattern — a sharp inverted-U in the lower-middle transition regime (TP ≈ 43%), a near-linear relationship in the strongest-institution regime (turning point beyond the observable range, ≈ 80%), and dissolution of the inverted-U in the weakest regimes (Emerging ≈ 37%; the Pacific SIDS group shows no inverted-U). Female top management carries a negative coefficient (−0.104, p &lt; .001). These findings offer a parsimonious resolution to Asian I–P heterogeneity: the relationship is inverted-U in form, but it is institutional regime — not capability per se — that determines whether the inverted-U is sharp, straightened, or absent.</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88,869 firm-observations from 50 Asian and Pacific economies spanning 2003–2025 (including Japan's inaugural 2025 wave), harmonised from the World Bank Enterprise Survey (WBES). Our sample spans all six ICRV regime groups — from advanced innovation-driven economies (Japan, Singapore, Korea, Taiwan, HongKong, Israel) to Pacific Small Island Developing States (Vanuatu, Solomon Islands, Fiji, Tonga, Samoa, Kiribati, Papua New Guinea) and Gulf advanced-resource economies (Bahrain, Kuwait, Qatar, Brunei, Saudi Arabia, Oman) — classified through the Institutional Context Regime Variation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capability-adjusted turning point of 43.6% foreign sales intensity (51.5% in the unconditioned quadratic; Lind–Mehlum p &lt; .001 throughout) on a harmonised 50-economy frame. Second, we show that both technological capability (TCI, +0.108) and digital adoption (DAI, +0.219) are strong performance</w:t>
      </w:r>
      <w:r>
        <w:t xml:space="preserve"> </w:t>
      </w:r>
      <w:r>
        <w:rPr>
          <w:bCs/>
          <w:b/>
        </w:rPr>
        <w:t xml:space="preserve">level-shifters</w:t>
      </w:r>
      <w:r>
        <w:t xml:space="preserve"> </w:t>
      </w:r>
      <w:r>
        <w:t xml:space="preserve">but that neither significantly reshapes the pooled I–P curve — a finding that disciplines capability-centred accounts of internationalization performance. Third, and most consequentially, we show that the</w:t>
      </w:r>
      <w:r>
        <w:t xml:space="preserve"> </w:t>
      </w:r>
      <w:r>
        <w:rPr>
          <w:bCs/>
          <w:b/>
        </w:rPr>
        <w:t xml:space="preserve">shape</w:t>
      </w:r>
      <w:r>
        <w:t xml:space="preserve"> </w:t>
      </w:r>
      <w:r>
        <w:t xml:space="preserve">of the curve is governed by institutional regime, and not as a smooth gradient but as a three-zone structure: a sharp inverted-U in transition economies (turning point ≈ 43%), near-linearity in the strongest-institution economies (turning point beyond the observable range), and dissolution — reversing into a Forced Internationalization Penalty among the Pacific SIDS — in the weakest regimes.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Xce0b9068aa677089fdc23e66f61b75516af2bf7"/>
    <w:p>
      <w:pPr>
        <w:pStyle w:val="Heading2"/>
      </w:pPr>
      <w:r>
        <w:t xml:space="preserve">2. Theoretical Framework and Hypotheses</w:t>
      </w:r>
    </w:p>
    <w:bookmarkStart w:id="22" w:name="X61eb865d3ba9c18e1eda9971096f2566a95b0ec"/>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Xf68c2510db72354551e5b442c06e6149a212286"/>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804c25e8bdbf8eade8cd93fdb8dbf851f3c8515"/>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Xf9645264d48ebb644ff7e280396113254c384c7"/>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Xfde2382d547d6bd016a370b8abd9bb51c6ab875"/>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c04b0d08a7461e173e211ec4b938149d2f7c8bf"/>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X0acb0ebe9609c9b4cd27b2f0dbe81194406b82a"/>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This motivates examining whether any curve-shaping role of digital capability (predicted by H3) is concentrated in weaker-institution economies rather than uniform across the pool — a prediction we assess through the within-regime turning-point analysis (Table 4), since the reconciled pooled models find no significant DAI curve-reshaping (H3 level effect confirmed, curvature NS).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X5eb800a903106e48a684e9ea9de39ed619b9df8"/>
    <w:p>
      <w:pPr>
        <w:pStyle w:val="Heading2"/>
      </w:pPr>
      <w:r>
        <w:t xml:space="preserve">3. Data and Methods</w:t>
      </w:r>
    </w:p>
    <w:bookmarkStart w:id="30" w:name="X180323993af082d7b264d69830cacecf330a102"/>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50 Asian and Pacific economies across 103 country-year waves spanning 2003–2025, including Japan's inaugural WBES wave (2025).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frame contains 88,869 firm-observations across 50 economies and 103 country-year pairs; the main regression sample (outcome and FSTS non-missing) is 81,022. Some early waves predate the digital-capability and manager variables used in the moderation models; they contribute to the baseline models but drop from later specifications due to item missingness.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Xbcf9f12e79107fa2c089aaf13fc6c4fb773f1c2"/>
    <w:p>
      <w:pPr>
        <w:pStyle w:val="Heading3"/>
      </w:pPr>
      <w:r>
        <w:t xml:space="preserve">3.2 Variables</w:t>
      </w:r>
    </w:p>
    <w:p>
      <w:pPr>
        <w:pStyle w:val="FirstParagraph"/>
      </w:pPr>
      <w:r>
        <w:rPr>
          <w:bCs/>
          <w:b/>
        </w:rPr>
        <w:t xml:space="preserve">Dependent variable.</w:t>
      </w:r>
      <w:r>
        <w:t xml:space="preserve"> </w:t>
      </w:r>
      <w:r>
        <w:t xml:space="preserve">Labour productivity is log annual sales per permanent worker, ln(LP) = ln(d2 / l1), winsorised at the 1st/99th percentiles within each survey wave and then</w:t>
      </w:r>
      <w:r>
        <w:t xml:space="preserve"> </w:t>
      </w:r>
      <w:r>
        <w:rPr>
          <w:bCs/>
          <w:b/>
        </w:rPr>
        <w:t xml:space="preserve">standardised within each economy-year cell</w:t>
      </w:r>
      <w:r>
        <w:t xml:space="preserve"> </w:t>
      </w:r>
      <w:r>
        <w:t xml:space="preserve">(lp_z, mean 0 / SD 1). Standardising within economy-year removes the nominal-currency and price-level differences that would otherwise contaminate cross-economy comparison of raw sales-per-worker, so the I–P slope is identified from within-cell variation; all models additionally carry two-way (economy and year) fixed effects.</w:t>
      </w:r>
    </w:p>
    <w:p>
      <w:pPr>
        <w:pStyle w:val="BodyText"/>
      </w:pPr>
      <w:r>
        <w:rPr>
          <w:bCs/>
          <w:b/>
        </w:rPr>
        <w:t xml:space="preserve">Foreign sales intensity (FSTS).</w:t>
      </w:r>
      <w:r>
        <w:t xml:space="preserve"> </w:t>
      </w:r>
      <w:r>
        <w:t xml:space="preserve">Defined as the share of sales from exports, both direct and indirect, (d3b + d3c) / 100, ranging from 0 to 1. We mean-centre FSTS at the sample mean for quadratic and interaction models (fsts_c); the quadratic term fsts_c² is computed from the centred value. The sample mean is 9.0%.</w:t>
      </w:r>
    </w:p>
    <w:p>
      <w:pPr>
        <w:pStyle w:val="BodyText"/>
      </w:pPr>
      <w:r>
        <w:rPr>
          <w:bCs/>
          <w:b/>
        </w:rPr>
        <w:t xml:space="preserve">Technological capability index (TCI_z).</w:t>
      </w:r>
      <w:r>
        <w:t xml:space="preserve"> </w:t>
      </w:r>
      <w:r>
        <w:t xml:space="preserve">A two-item composite of R&amp;D activity (h8) and internationally recognised quality certification (b8), standardised to mean 0, SD 1 within economy-year.</w:t>
      </w:r>
    </w:p>
    <w:p>
      <w:pPr>
        <w:pStyle w:val="BodyText"/>
      </w:pPr>
      <w:r>
        <w:rPr>
          <w:bCs/>
          <w:b/>
        </w:rPr>
        <w:t xml:space="preserve">Digital adoption index (DAI).</w:t>
      </w:r>
      <w:r>
        <w:t xml:space="preserve"> </w:t>
      </w:r>
      <w:r>
        <w:t xml:space="preserve">Website presence (c22b), a binary Tier-1 indicator of digital participation.</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M8 (its main effect absorbed by economy fixed effects) and as the grouping variable for the within-regime turning-point analysis (Table 4).</w:t>
      </w:r>
    </w:p>
    <w:bookmarkEnd w:id="31"/>
    <w:bookmarkStart w:id="32" w:name="X88d3b635b18ee197bee6ec760e4576787847be1"/>
    <w:p>
      <w:pPr>
        <w:pStyle w:val="Heading3"/>
      </w:pPr>
      <w:r>
        <w:t xml:space="preserve">3.3 Estimation Strategy</w:t>
      </w:r>
    </w:p>
    <w:p>
      <w:pPr>
        <w:pStyle w:val="FirstParagraph"/>
      </w:pPr>
      <w:r>
        <w:t xml:space="preserve">We estimate a hierarchical sequence of eight models (Table 2). All models carry two-way (economy and year) fixed effects and cluster-robust standard errors by economy (CRV1). The ladder runs from the linear baseline (M1) and the quadratic anchor (M2), through demographic controls (M3) and the capability block (M4: TCI and DAI), to the capability-moderation (M5: FSTS×TCI; M6: FSTS×DAI), manager (M7), and institutional-regime moderation (M8: FSTS×ICRV) specifications.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(M5–M8), we include interaction terms FSTS×moderator and FSTS²×moderator and report the individual coefficient p-values.</w:t>
      </w:r>
    </w:p>
    <w:bookmarkEnd w:id="32"/>
    <w:bookmarkStart w:id="33" w:name="X7306ee6cc650c2a8c74023d786fd3b6ffa0ad4b"/>
    <w:p>
      <w:pPr>
        <w:pStyle w:val="Heading3"/>
      </w:pPr>
      <w:r>
        <w:t xml:space="preserve">3.4 Sample Sizes</w:t>
      </w:r>
    </w:p>
    <w:p>
      <w:pPr>
        <w:pStyle w:val="FirstParagraph"/>
      </w:pPr>
      <w:r>
        <w:t xml:space="preserve">The analytic frame is 88,869 firms across 50 economies. The quadratic anchor (M2: outcome + FSTS non-missing) is N = 81,022. Adding the capability block (M4: TCI and DAI) gives N = 79,080; demographic controls (M3) N = 78,970; the manager models (M7) drop to N = 75,029 because manager experience and gender are missing in some waves. The modest attrition across the ladder reflects item missingness in the moderator and manager variables, which is more prevalent in smaller economies and early WBES waves. All N's are reproducible via</w:t>
      </w:r>
      <w:r>
        <w:t xml:space="preserve"> </w:t>
      </w:r>
      <w:r>
        <w:rPr>
          <w:rStyle w:val="VerbatimChar"/>
        </w:rPr>
        <w:t xml:space="preserve">scripts/p7_full_ladder.py</w:t>
      </w:r>
      <w:r>
        <w:t xml:space="preserve">.</w:t>
      </w:r>
    </w:p>
    <w:p>
      <w:r>
        <w:pict>
          <v:rect style="width:0;height:1.5pt" o:hralign="center" o:hrstd="t" o:hr="t"/>
        </w:pict>
      </w:r>
    </w:p>
    <w:bookmarkEnd w:id="33"/>
    <w:bookmarkEnd w:id="34"/>
    <w:bookmarkStart w:id="42" w:name="X121719332867ee227f0a04b486098cee978c6e6"/>
    <w:p>
      <w:pPr>
        <w:pStyle w:val="Heading2"/>
      </w:pPr>
      <w:r>
        <w:t xml:space="preserve">4. Results</w:t>
      </w:r>
    </w:p>
    <w:bookmarkStart w:id="35" w:name="X1a3b7383b8b125b3d271986dbdfbc78bb7f954a"/>
    <w:p>
      <w:pPr>
        <w:pStyle w:val="Heading3"/>
      </w:pPr>
      <w:r>
        <w:t xml:space="preserve">4.1 Descriptive Statistics and Correlations</w:t>
      </w:r>
    </w:p>
    <w:p>
      <w:pPr>
        <w:pStyle w:val="FirstParagraph"/>
      </w:pPr>
      <w:r>
        <w:t xml:space="preserve">The full analytic sample spans 50 economies and 103 country-year waves. The mean FSTS across firms is approximately 9% (median ≈ 0), reflecting the fact that most WBES firms are domestically oriented; exporters (FSTS &gt; 0) represent roughly one in five firms. Because the dependent variable is standardised within each economy-year cell, productivity is directly comparable within the estimation regardless of national currency or price level. Pairwise correlations among focal variables are modest, and variance inflation factors in the full model are below 3.5, ruling out multicollinearity concerns.</w:t>
      </w:r>
    </w:p>
    <w:bookmarkEnd w:id="35"/>
    <w:bookmarkStart w:id="36" w:name="Xdbf83b4a83d0a9c63e43fc4d25cefed1772f7cd"/>
    <w:p>
      <w:pPr>
        <w:pStyle w:val="Heading3"/>
      </w:pPr>
      <w:r>
        <w:t xml:space="preserve">4.2 Main Effect: Inverted-U (H1)</w:t>
      </w:r>
    </w:p>
    <w:p>
      <w:pPr>
        <w:pStyle w:val="FirstParagraph"/>
      </w:pPr>
      <w:r>
        <w:rPr>
          <w:iCs/>
          <w:i/>
        </w:rPr>
        <w:t xml:space="preserve">Table 2, Models M1–M4.</w:t>
      </w:r>
    </w:p>
    <w:p>
      <w:pPr>
        <w:pStyle w:val="BodyText"/>
      </w:pPr>
      <w:r>
        <w:t xml:space="preserve">The linear baseline (M1) yields a positive but small FSTS slope (β = +0.219, p = .002). Adding the quadratic term (M2, N=81,022) yields β₁ = +1.188 (p &lt; .001) and β₂ = −1.398 (p &lt; .001), consistent with an inverted-U. Following Haans, Pieters, and He (2016), the formal conditions for a genuine inverted-U are satisfied: (C1) β₁ &gt; 0 (p &lt; .001), a positive ascending limb; (C2) β₂ &lt; 0 (p &lt; .001), concavity; (C3) the turning point TP ≈ 51.5% lies within the observed FSTS range; and (C4) the marginal effect is positive at the lower boundary and negative at the upper boundary, with opposite signs confirmed by the Lind–Mehlum (2010) test (joint p &lt; .001). The turning point tightens as capability is controlled: adding demographic controls (M3) gives TP = 43.8%, and adding technological capability and digital adoption (M4, N=79,080) gives TP = 43.6% — the headline estimate, matching the dissertation's canonical value. The stability of the turning point in the low-to-mid-40% range once capability is held constant indicates that the inverted-U is not an artefact of capability-based selection into exporting.</w:t>
      </w:r>
    </w:p>
    <w:p>
      <w:pPr>
        <w:pStyle w:val="BodyText"/>
      </w:pPr>
      <w:r>
        <w:rPr>
          <w:bCs/>
          <w:b/>
        </w:rPr>
        <w:t xml:space="preserve">H1 is supported.</w:t>
      </w:r>
      <w:r>
        <w:t xml:space="preserve"> </w:t>
      </w:r>
      <w:r>
        <w:t xml:space="preserve">The I–P relationship is robustly inverted-U in the pooled sample of 50 Asian and Pacific economies, with a capability-adjusted turning point of 43.6% foreign sales intensity (51.5% in the unconditioned quadratic).</w:t>
      </w:r>
    </w:p>
    <w:bookmarkEnd w:id="36"/>
    <w:bookmarkStart w:id="37" w:name="X9595a9bb339e08d65399a059096afa9ae72a457"/>
    <w:p>
      <w:pPr>
        <w:pStyle w:val="Heading3"/>
      </w:pPr>
      <w:r>
        <w:t xml:space="preserve">4.3 Technological Capability Moderation (H2)</w:t>
      </w:r>
    </w:p>
    <w:p>
      <w:pPr>
        <w:pStyle w:val="FirstParagraph"/>
      </w:pPr>
      <w:r>
        <w:rPr>
          <w:iCs/>
          <w:i/>
        </w:rPr>
        <w:t xml:space="preserve">Table 2/3, Models M4–M5.</w:t>
      </w:r>
    </w:p>
    <w:p>
      <w:pPr>
        <w:pStyle w:val="BodyText"/>
      </w:pPr>
      <w:r>
        <w:t xml:space="preserve">Technological capability enters with a positive and highly significant level effect (M4: TCI = +0.108, p &lt; .001): higher-capability firms are more productive at every level of internationalization. The interaction model M5 adds FSTS×TCI and FSTS²×TCI; neither is significant (FSTS×TCI = +0.068, FSTS²×TCI = −0.119, both p &gt; .10), and the turning point is essentially unchanged (TP = 44.0%). Capability raises the floor; it does not bend the curve.</w:t>
      </w:r>
    </w:p>
    <w:p>
      <w:pPr>
        <w:pStyle w:val="BodyText"/>
      </w:pPr>
      <w:r>
        <w:rPr>
          <w:bCs/>
          <w:b/>
        </w:rPr>
        <w:t xml:space="preserve">H2 is partially supported (level effect confirmed; curvature effects NS).</w:t>
      </w:r>
      <w:r>
        <w:t xml:space="preserve"> </w:t>
      </w:r>
      <w:r>
        <w:t xml:space="preserve">TCI is a foundational level-shifter across the 50-economy pool. The curve-moderation found in single-country studies (P3 Vietnam, P5 China) does not survive aggregation across the institutionally diverse pool, consistent with capability's curve-shaping role being institution-contingent rather than universal.</w:t>
      </w:r>
    </w:p>
    <w:bookmarkEnd w:id="37"/>
    <w:bookmarkStart w:id="38" w:name="X151158cb9bb4ce58412a9381bb2aaa4f708d4d3"/>
    <w:p>
      <w:pPr>
        <w:pStyle w:val="Heading3"/>
      </w:pPr>
      <w:r>
        <w:t xml:space="preserve">4.4 Digital Adoption Moderation (H3)</w:t>
      </w:r>
    </w:p>
    <w:p>
      <w:pPr>
        <w:pStyle w:val="FirstParagraph"/>
      </w:pPr>
      <w:r>
        <w:rPr>
          <w:iCs/>
          <w:i/>
        </w:rPr>
        <w:t xml:space="preserve">Table 2/3, Models M4 and M6.</w:t>
      </w:r>
    </w:p>
    <w:p>
      <w:pPr>
        <w:pStyle w:val="BodyText"/>
      </w:pPr>
      <w:r>
        <w:t xml:space="preserve">Digital adoption carries the largest capability level effect in the model (M4: DAI = +0.219, p &lt; .001) — a substantial productivity premium for firms with a web presence. The interaction model M6 adds FSTS×DAI and FSTS²×DAI to test whether digital adoption reshapes the curve; on this canonical specification, neither interaction is significant (FSTS×DAI = −0.270, FSTS²×DAI = +0.252, both p &gt; .10), and the turning point is essentially unchanged (TP = 47.1%). The curve-reshaping role attributed to DAI in an earlier draft does not survive re-estimation on the within-economy-year-standardised, two-way-fixed-effects specification: DAI behaves as a level-shifter, not a curve-reshaper, in the pooled sample.</w:t>
      </w:r>
    </w:p>
    <w:p>
      <w:pPr>
        <w:pStyle w:val="BodyText"/>
      </w:pPr>
      <w:r>
        <w:rPr>
          <w:bCs/>
          <w:b/>
        </w:rPr>
        <w:t xml:space="preserve">H3 is partially supported (level effect confirmed; curvature effects NS).</w:t>
      </w:r>
      <w:r>
        <w:t xml:space="preserve"> </w:t>
      </w:r>
      <w:r>
        <w:t xml:space="preserve">Digital adoption raises firm performance substantially but does not significantly reshape the pooled I–P curve. The "digital shield" effect (DAI attenuating the descending limb) documented in the single-country Singapore study (P4) is not detectable once aggregated across the 50-economy pool — again consistent with the curve-shaping role of digital capability being institution-contingent rather than universal.</w:t>
      </w:r>
    </w:p>
    <w:bookmarkEnd w:id="38"/>
    <w:bookmarkStart w:id="39" w:name="X8c2848f12d916aaecc7d070f2d4e848d015e61e"/>
    <w:p>
      <w:pPr>
        <w:pStyle w:val="Heading3"/>
      </w:pPr>
      <w:r>
        <w:t xml:space="preserve">4.5 Managerial Characteristics (H4)</w:t>
      </w:r>
    </w:p>
    <w:p>
      <w:pPr>
        <w:pStyle w:val="FirstParagraph"/>
      </w:pPr>
      <w:r>
        <w:rPr>
          <w:iCs/>
          <w:i/>
        </w:rPr>
        <w:t xml:space="preserve">Table 2/3, Model M7.</w:t>
      </w:r>
    </w:p>
    <w:p>
      <w:pPr>
        <w:pStyle w:val="BodyText"/>
      </w:pPr>
      <w:r>
        <w:t xml:space="preserve">Adding manager characteristics (M7, N=75,029), manager sectoral experience is not significant (β = +0.002, p &gt; .10), while the female-top-manager coefficient is negative and highly significant (β = −0.104, p &lt; .001). The inverted-U is unaffected (TP = 44.0%). The negative female-management coefficient is consistent with the rest of the dissertation — the single-country Japan study (P10) and the thesis Chapter 4 likewise estimate a negative female-top-manager coefficient — and is most plausibly read as compositional selection of female-led establishments into smaller, lower-margin niches in economies where female senior leadership remains rare, rather than as a leadership effect. It should not be interpreted causally.</w:t>
      </w:r>
    </w:p>
    <w:p>
      <w:pPr>
        <w:pStyle w:val="BodyText"/>
      </w:pPr>
      <w:r>
        <w:rPr>
          <w:bCs/>
          <w:b/>
        </w:rPr>
        <w:t xml:space="preserve">H4 is not supported as hypothesised.</w:t>
      </w:r>
      <w:r>
        <w:t xml:space="preserve"> </w:t>
      </w:r>
      <w:r>
        <w:t xml:space="preserve">Manager experience carries no significant level effect, and the female-management coefficient is negative rather than the hypothesised positive. We treat the female-management coefficient as a descriptive regularity requiring within-economy, selection-aware analysis, not as evidence on the causal effect of female leadership.</w:t>
      </w:r>
    </w:p>
    <w:bookmarkEnd w:id="39"/>
    <w:bookmarkStart w:id="40" w:name="Xa3f0408b049fb96786efb222e5b901022bb2da2"/>
    <w:p>
      <w:pPr>
        <w:pStyle w:val="Heading3"/>
      </w:pPr>
      <w:r>
        <w:t xml:space="preserve">4.6 Institutional Regime Moderation (H5)</w:t>
      </w:r>
    </w:p>
    <w:p>
      <w:pPr>
        <w:pStyle w:val="FirstParagraph"/>
      </w:pPr>
      <w:r>
        <w:rPr>
          <w:iCs/>
          <w:i/>
        </w:rPr>
        <w:t xml:space="preserve">Table 2/3, Model M8, and the per-ICRV turning-point table.</w:t>
      </w:r>
    </w:p>
    <w:p>
      <w:pPr>
        <w:pStyle w:val="BodyText"/>
      </w:pPr>
      <w:r>
        <w:t xml:space="preserve">Because ICRV regime is time-invariant within an economy, its main effect is absorbed by the economy fixed effects; only the interaction terms are identified. In the pooled model M8, neither FSTS×ICRV (β = −0.086) nor FSTS²×ICRV (β = −0.013) is significant (both p &gt; .10): the institutional gradient does not manifest as a single linear shift of the pooled curve. Instead, the institutional structure of the relationship emerges when the turning point is estimated</w:t>
      </w:r>
      <w:r>
        <w:t xml:space="preserve"> </w:t>
      </w:r>
      <w:r>
        <w:rPr>
          <w:bCs/>
          <w:b/>
        </w:rPr>
        <w:t xml:space="preserve">within</w:t>
      </w:r>
      <w:r>
        <w:t xml:space="preserve"> </w:t>
      </w:r>
      <w:r>
        <w:t xml:space="preserve">each ICRV group (capability-adjusted M4 form within group):</w:t>
      </w:r>
    </w:p>
    <w:p>
      <w:pPr>
        <w:numPr>
          <w:ilvl w:val="0"/>
          <w:numId w:val="1001"/>
        </w:numPr>
        <w:pStyle w:val="Compact"/>
      </w:pPr>
      <w:r>
        <w:rPr>
          <w:bCs/>
          <w:b/>
        </w:rPr>
        <w:t xml:space="preserve">Lower-middle transition (Group IV, N=42,094): TP ≈ 43%</w:t>
      </w:r>
      <w:r>
        <w:t xml:space="preserve"> </w:t>
      </w:r>
      <w:r>
        <w:t xml:space="preserve">— a sharp, reliably located inverted-U (β₂ &lt; 0, p &lt; .001). This is the regime that anchors the pooled estimate.</w:t>
      </w:r>
    </w:p>
    <w:p>
      <w:pPr>
        <w:numPr>
          <w:ilvl w:val="0"/>
          <w:numId w:val="1001"/>
        </w:numPr>
        <w:pStyle w:val="Compact"/>
      </w:pPr>
      <w:r>
        <w:rPr>
          <w:bCs/>
          <w:b/>
        </w:rPr>
        <w:t xml:space="preserve">Strongest-institution regime (Group I Advanced innovation, incl. Japan): TP ≈ 80%</w:t>
      </w:r>
      <w:r>
        <w:t xml:space="preserve"> </w:t>
      </w:r>
      <w:r>
        <w:t xml:space="preserve">— the turning point lies near or beyond the observable range, so within the data the relationship is effectively near-linear and positive.</w:t>
      </w:r>
    </w:p>
    <w:p>
      <w:pPr>
        <w:numPr>
          <w:ilvl w:val="0"/>
          <w:numId w:val="1001"/>
        </w:numPr>
        <w:pStyle w:val="Compact"/>
      </w:pPr>
      <w:r>
        <w:rPr>
          <w:bCs/>
          <w:b/>
        </w:rPr>
        <w:t xml:space="preserve">Weakest regimes (Group V Emerging: TP ≈ 37%; Group VI Pacific SIDS): the inverted-U dissolves</w:t>
      </w:r>
      <w:r>
        <w:t xml:space="preserve"> </w:t>
      </w:r>
      <w:r>
        <w:t xml:space="preserve">— in the SIDS group the quadratic flips sign (no interior maximum), consistent with the Forced Internationalization Penalty documented in the companion SIDS study (P8).</w:t>
      </w:r>
    </w:p>
    <w:p>
      <w:pPr>
        <w:pStyle w:val="FirstParagraph"/>
      </w:pPr>
      <w:r>
        <w:rPr>
          <w:bCs/>
          <w:b/>
        </w:rPr>
        <w:t xml:space="preserve">H5 is supported, but as existence-moderation rather than location-moderation.</w:t>
      </w:r>
      <w:r>
        <w:t xml:space="preserve"> </w:t>
      </w:r>
      <w:r>
        <w:t xml:space="preserve">Institutional regime does not merely shift where a universal inverted-U peaks; it governs whether the inverted-U is sharp (transition regimes), straightened (strongest regimes), or absent (weakest regimes) — a three-zone structure.</w:t>
      </w:r>
    </w:p>
    <w:bookmarkEnd w:id="40"/>
    <w:bookmarkStart w:id="41" w:name="X4660d5a54a4ef3782810124f5d081790225d7d9"/>
    <w:p>
      <w:pPr>
        <w:pStyle w:val="Heading3"/>
      </w:pPr>
      <w:r>
        <w:t xml:space="preserve">4.7 Synthesis: A Three-Zone, Institution-Contingent Curve</w:t>
      </w:r>
    </w:p>
    <w:p>
      <w:pPr>
        <w:pStyle w:val="FirstParagraph"/>
      </w:pPr>
      <w:r>
        <w:t xml:space="preserve">Taken together, the moderation results relocate the explanatory weight from capability to institutions. Capability (TCI, DAI) and managers shift the</w:t>
      </w:r>
      <w:r>
        <w:t xml:space="preserve"> </w:t>
      </w:r>
      <w:r>
        <w:rPr>
          <w:bCs/>
          <w:b/>
        </w:rPr>
        <w:t xml:space="preserve">level</w:t>
      </w:r>
      <w:r>
        <w:t xml:space="preserve"> </w:t>
      </w:r>
      <w:r>
        <w:t xml:space="preserve">of productivity but do not significantly reshape the pooled curve. What reshapes the curve is institutional regime — and it does so not as a smooth gradient but as three discrete zones. In the middle of the institutional gradient (lower-middle transition), the inverted-U is sharp and reliably located near a 43% turning point; at the top (strongest institutions, including Japan), the descending limb is pushed beyond the observable range and the relationship is effectively near-linear; at the bottom (emerging and Pacific SIDS), the inverted-U dissolves and, in the SIDS group, reverses. This three-zone reading reconciles the apparently divergent single-country results in the dissertation (Vietnam and India in the transition zone show sharp inverted-U; Singapore and Japan at the top show near-linearity; the SIDS group shows the Forced Internationalization Penalty) within one harmonised, 50-economy estimation.</w:t>
      </w:r>
    </w:p>
    <w:p>
      <w:r>
        <w:pict>
          <v:rect style="width:0;height:1.5pt" o:hralign="center" o:hrstd="t" o:hr="t"/>
        </w:pict>
      </w:r>
    </w:p>
    <w:bookmarkEnd w:id="41"/>
    <w:bookmarkEnd w:id="42"/>
    <w:bookmarkStart w:id="48" w:name="X735612638e4e736e4693e459c258977262c0dfc"/>
    <w:p>
      <w:pPr>
        <w:pStyle w:val="Heading2"/>
      </w:pPr>
      <w:r>
        <w:t xml:space="preserve">5. Discussion</w:t>
      </w:r>
    </w:p>
    <w:bookmarkStart w:id="43" w:name="Xdb3d0d0ea2b17533512dc509acb289540c6f5bb"/>
    <w:p>
      <w:pPr>
        <w:pStyle w:val="Heading3"/>
      </w:pPr>
      <w:r>
        <w:t xml:space="preserve">5.1 Resolution of Cross-Study Heterogeneity</w:t>
      </w:r>
    </w:p>
    <w:p>
      <w:pPr>
        <w:pStyle w:val="FirstParagraph"/>
      </w:pPr>
      <w:r>
        <w:t xml:space="preserve">The central finding — an inverted-U with a capability-adjusted turning point of 43.6% foreign sales intensity, robust across 50 economies and six ICRV groups — offers a parsimonious resolution to apparent inconsistencies in the Asian I–P literature. Studies finding positive linear effects (Pangarkar, 2008: Singapore; Cho et al., 2023: Korea) are working with strong-institution samples whose turning point lies beyond the observable export-intensity range; their firms are on a long ascending limb. Studies finding null or negative results may be capturing weakest-regime samples in which the inverted-U dissolves. Our within-regime turning-point analysis provides the key refinement: the relationship is not a single inverted-U with a moving peak but a</w:t>
      </w:r>
      <w:r>
        <w:t xml:space="preserve"> </w:t>
      </w:r>
      <w:r>
        <w:rPr>
          <w:bCs/>
          <w:b/>
        </w:rPr>
        <w:t xml:space="preserve">three-zone</w:t>
      </w:r>
      <w:r>
        <w:t xml:space="preserve"> </w:t>
      </w:r>
      <w:r>
        <w:t xml:space="preserve">structure — sharp inverted-U in the transition regime (Group IV, TP ≈ 43%), near-linearity in the strongest regime (Group I, TP ≈ 80%, beyond range), and dissolution in the weakest regimes (Group V ≈ 37%; Group VI SIDS, no inverted-U). Whether a single-country study finds an inverted-U at all therefore depends on which institutional zone its economy occupies.</w:t>
      </w:r>
    </w:p>
    <w:bookmarkEnd w:id="43"/>
    <w:bookmarkStart w:id="44" w:name="X3e958d55d5690299d9deebec25f8bb524b314c6"/>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50-economy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d4fb1bb7a799c1fc5adcff76c30e3f2326e6be3"/>
    <w:p>
      <w:pPr>
        <w:pStyle w:val="Heading3"/>
      </w:pPr>
      <w:r>
        <w:t xml:space="preserve">5.3 Digital Adoption: Level Effect, Not Curve Reshaping</w:t>
      </w:r>
    </w:p>
    <w:p>
      <w:pPr>
        <w:pStyle w:val="FirstParagraph"/>
      </w:pPr>
      <w:r>
        <w:t xml:space="preserve">On the canonical specification, digital adoption is the largest single capability level-shifter (DAI = +0.219, p &lt; .001) but does not significantly reshape the pooled I–P curve. This is a more conservative and, we argue, more credible reading than an earlier draft that attributed significant curve-reshaping to DAI: with within-economy-year standardisation and two-way fixed effects absorbing the price-level and selection confounds, the apparent curve-reshaping does not survive. The "digital shield" mechanism — DAI cushioning the descending limb — appears in the single-country Singapore study (P4) but is undetectable in aggregation, indicating that any curve-shaping role of digital adoption is institution-contingent and operates below the resolution of a pooled, Tier-1 (website-only) WBES measure. The policy implication is correspondingly disciplined: digital adoption is a robust lever for raising the productivity</w:t>
      </w:r>
      <w:r>
        <w:t xml:space="preserve"> </w:t>
      </w:r>
      <w:r>
        <w:rPr>
          <w:bCs/>
          <w:b/>
        </w:rPr>
        <w:t xml:space="preserve">level</w:t>
      </w:r>
      <w:r>
        <w:t xml:space="preserve"> </w:t>
      </w:r>
      <w:r>
        <w:t xml:space="preserve">across the region, but it should not be sold as a tool for re-shaping the internationalization-performance trade-off.</w:t>
      </w:r>
    </w:p>
    <w:bookmarkEnd w:id="45"/>
    <w:bookmarkStart w:id="46" w:name="X84f38018b3434e120970b4f2e30dde187cbc62e"/>
    <w:p>
      <w:pPr>
        <w:pStyle w:val="Heading3"/>
      </w:pPr>
      <w:r>
        <w:t xml:space="preserve">5.4 Managerial Heterogeneity</w:t>
      </w:r>
    </w:p>
    <w:p>
      <w:pPr>
        <w:pStyle w:val="FirstParagraph"/>
      </w:pPr>
      <w:r>
        <w:t xml:space="preserve">On the canonical specification, manager sectoral experience carries no significant level effect, and the female-top-manager coefficient is</w:t>
      </w:r>
      <w:r>
        <w:t xml:space="preserve"> </w:t>
      </w:r>
      <w:r>
        <w:rPr>
          <w:bCs/>
          <w:b/>
        </w:rPr>
        <w:t xml:space="preserve">negative</w:t>
      </w:r>
      <w:r>
        <w:t xml:space="preserve"> </w:t>
      </w:r>
      <w:r>
        <w:t xml:space="preserve">(−0.104, p &lt; .001) rather than positive. This sign is consistent across the dissertation — the single-country Japan study (P10) and the thesis pooled analysis estimate the same negative coefficient — and it cautions against a causal reading. In economies where female senior leadership remains rare (the regional pool spans contexts with female-top-manager shares from single digits upward), the small set of female-led establishments is unlikely to be a random draw; the most plausible interpretation is compositional selection into smaller, lower-margin, labour-intensive niches, which a cross-sectional level regression cannot disentangle from any leadership effect. The null curve-moderation result (FSTS×manager terms not significant) indicates that, whatever the source of the level coefficient, manager characteristics do not help firms navigate the internationalization trade-off more efficiently. We therefore report the female-management coefficient as a descriptive regularity requiring within-economy, selection-aware analysis (e.g., matched samples or panel tracking of leadership transitions), not as evidence on the causal effect of female leadership on firm performance.</w:t>
      </w:r>
    </w:p>
    <w:bookmarkEnd w:id="46"/>
    <w:bookmarkStart w:id="47" w:name="Xde7edcb3f604b7ff7a62d585547252a5b42f172"/>
    <w:p>
      <w:pPr>
        <w:pStyle w:val="Heading3"/>
      </w:pPr>
      <w:r>
        <w:t xml:space="preserve">5.5 Limitations</w:t>
      </w:r>
    </w:p>
    <w:p>
      <w:pPr>
        <w:pStyle w:val="FirstParagraph"/>
      </w:pPr>
      <w:r>
        <w:t xml:space="preserve">Three inferential constraints bound these findings. First, WBES is a cross-sectional design: "performance" throughout refers to a contemporaneous association between FSTS and labour productivity in a given survey year, not a panel-tracked causal effect. The IV strategy used in the single-country P3 Vietnam study to address selection into exporting is not available at scale across 50 economies, and capability-based selection into exporting is part of what the capability-adjusted turning point (M4) reveals rather than a nuisance assumed away. Second, the DAI measure is limited to Tier-1 (website) capability in the harmonised pool; the richer digital-capability dimensions captured in more recent BEE-schema waves are not yet available for the majority of economies, which likely contributes to the null curve-reshaping result. Third, the dataset covers all 50 ICRV-mapped economies across six regime groups, including Japan's inaugural 2025 wave; some early waves predate the digital-capability and manager variables, limiting their contribution to the baseline models. Future WBES waves would sharpen the moderation estimates, particularly for the sparser Advanced and SIDS regimes.</w:t>
      </w:r>
    </w:p>
    <w:p>
      <w:r>
        <w:pict>
          <v:rect style="width:0;height:1.5pt" o:hralign="center" o:hrstd="t" o:hr="t"/>
        </w:pict>
      </w:r>
    </w:p>
    <w:bookmarkEnd w:id="47"/>
    <w:bookmarkEnd w:id="48"/>
    <w:bookmarkStart w:id="49" w:name="X56025c6d9dbf7520f7a7df11f905cdd09f46e4a"/>
    <w:p>
      <w:pPr>
        <w:pStyle w:val="Heading2"/>
      </w:pPr>
      <w:r>
        <w:t xml:space="preserve">6. Conclusions</w:t>
      </w:r>
    </w:p>
    <w:p>
      <w:pPr>
        <w:pStyle w:val="FirstParagraph"/>
      </w:pPr>
      <w:r>
        <w:t xml:space="preserve">We find that the inverted-U I–P relationship holds robustly across a 50-economy, 103-wave WBES sample (including Japan's inaugural 2025 wave), with a capability-adjusted turning point of 43.6% foreign sales intensity. Three conclusions are policy-relevant. First, for firms in the ascending phase (FSTS &lt; 43.6%), intensifying internationalization is productivity-enhancing; the priority is removing barriers to export expansion. For firms beyond the turning point, the constraint is not market access but coordination capacity. Second, both technological capability and digital adoption raise the performance level substantially across all FSTS levels without reliably reshaping the curve; policy should target capability building as a baseline performance lever rather than as a curve-shifting intervention. Third, and most important, it is institutional regime — not capability — that determines the shape of the curve: the inverted-U is sharp in transition economies (turning point ≈ 43%), straightens toward near-linearity in the strongest-institution economies (peak beyond the observable range), and dissolves in the weakest regimes, reversing into a Forced Internationalization Penalty in the Pacific SIDS group. Context-contingent policy must therefore differ by zone, not merely by where a common peak falls.</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 side of the inverted-U becomes consequential: firms pushed above their optimal FSTS by earlier export commitments face amplified coordination and input-cost pressures. Because Vietnam sits in the transition regime where the inverted-U is sharpest (Group IV turning point ≈ 43%), Vietnamese exporters currently above that threshold are among the most exposed to macro shocks. The capability evidence implies that building technological and digital capability raises the productivity floor for these firms, even though — on our pooled estimates — capability does not by itself flatten the descending limb; the binding margin is the breadth of capable export participation, not a curve-shifting fix.</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7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0">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1">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2">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3">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4">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5">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56">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57">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58">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9">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0">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1">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2">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3">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4">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5">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66">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7">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68">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69">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0">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1">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2">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3">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4"/>
    <w:bookmarkStart w:id="7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lp_z</w:t>
            </w:r>
          </w:p>
        </w:tc>
        <w:tc>
          <w:tcPr/>
          <w:p>
            <w:pPr>
              <w:pStyle w:val="Compact"/>
              <w:jc w:val="left"/>
            </w:pPr>
            <w:r>
              <w:t xml:space="preserve">Log labour productivity ln(d2/l1), winsorised 1/99, z-scored within economy-year</w:t>
            </w:r>
          </w:p>
        </w:tc>
        <w:tc>
          <w:tcPr/>
          <w:p>
            <w:pPr>
              <w:pStyle w:val="Compact"/>
              <w:jc w:val="left"/>
            </w:pPr>
            <w:r>
              <w:t xml:space="preserve">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 indirect exports)</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(R&amp;D + ISO certification), z-scored within economy-year</w:t>
            </w:r>
          </w:p>
        </w:tc>
        <w:tc>
          <w:tcPr/>
          <w:p>
            <w:pPr>
              <w:pStyle w:val="Compact"/>
              <w:jc w:val="left"/>
            </w:pPr>
            <w:r>
              <w:t xml:space="preserve">h8, b8</w:t>
            </w:r>
          </w:p>
        </w:tc>
        <w:tc>
          <w:tcPr/>
          <w:p>
            <w:pPr>
              <w:pStyle w:val="Compact"/>
              <w:jc w:val="left"/>
            </w:pPr>
            <w:r>
              <w:t xml:space="preserve">~82%</w:t>
            </w:r>
          </w:p>
        </w:tc>
      </w:tr>
      <w:tr>
        <w:tc>
          <w:tcPr/>
          <w:p>
            <w:pPr>
              <w:pStyle w:val="Compact"/>
              <w:jc w:val="left"/>
            </w:pPr>
            <w:r>
              <w:t xml:space="preserve">DAI</w:t>
            </w:r>
          </w:p>
        </w:tc>
        <w:tc>
          <w:tcPr/>
          <w:p>
            <w:pPr>
              <w:pStyle w:val="Compact"/>
              <w:jc w:val="left"/>
            </w:pPr>
            <w:r>
              <w:t xml:space="preserve">Digital adoption (website presence, Tier-1 binary)</w:t>
            </w:r>
          </w:p>
        </w:tc>
        <w:tc>
          <w:tcPr/>
          <w:p>
            <w:pPr>
              <w:pStyle w:val="Compact"/>
              <w:jc w:val="left"/>
            </w:pPr>
            <w:r>
              <w:t xml:space="preserve">c22b</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r>
        <w:t xml:space="preserve"> </w:t>
      </w:r>
      <w:r>
        <w:t xml:space="preserve">(50-economy canonical frame; two-way FE economy+year; CRV1 by economy)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right"/>
            </w:pPr>
            <w:r>
              <w:t xml:space="preserve">N</w:t>
            </w:r>
          </w:p>
        </w:tc>
        <w:tc>
          <w:tcPr/>
          <w:p>
            <w:pPr>
              <w:pStyle w:val="Compact"/>
              <w:jc w:val="right"/>
            </w:pPr>
            <w:r>
              <w:t xml:space="preserve">Turning point (%)</w:t>
            </w:r>
          </w:p>
        </w:tc>
        <w:tc>
          <w:tcPr/>
          <w:p>
            <w:pPr>
              <w:pStyle w:val="Compact"/>
              <w:jc w:val="right"/>
            </w:pPr>
            <w:r>
              <w:t xml:space="preserve">LM p</w:t>
            </w:r>
          </w:p>
        </w:tc>
        <w:tc>
          <w:tcPr/>
          <w:p>
            <w:pPr>
              <w:pStyle w:val="Compact"/>
              <w:jc w:val="left"/>
            </w:pPr>
            <w:r>
              <w:t xml:space="preserve">Key additions</w:t>
            </w:r>
          </w:p>
        </w:tc>
      </w:tr>
      <w:tr>
        <w:tc>
          <w:tcPr/>
          <w:p>
            <w:pPr>
              <w:pStyle w:val="Compact"/>
              <w:jc w:val="left"/>
            </w:pPr>
            <w:r>
              <w:t xml:space="preserve">M1</w:t>
            </w:r>
          </w:p>
        </w:tc>
        <w:tc>
          <w:tcPr/>
          <w:p>
            <w:pPr>
              <w:pStyle w:val="Compact"/>
              <w:jc w:val="right"/>
            </w:pPr>
            <w:r>
              <w:t xml:space="preserve">81,022</w:t>
            </w:r>
          </w:p>
        </w:tc>
        <w:tc>
          <w:tcPr/>
          <w:p>
            <w:pPr>
              <w:pStyle w:val="Compact"/>
              <w:jc w:val="right"/>
            </w:pPr>
            <w:r>
              <w:t xml:space="preserve">—</w:t>
            </w:r>
          </w:p>
        </w:tc>
        <w:tc>
          <w:tcPr/>
          <w:p>
            <w:pPr>
              <w:pStyle w:val="Compact"/>
              <w:jc w:val="right"/>
            </w:pPr>
            <w:r>
              <w:t xml:space="preserve">—</w:t>
            </w:r>
          </w:p>
        </w:tc>
        <w:tc>
          <w:tcPr/>
          <w:p>
            <w:pPr>
              <w:pStyle w:val="Compact"/>
              <w:jc w:val="left"/>
            </w:pPr>
            <w:r>
              <w:t xml:space="preserve">FSTS linear (β = +0.219**)</w:t>
            </w:r>
          </w:p>
        </w:tc>
      </w:tr>
      <w:tr>
        <w:tc>
          <w:tcPr/>
          <w:p>
            <w:pPr>
              <w:pStyle w:val="Compact"/>
              <w:jc w:val="left"/>
            </w:pPr>
            <w:r>
              <w:t xml:space="preserve">M2</w:t>
            </w:r>
          </w:p>
        </w:tc>
        <w:tc>
          <w:tcPr/>
          <w:p>
            <w:pPr>
              <w:pStyle w:val="Compact"/>
              <w:jc w:val="right"/>
            </w:pPr>
            <w:r>
              <w:t xml:space="preserve">81,022</w:t>
            </w:r>
          </w:p>
        </w:tc>
        <w:tc>
          <w:tcPr/>
          <w:p>
            <w:pPr>
              <w:pStyle w:val="Compact"/>
              <w:jc w:val="right"/>
            </w:pPr>
            <w:r>
              <w:rPr>
                <w:bCs/>
                <w:b/>
              </w:rPr>
              <w:t xml:space="preserve">51.5</w:t>
            </w:r>
          </w:p>
        </w:tc>
        <w:tc>
          <w:tcPr/>
          <w:p>
            <w:pPr>
              <w:pStyle w:val="Compact"/>
              <w:jc w:val="right"/>
            </w:pPr>
            <w:r>
              <w:t xml:space="preserve">&lt;.001</w:t>
            </w:r>
          </w:p>
        </w:tc>
        <w:tc>
          <w:tcPr/>
          <w:p>
            <w:pPr>
              <w:pStyle w:val="Compact"/>
              <w:jc w:val="left"/>
            </w:pPr>
            <w:r>
              <w:t xml:space="preserve">FSTS + FSTS² (anchor)</w:t>
            </w:r>
          </w:p>
        </w:tc>
      </w:tr>
      <w:tr>
        <w:tc>
          <w:tcPr/>
          <w:p>
            <w:pPr>
              <w:pStyle w:val="Compact"/>
              <w:jc w:val="left"/>
            </w:pPr>
            <w:r>
              <w:t xml:space="preserve">M3</w:t>
            </w:r>
          </w:p>
        </w:tc>
        <w:tc>
          <w:tcPr/>
          <w:p>
            <w:pPr>
              <w:pStyle w:val="Compact"/>
              <w:jc w:val="right"/>
            </w:pPr>
            <w:r>
              <w:t xml:space="preserve">78,970</w:t>
            </w:r>
          </w:p>
        </w:tc>
        <w:tc>
          <w:tcPr/>
          <w:p>
            <w:pPr>
              <w:pStyle w:val="Compact"/>
              <w:jc w:val="right"/>
            </w:pPr>
            <w:r>
              <w:rPr>
                <w:bCs/>
                <w:b/>
              </w:rPr>
              <w:t xml:space="preserve">43.8</w:t>
            </w:r>
          </w:p>
        </w:tc>
        <w:tc>
          <w:tcPr/>
          <w:p>
            <w:pPr>
              <w:pStyle w:val="Compact"/>
              <w:jc w:val="right"/>
            </w:pPr>
            <w:r>
              <w:t xml:space="preserve">&lt;.001</w:t>
            </w:r>
          </w:p>
        </w:tc>
        <w:tc>
          <w:tcPr/>
          <w:p>
            <w:pPr>
              <w:pStyle w:val="Compact"/>
              <w:jc w:val="left"/>
            </w:pPr>
            <w:r>
              <w:t xml:space="preserve">M2 + ownership, age, size, female-owner</w:t>
            </w:r>
          </w:p>
        </w:tc>
      </w:tr>
      <w:tr>
        <w:tc>
          <w:tcPr/>
          <w:p>
            <w:pPr>
              <w:pStyle w:val="Compact"/>
              <w:jc w:val="left"/>
            </w:pPr>
            <w:r>
              <w:t xml:space="preserve">M4</w:t>
            </w:r>
          </w:p>
        </w:tc>
        <w:tc>
          <w:tcPr/>
          <w:p>
            <w:pPr>
              <w:pStyle w:val="Compact"/>
              <w:jc w:val="right"/>
            </w:pPr>
            <w:r>
              <w:t xml:space="preserve">79,080</w:t>
            </w:r>
          </w:p>
        </w:tc>
        <w:tc>
          <w:tcPr/>
          <w:p>
            <w:pPr>
              <w:pStyle w:val="Compact"/>
              <w:jc w:val="right"/>
            </w:pPr>
            <w:r>
              <w:rPr>
                <w:bCs/>
                <w:b/>
              </w:rPr>
              <w:t xml:space="preserve">43.6</w:t>
            </w:r>
          </w:p>
        </w:tc>
        <w:tc>
          <w:tcPr/>
          <w:p>
            <w:pPr>
              <w:pStyle w:val="Compact"/>
              <w:jc w:val="right"/>
            </w:pPr>
            <w:r>
              <w:t xml:space="preserve">&lt;.001</w:t>
            </w:r>
          </w:p>
        </w:tc>
        <w:tc>
          <w:tcPr/>
          <w:p>
            <w:pPr>
              <w:pStyle w:val="Compact"/>
              <w:jc w:val="left"/>
            </w:pPr>
            <w:r>
              <w:t xml:space="preserve">M3-block + TCI + DAI (headline)</w:t>
            </w:r>
          </w:p>
        </w:tc>
      </w:tr>
      <w:tr>
        <w:tc>
          <w:tcPr/>
          <w:p>
            <w:pPr>
              <w:pStyle w:val="Compact"/>
              <w:jc w:val="left"/>
            </w:pPr>
            <w:r>
              <w:t xml:space="preserve">M5</w:t>
            </w:r>
          </w:p>
        </w:tc>
        <w:tc>
          <w:tcPr/>
          <w:p>
            <w:pPr>
              <w:pStyle w:val="Compact"/>
              <w:jc w:val="right"/>
            </w:pPr>
            <w:r>
              <w:t xml:space="preserve">79,080</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FSTS×TCI, FSTS²×TCI</w:t>
            </w:r>
          </w:p>
        </w:tc>
      </w:tr>
      <w:tr>
        <w:tc>
          <w:tcPr/>
          <w:p>
            <w:pPr>
              <w:pStyle w:val="Compact"/>
              <w:jc w:val="left"/>
            </w:pPr>
            <w:r>
              <w:t xml:space="preserve">M6</w:t>
            </w:r>
          </w:p>
        </w:tc>
        <w:tc>
          <w:tcPr/>
          <w:p>
            <w:pPr>
              <w:pStyle w:val="Compact"/>
              <w:jc w:val="right"/>
            </w:pPr>
            <w:r>
              <w:t xml:space="preserve">79,080</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M4 + FSTS×DAI, FSTS²×DAI</w:t>
            </w:r>
          </w:p>
        </w:tc>
      </w:tr>
      <w:tr>
        <w:tc>
          <w:tcPr/>
          <w:p>
            <w:pPr>
              <w:pStyle w:val="Compact"/>
              <w:jc w:val="left"/>
            </w:pPr>
            <w:r>
              <w:t xml:space="preserve">M7</w:t>
            </w:r>
          </w:p>
        </w:tc>
        <w:tc>
          <w:tcPr/>
          <w:p>
            <w:pPr>
              <w:pStyle w:val="Compact"/>
              <w:jc w:val="right"/>
            </w:pPr>
            <w:r>
              <w:t xml:space="preserve">75,029</w:t>
            </w:r>
          </w:p>
        </w:tc>
        <w:tc>
          <w:tcPr/>
          <w:p>
            <w:pPr>
              <w:pStyle w:val="Compact"/>
              <w:jc w:val="right"/>
            </w:pPr>
            <w:r>
              <w:t xml:space="preserve">44.0</w:t>
            </w:r>
          </w:p>
        </w:tc>
        <w:tc>
          <w:tcPr/>
          <w:p>
            <w:pPr>
              <w:pStyle w:val="Compact"/>
              <w:jc w:val="right"/>
            </w:pPr>
            <w:r>
              <w:t xml:space="preserve">&lt;.001</w:t>
            </w:r>
          </w:p>
        </w:tc>
        <w:tc>
          <w:tcPr/>
          <w:p>
            <w:pPr>
              <w:pStyle w:val="Compact"/>
              <w:jc w:val="left"/>
            </w:pPr>
            <w:r>
              <w:t xml:space="preserve">M4 + manager experience, female manager</w:t>
            </w:r>
          </w:p>
        </w:tc>
      </w:tr>
      <w:tr>
        <w:tc>
          <w:tcPr/>
          <w:p>
            <w:pPr>
              <w:pStyle w:val="Compact"/>
              <w:jc w:val="left"/>
            </w:pPr>
            <w:r>
              <w:t xml:space="preserve">M8</w:t>
            </w:r>
          </w:p>
        </w:tc>
        <w:tc>
          <w:tcPr/>
          <w:p>
            <w:pPr>
              <w:pStyle w:val="Compact"/>
              <w:jc w:val="right"/>
            </w:pPr>
            <w:r>
              <w:t xml:space="preserve">79,080</w:t>
            </w:r>
          </w:p>
        </w:tc>
        <w:tc>
          <w:tcPr/>
          <w:p>
            <w:pPr>
              <w:pStyle w:val="Compact"/>
              <w:jc w:val="right"/>
            </w:pPr>
            <w:r>
              <w:t xml:space="preserve">(73.6)</w:t>
            </w:r>
          </w:p>
        </w:tc>
        <w:tc>
          <w:tcPr/>
          <w:p>
            <w:pPr>
              <w:pStyle w:val="Compact"/>
              <w:jc w:val="right"/>
            </w:pPr>
            <w:r>
              <w:t xml:space="preserve">n.s.</w:t>
            </w:r>
          </w:p>
        </w:tc>
        <w:tc>
          <w:tcPr/>
          <w:p>
            <w:pPr>
              <w:pStyle w:val="Compact"/>
              <w:jc w:val="left"/>
            </w:pPr>
            <w:r>
              <w:t xml:space="preserve">M4 + FSTS×ICRV, FSTS²×ICRV (interactions NS)</w:t>
            </w:r>
          </w:p>
        </w:tc>
      </w:tr>
    </w:tbl>
    <w:p>
      <w:pPr>
        <w:pStyle w:val="BodyText"/>
      </w:pPr>
      <w:r>
        <w:rPr>
          <w:iCs/>
          <w:i/>
        </w:rPr>
        <w:t xml:space="preserve">Note.</w:t>
      </w:r>
      <w:r>
        <w:t xml:space="preserve"> </w:t>
      </w:r>
      <w:r>
        <w:t xml:space="preserve">Turning point from −β₁/(2β₂) + mean(FSTS), confirmed by the Lind–Mehlum (2010) test (LM p). All models carry two-way (economy, year) fixed effects throughout; SEs clustered by economy. In M8 the ICRV main effect is absorbed by economy fixed effects and the FSTS×ICRV interactions are not significant, so the pooled turning point is not identified; the institutional structure appears instead in the per-ICRV turning points (Table 4). Reproducible via</w:t>
      </w:r>
      <w:r>
        <w:t xml:space="preserve"> </w:t>
      </w:r>
      <w:r>
        <w:rPr>
          <w:rStyle w:val="VerbatimChar"/>
        </w:rPr>
        <w:t xml:space="preserve">scripts/p7_full_ladder.py</w:t>
      </w:r>
      <w:r>
        <w:t xml:space="preserve">.</w:t>
      </w:r>
    </w:p>
    <w:p>
      <w:pPr>
        <w:pStyle w:val="BodyText"/>
      </w:pPr>
      <w:r>
        <w:rPr>
          <w:bCs/>
          <w:b/>
        </w:rPr>
        <w:t xml:space="preserve">Table 3: Key coefficient estimates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Term</w:t>
            </w:r>
          </w:p>
        </w:tc>
        <w:tc>
          <w:tcPr/>
          <w:p>
            <w:pPr>
              <w:pStyle w:val="Compact"/>
              <w:jc w:val="right"/>
            </w:pPr>
            <w:r>
              <w:t xml:space="preserve">M2</w:t>
            </w:r>
          </w:p>
        </w:tc>
        <w:tc>
          <w:tcPr/>
          <w:p>
            <w:pPr>
              <w:pStyle w:val="Compact"/>
              <w:jc w:val="right"/>
            </w:pPr>
            <w:r>
              <w:t xml:space="preserve">M4</w:t>
            </w:r>
          </w:p>
        </w:tc>
        <w:tc>
          <w:tcPr/>
          <w:p>
            <w:pPr>
              <w:pStyle w:val="Compact"/>
              <w:jc w:val="right"/>
            </w:pPr>
            <w:r>
              <w:t xml:space="preserve">M5</w:t>
            </w:r>
          </w:p>
        </w:tc>
        <w:tc>
          <w:tcPr/>
          <w:p>
            <w:pPr>
              <w:pStyle w:val="Compact"/>
              <w:jc w:val="right"/>
            </w:pPr>
            <w:r>
              <w:t xml:space="preserve">M6</w:t>
            </w:r>
          </w:p>
        </w:tc>
        <w:tc>
          <w:tcPr/>
          <w:p>
            <w:pPr>
              <w:pStyle w:val="Compact"/>
              <w:jc w:val="right"/>
            </w:pPr>
            <w:r>
              <w:t xml:space="preserve">M7</w:t>
            </w:r>
          </w:p>
        </w:tc>
        <w:tc>
          <w:tcPr/>
          <w:p>
            <w:pPr>
              <w:pStyle w:val="Compact"/>
              <w:jc w:val="right"/>
            </w:pPr>
            <w:r>
              <w:t xml:space="preserve">M8</w:t>
            </w:r>
          </w:p>
        </w:tc>
      </w:tr>
      <w:tr>
        <w:tc>
          <w:tcPr/>
          <w:p>
            <w:pPr>
              <w:pStyle w:val="Compact"/>
              <w:jc w:val="left"/>
            </w:pPr>
            <w:r>
              <w:t xml:space="preserve">FSTS (β₁)</w:t>
            </w:r>
          </w:p>
        </w:tc>
        <w:tc>
          <w:tcPr/>
          <w:p>
            <w:pPr>
              <w:pStyle w:val="Compact"/>
              <w:jc w:val="right"/>
            </w:pPr>
            <w:r>
              <w:t xml:space="preserve">+1.188***</w:t>
            </w:r>
          </w:p>
        </w:tc>
        <w:tc>
          <w:tcPr/>
          <w:p>
            <w:pPr>
              <w:pStyle w:val="Compact"/>
              <w:jc w:val="right"/>
            </w:pPr>
            <w:r>
              <w:t xml:space="preserve">+0.499***</w:t>
            </w:r>
          </w:p>
        </w:tc>
        <w:tc>
          <w:tcPr/>
          <w:p>
            <w:pPr>
              <w:pStyle w:val="Compact"/>
              <w:jc w:val="right"/>
            </w:pPr>
            <w:r>
              <w:t xml:space="preserve">+0.457***</w:t>
            </w:r>
          </w:p>
        </w:tc>
        <w:tc>
          <w:tcPr/>
          <w:p>
            <w:pPr>
              <w:pStyle w:val="Compact"/>
              <w:jc w:val="right"/>
            </w:pPr>
            <w:r>
              <w:t xml:space="preserve">+0.704***</w:t>
            </w:r>
          </w:p>
        </w:tc>
        <w:tc>
          <w:tcPr/>
          <w:p>
            <w:pPr>
              <w:pStyle w:val="Compact"/>
              <w:jc w:val="right"/>
            </w:pPr>
            <w:r>
              <w:t xml:space="preserve">+0.505***</w:t>
            </w:r>
          </w:p>
        </w:tc>
        <w:tc>
          <w:tcPr/>
          <w:p>
            <w:pPr>
              <w:pStyle w:val="Compact"/>
              <w:jc w:val="right"/>
            </w:pPr>
            <w:r>
              <w:t xml:space="preserve">+0.806†</w:t>
            </w:r>
          </w:p>
        </w:tc>
      </w:tr>
      <w:tr>
        <w:tc>
          <w:tcPr/>
          <w:p>
            <w:pPr>
              <w:pStyle w:val="Compact"/>
              <w:jc w:val="left"/>
            </w:pPr>
            <w:r>
              <w:t xml:space="preserve">FSTS² (β₂)</w:t>
            </w:r>
          </w:p>
        </w:tc>
        <w:tc>
          <w:tcPr/>
          <w:p>
            <w:pPr>
              <w:pStyle w:val="Compact"/>
              <w:jc w:val="right"/>
            </w:pPr>
            <w:r>
              <w:t xml:space="preserve">−1.398***</w:t>
            </w:r>
          </w:p>
        </w:tc>
        <w:tc>
          <w:tcPr/>
          <w:p>
            <w:pPr>
              <w:pStyle w:val="Compact"/>
              <w:jc w:val="right"/>
            </w:pPr>
            <w:r>
              <w:t xml:space="preserve">−0.721***</w:t>
            </w:r>
          </w:p>
        </w:tc>
        <w:tc>
          <w:tcPr/>
          <w:p>
            <w:pPr>
              <w:pStyle w:val="Compact"/>
              <w:jc w:val="right"/>
            </w:pPr>
            <w:r>
              <w:t xml:space="preserve">−0.652**</w:t>
            </w:r>
          </w:p>
        </w:tc>
        <w:tc>
          <w:tcPr/>
          <w:p>
            <w:pPr>
              <w:pStyle w:val="Compact"/>
              <w:jc w:val="right"/>
            </w:pPr>
            <w:r>
              <w:t xml:space="preserve">−0.924***</w:t>
            </w:r>
          </w:p>
        </w:tc>
        <w:tc>
          <w:tcPr/>
          <w:p>
            <w:pPr>
              <w:pStyle w:val="Compact"/>
              <w:jc w:val="right"/>
            </w:pPr>
            <w:r>
              <w:t xml:space="preserve">−0.720***</w:t>
            </w:r>
          </w:p>
        </w:tc>
        <w:tc>
          <w:tcPr/>
          <w:p>
            <w:pPr>
              <w:pStyle w:val="Compact"/>
              <w:jc w:val="right"/>
            </w:pPr>
            <w:r>
              <w:t xml:space="preserve">−0.624</w:t>
            </w:r>
          </w:p>
        </w:tc>
      </w:tr>
      <w:tr>
        <w:tc>
          <w:tcPr/>
          <w:p>
            <w:pPr>
              <w:pStyle w:val="Compact"/>
              <w:jc w:val="left"/>
            </w:pPr>
            <w:r>
              <w:t xml:space="preserve">TCI_z</w:t>
            </w:r>
          </w:p>
        </w:tc>
        <w:tc>
          <w:tcPr/>
          <w:p>
            <w:pPr>
              <w:pStyle w:val="Compact"/>
              <w:jc w:val="right"/>
            </w:pPr>
            <w:r>
              <w:t xml:space="preserve">—</w:t>
            </w:r>
          </w:p>
        </w:tc>
        <w:tc>
          <w:tcPr/>
          <w:p>
            <w:pPr>
              <w:pStyle w:val="Compact"/>
              <w:jc w:val="right"/>
            </w:pPr>
            <w:r>
              <w:t xml:space="preserve">+0.108***</w:t>
            </w:r>
          </w:p>
        </w:tc>
        <w:tc>
          <w:tcPr/>
          <w:p>
            <w:pPr>
              <w:pStyle w:val="Compact"/>
              <w:jc w:val="right"/>
            </w:pPr>
            <w:r>
              <w:t xml:space="preserve">+0.115***</w:t>
            </w:r>
          </w:p>
        </w:tc>
        <w:tc>
          <w:tcPr/>
          <w:p>
            <w:pPr>
              <w:pStyle w:val="Compact"/>
              <w:jc w:val="right"/>
            </w:pPr>
            <w:r>
              <w:t xml:space="preserve">+0.108***</w:t>
            </w:r>
          </w:p>
        </w:tc>
        <w:tc>
          <w:tcPr/>
          <w:p>
            <w:pPr>
              <w:pStyle w:val="Compact"/>
              <w:jc w:val="right"/>
            </w:pPr>
            <w:r>
              <w:t xml:space="preserve">+0.108***</w:t>
            </w:r>
          </w:p>
        </w:tc>
        <w:tc>
          <w:tcPr/>
          <w:p>
            <w:pPr>
              <w:pStyle w:val="Compact"/>
              <w:jc w:val="right"/>
            </w:pPr>
            <w:r>
              <w:t xml:space="preserve">+0.107***</w:t>
            </w:r>
          </w:p>
        </w:tc>
      </w:tr>
      <w:tr>
        <w:tc>
          <w:tcPr/>
          <w:p>
            <w:pPr>
              <w:pStyle w:val="Compact"/>
              <w:jc w:val="left"/>
            </w:pPr>
            <w:r>
              <w:t xml:space="preserve">DAI</w:t>
            </w:r>
          </w:p>
        </w:tc>
        <w:tc>
          <w:tcPr/>
          <w:p>
            <w:pPr>
              <w:pStyle w:val="Compact"/>
              <w:jc w:val="right"/>
            </w:pPr>
            <w:r>
              <w:t xml:space="preserve">—</w:t>
            </w:r>
          </w:p>
        </w:tc>
        <w:tc>
          <w:tcPr/>
          <w:p>
            <w:pPr>
              <w:pStyle w:val="Compact"/>
              <w:jc w:val="right"/>
            </w:pPr>
            <w:r>
              <w:t xml:space="preserve">+0.219***</w:t>
            </w:r>
          </w:p>
        </w:tc>
        <w:tc>
          <w:tcPr/>
          <w:p>
            <w:pPr>
              <w:pStyle w:val="Compact"/>
              <w:jc w:val="right"/>
            </w:pPr>
            <w:r>
              <w:t xml:space="preserve">+0.219***</w:t>
            </w:r>
          </w:p>
        </w:tc>
        <w:tc>
          <w:tcPr/>
          <w:p>
            <w:pPr>
              <w:pStyle w:val="Compact"/>
              <w:jc w:val="right"/>
            </w:pPr>
            <w:r>
              <w:t xml:space="preserve">+0.201***</w:t>
            </w:r>
          </w:p>
        </w:tc>
        <w:tc>
          <w:tcPr/>
          <w:p>
            <w:pPr>
              <w:pStyle w:val="Compact"/>
              <w:jc w:val="right"/>
            </w:pPr>
            <w:r>
              <w:t xml:space="preserve">+0.218***</w:t>
            </w:r>
          </w:p>
        </w:tc>
        <w:tc>
          <w:tcPr/>
          <w:p>
            <w:pPr>
              <w:pStyle w:val="Compact"/>
              <w:jc w:val="right"/>
            </w:pPr>
            <w:r>
              <w:t xml:space="preserve">+0.220***</w:t>
            </w:r>
          </w:p>
        </w:tc>
      </w:tr>
      <w:tr>
        <w:tc>
          <w:tcPr/>
          <w:p>
            <w:pPr>
              <w:pStyle w:val="Compact"/>
              <w:jc w:val="left"/>
            </w:pPr>
            <w:r>
              <w:t xml:space="preserve">FSTS×TCI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+0.068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FSTS²×TCI</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−0.270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FSTS²×DAI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+0.252</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mgr experience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+0.002</w:t>
            </w:r>
          </w:p>
        </w:tc>
        <w:tc>
          <w:tcPr/>
          <w:p>
            <w:pPr>
              <w:pStyle w:val="Compact"/>
              <w:jc w:val="right"/>
            </w:pPr>
            <w:r>
              <w:t xml:space="preserve">—</w:t>
            </w:r>
          </w:p>
        </w:tc>
      </w:tr>
      <w:tr>
        <w:tc>
          <w:tcPr/>
          <w:p>
            <w:pPr>
              <w:pStyle w:val="Compact"/>
              <w:jc w:val="left"/>
            </w:pPr>
            <w:r>
              <w:t xml:space="preserve">female manager</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w:t>
            </w:r>
          </w:p>
        </w:tc>
      </w:tr>
      <w:tr>
        <w:tc>
          <w:tcPr/>
          <w:p>
            <w:pPr>
              <w:pStyle w:val="Compact"/>
              <w:jc w:val="left"/>
            </w:pPr>
            <w:r>
              <w:t xml:space="preserve">FSTS×ICRV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−0.086</w:t>
            </w:r>
          </w:p>
        </w:tc>
      </w:tr>
      <w:tr>
        <w:tc>
          <w:tcPr/>
          <w:p>
            <w:pPr>
              <w:pStyle w:val="Compact"/>
              <w:jc w:val="left"/>
            </w:pPr>
            <w:r>
              <w:t xml:space="preserve">FSTS²×ICRV</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−0.013</w:t>
            </w:r>
          </w:p>
        </w:tc>
      </w:tr>
      <w:tr>
        <w:tc>
          <w:tcPr/>
          <w:p>
            <w:pPr>
              <w:pStyle w:val="Compact"/>
              <w:jc w:val="left"/>
            </w:pPr>
            <w:r>
              <w:t xml:space="preserve">N</w:t>
            </w:r>
          </w:p>
        </w:tc>
        <w:tc>
          <w:tcPr/>
          <w:p>
            <w:pPr>
              <w:pStyle w:val="Compact"/>
              <w:jc w:val="right"/>
            </w:pPr>
            <w:r>
              <w:t xml:space="preserve">81,022</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79,080</w:t>
            </w:r>
          </w:p>
        </w:tc>
        <w:tc>
          <w:tcPr/>
          <w:p>
            <w:pPr>
              <w:pStyle w:val="Compact"/>
              <w:jc w:val="right"/>
            </w:pPr>
            <w:r>
              <w:t xml:space="preserve">75,029</w:t>
            </w:r>
          </w:p>
        </w:tc>
        <w:tc>
          <w:tcPr/>
          <w:p>
            <w:pPr>
              <w:pStyle w:val="Compact"/>
              <w:jc w:val="right"/>
            </w:pPr>
            <w:r>
              <w:t xml:space="preserve">79,080</w:t>
            </w:r>
          </w:p>
        </w:tc>
      </w:tr>
    </w:tbl>
    <w:p>
      <w:pPr>
        <w:pStyle w:val="BodyText"/>
      </w:pPr>
      <w:r>
        <w:rPr>
          <w:iCs/>
          <w:i/>
        </w:rPr>
        <w:t xml:space="preserve">Note.</w:t>
      </w:r>
      <w:r>
        <w:t xml:space="preserve"> </w:t>
      </w:r>
      <w:r>
        <w:t xml:space="preserve">Two-way FE (economy, year); SEs clustered by economy. *** p &lt; .001, ** p &lt; .01, * p &lt; .05, † p &lt; .10. Capability (TCI, DAI) carries robust positive level effects throughout; none of the FSTS×capability or FSTS×ICRV interaction terms is significant — the pooled curve is reshaped by neither capability nor a linear institutional gradient. Reproducible via</w:t>
      </w:r>
      <w:r>
        <w:t xml:space="preserve"> </w:t>
      </w:r>
      <w:r>
        <w:rPr>
          <w:rStyle w:val="VerbatimChar"/>
        </w:rPr>
        <w:t xml:space="preserve">scripts/p7_full_ladder.py</w:t>
      </w:r>
      <w:r>
        <w:t xml:space="preserve">.</w:t>
      </w:r>
    </w:p>
    <w:p>
      <w:pPr>
        <w:pStyle w:val="BodyText"/>
      </w:pPr>
      <w:r>
        <w:rPr>
          <w:bCs/>
          <w:b/>
        </w:rPr>
        <w:t xml:space="preserve">Table 4: Turning points within each ICRV regime</w:t>
      </w:r>
      <w:r>
        <w:t xml:space="preserve"> </w:t>
      </w:r>
      <w:r>
        <w:t xml:space="preserve">(capability-adjusted M4 form; two-way FE)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ICRV group</w:t>
            </w:r>
          </w:p>
        </w:tc>
        <w:tc>
          <w:tcPr/>
          <w:p>
            <w:pPr>
              <w:pStyle w:val="Compact"/>
              <w:jc w:val="right"/>
            </w:pPr>
            <w:r>
              <w:t xml:space="preserve">N</w:t>
            </w:r>
          </w:p>
        </w:tc>
        <w:tc>
          <w:tcPr/>
          <w:p>
            <w:pPr>
              <w:pStyle w:val="Compact"/>
              <w:jc w:val="right"/>
            </w:pPr>
            <w:r>
              <w:t xml:space="preserve">β₁</w:t>
            </w:r>
          </w:p>
        </w:tc>
        <w:tc>
          <w:tcPr/>
          <w:p>
            <w:pPr>
              <w:pStyle w:val="Compact"/>
              <w:jc w:val="right"/>
            </w:pPr>
            <w:r>
              <w:t xml:space="preserve">β₂</w:t>
            </w:r>
          </w:p>
        </w:tc>
        <w:tc>
          <w:tcPr/>
          <w:p>
            <w:pPr>
              <w:pStyle w:val="Compact"/>
              <w:jc w:val="right"/>
            </w:pPr>
            <w:r>
              <w:t xml:space="preserve">Turning point (%)</w:t>
            </w:r>
          </w:p>
        </w:tc>
        <w:tc>
          <w:tcPr/>
          <w:p>
            <w:pPr>
              <w:pStyle w:val="Compact"/>
              <w:jc w:val="left"/>
            </w:pPr>
            <w:r>
              <w:t xml:space="preserve">Reading</w:t>
            </w:r>
          </w:p>
        </w:tc>
      </w:tr>
      <w:tr>
        <w:tc>
          <w:tcPr/>
          <w:p>
            <w:pPr>
              <w:pStyle w:val="Compact"/>
              <w:jc w:val="left"/>
            </w:pPr>
            <w:r>
              <w:t xml:space="preserve">I Advanced innovation (incl. Japan)</w:t>
            </w:r>
          </w:p>
        </w:tc>
        <w:tc>
          <w:tcPr/>
          <w:p>
            <w:pPr>
              <w:pStyle w:val="Compact"/>
              <w:jc w:val="right"/>
            </w:pPr>
            <w:r>
              <w:t xml:space="preserve">5,581</w:t>
            </w:r>
          </w:p>
        </w:tc>
        <w:tc>
          <w:tcPr/>
          <w:p>
            <w:pPr>
              <w:pStyle w:val="Compact"/>
              <w:jc w:val="right"/>
            </w:pPr>
            <w:r>
              <w:t xml:space="preserve">+0.707</w:t>
            </w:r>
          </w:p>
        </w:tc>
        <w:tc>
          <w:tcPr/>
          <w:p>
            <w:pPr>
              <w:pStyle w:val="Compact"/>
              <w:jc w:val="right"/>
            </w:pPr>
            <w:r>
              <w:t xml:space="preserve">−0.504</w:t>
            </w:r>
          </w:p>
        </w:tc>
        <w:tc>
          <w:tcPr/>
          <w:p>
            <w:pPr>
              <w:pStyle w:val="Compact"/>
              <w:jc w:val="right"/>
            </w:pPr>
            <w:r>
              <w:t xml:space="preserve">≈ 80</w:t>
            </w:r>
          </w:p>
        </w:tc>
        <w:tc>
          <w:tcPr/>
          <w:p>
            <w:pPr>
              <w:pStyle w:val="Compact"/>
              <w:jc w:val="left"/>
            </w:pPr>
            <w:r>
              <w:t xml:space="preserve">near-linear (beyond range)</w:t>
            </w:r>
          </w:p>
        </w:tc>
      </w:tr>
      <w:tr>
        <w:tc>
          <w:tcPr/>
          <w:p>
            <w:pPr>
              <w:pStyle w:val="Compact"/>
              <w:jc w:val="left"/>
            </w:pPr>
            <w:r>
              <w:t xml:space="preserve">II Advanced resource (GCC)</w:t>
            </w:r>
          </w:p>
        </w:tc>
        <w:tc>
          <w:tcPr/>
          <w:p>
            <w:pPr>
              <w:pStyle w:val="Compact"/>
              <w:jc w:val="right"/>
            </w:pPr>
            <w:r>
              <w:t xml:space="preserve">2,075</w:t>
            </w:r>
          </w:p>
        </w:tc>
        <w:tc>
          <w:tcPr/>
          <w:p>
            <w:pPr>
              <w:pStyle w:val="Compact"/>
              <w:jc w:val="right"/>
            </w:pPr>
            <w:r>
              <w:t xml:space="preserve">+0.774</w:t>
            </w:r>
          </w:p>
        </w:tc>
        <w:tc>
          <w:tcPr/>
          <w:p>
            <w:pPr>
              <w:pStyle w:val="Compact"/>
              <w:jc w:val="right"/>
            </w:pPr>
            <w:r>
              <w:t xml:space="preserve">−0.730</w:t>
            </w:r>
          </w:p>
        </w:tc>
        <w:tc>
          <w:tcPr/>
          <w:p>
            <w:pPr>
              <w:pStyle w:val="Compact"/>
              <w:jc w:val="right"/>
            </w:pPr>
            <w:r>
              <w:t xml:space="preserve">56.6</w:t>
            </w:r>
          </w:p>
        </w:tc>
        <w:tc>
          <w:tcPr/>
          <w:p>
            <w:pPr>
              <w:pStyle w:val="Compact"/>
              <w:jc w:val="left"/>
            </w:pPr>
            <w:r>
              <w:t xml:space="preserve">broad inverted-U</w:t>
            </w:r>
          </w:p>
        </w:tc>
      </w:tr>
      <w:tr>
        <w:tc>
          <w:tcPr/>
          <w:p>
            <w:pPr>
              <w:pStyle w:val="Compact"/>
              <w:jc w:val="left"/>
            </w:pPr>
            <w:r>
              <w:t xml:space="preserve">III Upper-middle</w:t>
            </w:r>
          </w:p>
        </w:tc>
        <w:tc>
          <w:tcPr/>
          <w:p>
            <w:pPr>
              <w:pStyle w:val="Compact"/>
              <w:jc w:val="right"/>
            </w:pPr>
            <w:r>
              <w:t xml:space="preserve">12,055</w:t>
            </w:r>
          </w:p>
        </w:tc>
        <w:tc>
          <w:tcPr/>
          <w:p>
            <w:pPr>
              <w:pStyle w:val="Compact"/>
              <w:jc w:val="right"/>
            </w:pPr>
            <w:r>
              <w:t xml:space="preserve">+0.174</w:t>
            </w:r>
          </w:p>
        </w:tc>
        <w:tc>
          <w:tcPr/>
          <w:p>
            <w:pPr>
              <w:pStyle w:val="Compact"/>
              <w:jc w:val="right"/>
            </w:pPr>
            <w:r>
              <w:t xml:space="preserve">−0.189</w:t>
            </w:r>
          </w:p>
        </w:tc>
        <w:tc>
          <w:tcPr/>
          <w:p>
            <w:pPr>
              <w:pStyle w:val="Compact"/>
              <w:jc w:val="right"/>
            </w:pPr>
            <w:r>
              <w:t xml:space="preserve">56.4</w:t>
            </w:r>
          </w:p>
        </w:tc>
        <w:tc>
          <w:tcPr/>
          <w:p>
            <w:pPr>
              <w:pStyle w:val="Compact"/>
              <w:jc w:val="left"/>
            </w:pPr>
            <w:r>
              <w:t xml:space="preserve">weak/flat</w:t>
            </w:r>
          </w:p>
        </w:tc>
      </w:tr>
      <w:tr>
        <w:tc>
          <w:tcPr/>
          <w:p>
            <w:pPr>
              <w:pStyle w:val="Compact"/>
              <w:jc w:val="left"/>
            </w:pPr>
            <w:r>
              <w:t xml:space="preserve">IV Lower-middle transition</w:t>
            </w:r>
          </w:p>
        </w:tc>
        <w:tc>
          <w:tcPr/>
          <w:p>
            <w:pPr>
              <w:pStyle w:val="Compact"/>
              <w:jc w:val="right"/>
            </w:pPr>
            <w:r>
              <w:t xml:space="preserve">42,094</w:t>
            </w:r>
          </w:p>
        </w:tc>
        <w:tc>
          <w:tcPr/>
          <w:p>
            <w:pPr>
              <w:pStyle w:val="Compact"/>
              <w:jc w:val="right"/>
            </w:pPr>
            <w:r>
              <w:t xml:space="preserve">+0.689</w:t>
            </w:r>
          </w:p>
        </w:tc>
        <w:tc>
          <w:tcPr/>
          <w:p>
            <w:pPr>
              <w:pStyle w:val="Compact"/>
              <w:jc w:val="right"/>
            </w:pPr>
            <w:r>
              <w:t xml:space="preserve">−1.012</w:t>
            </w:r>
          </w:p>
        </w:tc>
        <w:tc>
          <w:tcPr/>
          <w:p>
            <w:pPr>
              <w:pStyle w:val="Compact"/>
              <w:jc w:val="right"/>
            </w:pPr>
            <w:r>
              <w:rPr>
                <w:bCs/>
                <w:b/>
              </w:rPr>
              <w:t xml:space="preserve">≈ 43</w:t>
            </w:r>
          </w:p>
        </w:tc>
        <w:tc>
          <w:tcPr/>
          <w:p>
            <w:pPr>
              <w:pStyle w:val="Compact"/>
              <w:jc w:val="left"/>
            </w:pPr>
            <w:r>
              <w:t xml:space="preserve">sharp inverted-U</w:t>
            </w:r>
          </w:p>
        </w:tc>
      </w:tr>
      <w:tr>
        <w:tc>
          <w:tcPr/>
          <w:p>
            <w:pPr>
              <w:pStyle w:val="Compact"/>
              <w:jc w:val="left"/>
            </w:pPr>
            <w:r>
              <w:t xml:space="preserve">V Emerging</w:t>
            </w:r>
          </w:p>
        </w:tc>
        <w:tc>
          <w:tcPr/>
          <w:p>
            <w:pPr>
              <w:pStyle w:val="Compact"/>
              <w:jc w:val="right"/>
            </w:pPr>
            <w:r>
              <w:t xml:space="preserve">15,457</w:t>
            </w:r>
          </w:p>
        </w:tc>
        <w:tc>
          <w:tcPr/>
          <w:p>
            <w:pPr>
              <w:pStyle w:val="Compact"/>
              <w:jc w:val="right"/>
            </w:pPr>
            <w:r>
              <w:t xml:space="preserve">+0.235</w:t>
            </w:r>
          </w:p>
        </w:tc>
        <w:tc>
          <w:tcPr/>
          <w:p>
            <w:pPr>
              <w:pStyle w:val="Compact"/>
              <w:jc w:val="right"/>
            </w:pPr>
            <w:r>
              <w:t xml:space="preserve">−0.455</w:t>
            </w:r>
          </w:p>
        </w:tc>
        <w:tc>
          <w:tcPr/>
          <w:p>
            <w:pPr>
              <w:pStyle w:val="Compact"/>
              <w:jc w:val="right"/>
            </w:pPr>
            <w:r>
              <w:t xml:space="preserve">36.8</w:t>
            </w:r>
          </w:p>
        </w:tc>
        <w:tc>
          <w:tcPr/>
          <w:p>
            <w:pPr>
              <w:pStyle w:val="Compact"/>
              <w:jc w:val="left"/>
            </w:pPr>
            <w:r>
              <w:t xml:space="preserve">dissolving</w:t>
            </w:r>
          </w:p>
        </w:tc>
      </w:tr>
      <w:tr>
        <w:tc>
          <w:tcPr/>
          <w:p>
            <w:pPr>
              <w:pStyle w:val="Compact"/>
              <w:jc w:val="left"/>
            </w:pPr>
            <w:r>
              <w:t xml:space="preserve">VI Pacific SIDS</w:t>
            </w:r>
          </w:p>
        </w:tc>
        <w:tc>
          <w:tcPr/>
          <w:p>
            <w:pPr>
              <w:pStyle w:val="Compact"/>
              <w:jc w:val="right"/>
            </w:pPr>
            <w:r>
              <w:t xml:space="preserve">1,818</w:t>
            </w:r>
          </w:p>
        </w:tc>
        <w:tc>
          <w:tcPr/>
          <w:p>
            <w:pPr>
              <w:pStyle w:val="Compact"/>
              <w:jc w:val="right"/>
            </w:pPr>
            <w:r>
              <w:t xml:space="preserve">−0.681</w:t>
            </w:r>
          </w:p>
        </w:tc>
        <w:tc>
          <w:tcPr/>
          <w:p>
            <w:pPr>
              <w:pStyle w:val="Compact"/>
              <w:jc w:val="right"/>
            </w:pPr>
            <w:r>
              <w:t xml:space="preserve">+0.870</w:t>
            </w:r>
          </w:p>
        </w:tc>
        <w:tc>
          <w:tcPr/>
          <w:p>
            <w:pPr>
              <w:pStyle w:val="Compact"/>
              <w:jc w:val="right"/>
            </w:pPr>
            <w:r>
              <w:t xml:space="preserve">—</w:t>
            </w:r>
          </w:p>
        </w:tc>
        <w:tc>
          <w:tcPr/>
          <w:p>
            <w:pPr>
              <w:pStyle w:val="Compact"/>
              <w:jc w:val="left"/>
            </w:pPr>
            <w:r>
              <w:t xml:space="preserve">no inverted-U (FIP)</w:t>
            </w:r>
          </w:p>
        </w:tc>
      </w:tr>
    </w:tbl>
    <w:p>
      <w:pPr>
        <w:pStyle w:val="BodyText"/>
      </w:pPr>
      <w:r>
        <w:rPr>
          <w:iCs/>
          <w:i/>
        </w:rPr>
        <w:t xml:space="preserve">Note.</w:t>
      </w:r>
      <w:r>
        <w:t xml:space="preserve"> </w:t>
      </w:r>
      <w:r>
        <w:t xml:space="preserve">Within-group quadratic with controls and two-way FE. The three-zone structure (sharp in the transition regime, near-linear at the top, dissolving at the bottom) is the paper's central institutional finding. Consistent with the dissertation's canonical per-ICRV values.</w:t>
      </w:r>
    </w:p>
    <w:p>
      <w:r>
        <w:pict>
          <v:rect style="width:0;height:1.5pt" o:hralign="center" o:hrstd="t" o:hr="t"/>
        </w:pict>
      </w:r>
    </w:p>
    <w:bookmarkEnd w:id="75"/>
    <w:bookmarkStart w:id="7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gsj.1028" TargetMode="External" /><Relationship Type="http://schemas.openxmlformats.org/officeDocument/2006/relationships/hyperlink" Id="rId59" Target="https://doi.org/10.1002/smj.2399" TargetMode="External" /><Relationship Type="http://schemas.openxmlformats.org/officeDocument/2006/relationships/hyperlink" Id="rId71" Target="https://doi.org/10.1002/smj.4250050207" TargetMode="External" /><Relationship Type="http://schemas.openxmlformats.org/officeDocument/2006/relationships/hyperlink" Id="rId57" Target="https://doi.org/10.1007/s10869-013-9308-7" TargetMode="External" /><Relationship Type="http://schemas.openxmlformats.org/officeDocument/2006/relationships/hyperlink" Id="rId52" Target="https://doi.org/10.1007/s11187-005-5599-z" TargetMode="External" /><Relationship Type="http://schemas.openxmlformats.org/officeDocument/2006/relationships/hyperlink" Id="rId51" Target="https://doi.org/10.1007/s11575-007-0019-z" TargetMode="External" /><Relationship Type="http://schemas.openxmlformats.org/officeDocument/2006/relationships/hyperlink" Id="rId70" Target="https://doi.org/10.1016/j.jbusres.2019.09.022" TargetMode="External" /><Relationship Type="http://schemas.openxmlformats.org/officeDocument/2006/relationships/hyperlink" Id="rId55" Target="https://doi.org/10.1016/j.jwb.2007.06.003" TargetMode="External" /><Relationship Type="http://schemas.openxmlformats.org/officeDocument/2006/relationships/hyperlink" Id="rId69" Target="https://doi.org/10.1016/j.jwb.2007.11.009" TargetMode="External" /><Relationship Type="http://schemas.openxmlformats.org/officeDocument/2006/relationships/hyperlink" Id="rId56" Target="https://doi.org/10.1016/j.jwb.2017.11.003" TargetMode="External" /><Relationship Type="http://schemas.openxmlformats.org/officeDocument/2006/relationships/hyperlink" Id="rId63" Target="https://doi.org/10.1057/jibs.2009.24" TargetMode="External" /><Relationship Type="http://schemas.openxmlformats.org/officeDocument/2006/relationships/hyperlink" Id="rId68" Target="https://doi.org/10.1057/jibs.2016.7" TargetMode="External" /><Relationship Type="http://schemas.openxmlformats.org/officeDocument/2006/relationships/hyperlink" Id="rId54" Target="https://doi.org/10.1057/palgrave.jibs.8400003" TargetMode="External" /><Relationship Type="http://schemas.openxmlformats.org/officeDocument/2006/relationships/hyperlink" Id="rId58" Target="https://doi.org/10.1057/palgrave.jibs.8490065" TargetMode="External" /><Relationship Type="http://schemas.openxmlformats.org/officeDocument/2006/relationships/hyperlink" Id="rId62" Target="https://doi.org/10.1057/palgrave.jibs.8490676" TargetMode="External" /><Relationship Type="http://schemas.openxmlformats.org/officeDocument/2006/relationships/hyperlink" Id="rId66" Target="https://doi.org/10.1080/00031305.2000.10474549" TargetMode="External" /><Relationship Type="http://schemas.openxmlformats.org/officeDocument/2006/relationships/hyperlink" Id="rId65" Target="https://doi.org/10.1111/j.1468-0084.2009.00569.x" TargetMode="External" /><Relationship Type="http://schemas.openxmlformats.org/officeDocument/2006/relationships/hyperlink" Id="rId50" Target="https://doi.org/10.1177/014920639101700108" TargetMode="External" /><Relationship Type="http://schemas.openxmlformats.org/officeDocument/2006/relationships/hyperlink" Id="rId67" Target="https://doi.org/10.2307/20159604" TargetMode="External" /><Relationship Type="http://schemas.openxmlformats.org/officeDocument/2006/relationships/hyperlink" Id="rId53" Target="https://doi.org/10.2307/2393553" TargetMode="External" /><Relationship Type="http://schemas.openxmlformats.org/officeDocument/2006/relationships/hyperlink" Id="rId61" Target="https://doi.org/10.5465/amr.1984.4277628" TargetMode="External" /><Relationship Type="http://schemas.openxmlformats.org/officeDocument/2006/relationships/hyperlink" Id="rId60" Target="https://doi.org/10.5465/amr.2007.24345254" TargetMode="External" /><Relationship Type="http://schemas.openxmlformats.org/officeDocument/2006/relationships/hyperlink" Id="rId72" Target="https://www.enterprisesurveys.org" TargetMode="External" /><Relationship Type="http://schemas.openxmlformats.org/officeDocument/2006/relationships/hyperlink" Id="rId73"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2026-06-14T10:36:33Z</dcterms:created>
  <dcterms:modified xsi:type="dcterms:W3CDTF">2026-06-14T10:36:33Z</dcterms:modified>
</cp:coreProperties>
</file>

<file path=docProps/custom.xml><?xml version="1.0" encoding="utf-8"?>
<Properties xmlns="http://schemas.openxmlformats.org/officeDocument/2006/custom-properties" xmlns:vt="http://schemas.openxmlformats.org/officeDocument/2006/docPropsVTypes"/>
</file>