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30"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p>
      <w:r>
        <w:pict>
          <v:rect style="width:0;height:1.5pt" o:hralign="center" o:hrstd="t" o:hr="t"/>
        </w:pict>
      </w:r>
    </w:p>
    <w:bookmarkEnd w:id="20"/>
    <w:bookmarkStart w:id="21"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1"/>
    <w:bookmarkStart w:id="22"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2"/>
    <w:bookmarkStart w:id="23"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 mô hình Uppsala, lý thuyết dựa trên nguồn lực (RBV), lý thuyết thể chế và lý thuyết thượng tầng quản trị —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49 nền kinh tế châu Á và Thái Bình Dương (mẫu phân tích chính N = 91.982 doanh nghiệp), bổ sung bằng các phân tích quốc gia chuyên sâu (Việt Nam, Singapore, Trung Quốc) và trường hợp biên là chín nền kinh tế đảo nhỏ đang phát triển (SIDS).</w:t>
      </w:r>
    </w:p>
    <w:p>
      <w:pPr>
        <w:pStyle w:val="BodyText"/>
      </w:pPr>
      <w:r>
        <w:t xml:space="preserve">Kết quả chính: (1) quan hệ I–P có dạng phi tuyến chữ U ngược, nhưng điểm uốn (turning point) không cố định mà giảm dần theo chất lượng thể chế — từ khoảng 55% cường độ xuất khẩu ở các nền kinh tế thể chế yếu xuống khoảng 28% ở các nền kinh tế thể chế mạnh; (2) TCI là năng lực nền tảng nâng mặt bằng hiệu quả phổ quát, trong khi DAI là nguồn lực tình huống làm thay đổi độ cong đường quan hệ và phát huy mạnh hơn ở môi trường thể chế yếu (hiệu ứng "lá chắn số"); (3) tại nhóm SIDS, quan hệ I–P chuyển thành âm đơn điệu không có điểm uốn —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3"/>
    <w:bookmarkStart w:id="24"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 the Uppsala model, the resource-based view (RBV), institutional theory, and upper echelons theory —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49 Asian and Pacific economies (main analytic sample N = 91,982 firms), complemented by country-specific analyses (Vietnam, Singapore, China) and a boundary case of nine Small Island Developing States (SIDS).</w:t>
      </w:r>
    </w:p>
    <w:p>
      <w:pPr>
        <w:pStyle w:val="BodyText"/>
      </w:pPr>
      <w:r>
        <w:t xml:space="preserve">Key findings: (1) the I–P relationship is inverted-U shaped, but the turning point is not fixed — it declines with institutional quality, from roughly 55% export intensity in weak-institution economies to about 28% in strong-institution economies; (2) TCI is a foundational capability that universally shifts the performance level, whereas DAI is a situational resource that reshapes the curve and is most effective in weaker institutional environments (a "digital shield" effect); (3) in the SIDS group the relationship becomes monotonically negative with no turning point —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4"/>
    <w:bookmarkStart w:id="25" w:name="mục-lục"/>
    <w:p>
      <w:pPr>
        <w:pStyle w:val="Heading2"/>
      </w:pPr>
      <w:r>
        <w:t xml:space="preserve">MỤC LỤC</w:t>
      </w:r>
    </w:p>
    <w:p>
      <w:pPr>
        <w:pStyle w:val="FirstParagraph"/>
      </w:pPr>
      <w:r>
        <w:rPr>
          <w:iCs/>
          <w:i/>
        </w:rPr>
        <w:t xml:space="preserve">(Tự động cập nhật khi xuất bản; cấu trúc tóm tắt)</w:t>
      </w:r>
    </w:p>
    <w:p>
      <w:pPr>
        <w:numPr>
          <w:ilvl w:val="0"/>
          <w:numId w:val="1001"/>
        </w:numPr>
        <w:pStyle w:val="Compact"/>
      </w:pPr>
      <w:r>
        <w:t xml:space="preserve">Chương 1. Giới thiệu</w:t>
      </w:r>
    </w:p>
    <w:p>
      <w:pPr>
        <w:numPr>
          <w:ilvl w:val="0"/>
          <w:numId w:val="1001"/>
        </w:numPr>
        <w:pStyle w:val="Compact"/>
      </w:pPr>
      <w:r>
        <w:t xml:space="preserve">Chương 2. Cơ sở lý thuyết và tổng quan tài liệu</w:t>
      </w:r>
    </w:p>
    <w:p>
      <w:pPr>
        <w:numPr>
          <w:ilvl w:val="0"/>
          <w:numId w:val="1001"/>
        </w:numPr>
        <w:pStyle w:val="Compact"/>
      </w:pPr>
      <w:r>
        <w:t xml:space="preserve">Chương 3. Phương pháp nghiên cứu</w:t>
      </w:r>
    </w:p>
    <w:p>
      <w:pPr>
        <w:numPr>
          <w:ilvl w:val="0"/>
          <w:numId w:val="1001"/>
        </w:numPr>
        <w:pStyle w:val="Compact"/>
      </w:pPr>
      <w:r>
        <w:t xml:space="preserve">Chương 4. Kết quả nghiên cứu</w:t>
      </w:r>
    </w:p>
    <w:p>
      <w:pPr>
        <w:numPr>
          <w:ilvl w:val="0"/>
          <w:numId w:val="1001"/>
        </w:numPr>
        <w:pStyle w:val="Compact"/>
      </w:pPr>
      <w:r>
        <w:t xml:space="preserve">Chương 5. Thảo luận và kết luận</w:t>
      </w:r>
    </w:p>
    <w:p>
      <w:pPr>
        <w:numPr>
          <w:ilvl w:val="0"/>
          <w:numId w:val="1001"/>
        </w:numPr>
        <w:pStyle w:val="Compact"/>
      </w:pPr>
      <w:r>
        <w:t xml:space="preserve">Tài liệu tham khảo</w:t>
      </w:r>
    </w:p>
    <w:p>
      <w:pPr>
        <w:numPr>
          <w:ilvl w:val="0"/>
          <w:numId w:val="1001"/>
        </w:numPr>
        <w:pStyle w:val="Compact"/>
      </w:pPr>
      <w:r>
        <w:t xml:space="preserve">Phụ lục</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danh-mục-bảng"/>
    <w:p>
      <w:pPr>
        <w:pStyle w:val="Heading2"/>
      </w:pPr>
      <w:r>
        <w:t xml:space="preserve">DANH MỤC BẢNG</w:t>
      </w:r>
    </w:p>
    <w:p>
      <w:pPr>
        <w:pStyle w:val="FirstParagraph"/>
      </w:pPr>
      <w:r>
        <w:rPr>
          <w:iCs/>
          <w:i/>
        </w:rPr>
        <w:t xml:space="preserve">(Tự động cập nhật. Ví dụ: Bảng 4.1 — Phân tán năng suất lao động và đặc điểm quốc tế hóa theo phân nhóm con ICRV; Bảng 4.2 — Đổi mới sáng tạo và chấp nhận số theo phân nhóm con ICRV; Bảng định nghĩa biến cho từng nghiên cứu thành phần ở Chương 3; Bảng tổng hợp kết quả theo hệ giả thuyết §4.8.)</w:t>
      </w:r>
    </w:p>
    <w:bookmarkEnd w:id="27"/>
    <w:bookmarkStart w:id="28" w:name="danh-mục-hình"/>
    <w:p>
      <w:pPr>
        <w:pStyle w:val="Heading2"/>
      </w:pPr>
      <w:r>
        <w:t xml:space="preserve">DANH MỤC HÌNH</w:t>
      </w:r>
    </w:p>
    <w:p>
      <w:pPr>
        <w:numPr>
          <w:ilvl w:val="0"/>
          <w:numId w:val="1002"/>
        </w:numPr>
        <w:pStyle w:val="Compact"/>
      </w:pPr>
      <w:r>
        <w:t xml:space="preserve">Hình 2.1. Khung khái niệm tích hợp đa tầng CDCM (Chương 2)</w:t>
      </w:r>
    </w:p>
    <w:p>
      <w:pPr>
        <w:numPr>
          <w:ilvl w:val="0"/>
          <w:numId w:val="1002"/>
        </w:numPr>
        <w:pStyle w:val="Compact"/>
      </w:pPr>
      <w:r>
        <w:t xml:space="preserve">Hình 4.x. Họ đường cong I–P phụ thuộc chế độ thể chế ICRV (Chương 4)</w:t>
      </w:r>
    </w:p>
    <w:p>
      <w:pPr>
        <w:numPr>
          <w:ilvl w:val="0"/>
          <w:numId w:val="1002"/>
        </w:numPr>
        <w:pStyle w:val="Compact"/>
      </w:pPr>
      <w:r>
        <w:t xml:space="preserve">Các hình mô tả bổ sung (phân bố pool, mật độ năng suất, v.v.) đặt tại</w:t>
      </w:r>
      <w:r>
        <w:t xml:space="preserve"> </w:t>
      </w:r>
      <w:r>
        <w:rPr>
          <w:rStyle w:val="VerbatimChar"/>
        </w:rPr>
        <w:t xml:space="preserve">thesis/figures/</w:t>
      </w:r>
      <w:r>
        <w:t xml:space="preserve">.</w:t>
      </w:r>
    </w:p>
    <w:p>
      <w:r>
        <w:pict>
          <v:rect style="width:0;height:1.5pt" o:hralign="center" o:hrstd="t" o:hr="t"/>
        </w:pict>
      </w:r>
    </w:p>
    <w:bookmarkEnd w:id="28"/>
    <w:bookmarkStart w:id="29"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P1–P8) của nghiên cứu sinh. Các công trình được phân tách rõ theo trạng thái công bố.</w:t>
      </w:r>
    </w:p>
    <w:p>
      <w:pPr>
        <w:pStyle w:val="BodyText"/>
      </w:pPr>
      <w:r>
        <w:rPr>
          <w:bCs/>
          <w:b/>
        </w:rPr>
        <w:t xml:space="preserve">A. Đã công bố (peer-reviewed)</w:t>
      </w:r>
    </w:p>
    <w:p>
      <w:pPr>
        <w:numPr>
          <w:ilvl w:val="0"/>
          <w:numId w:val="1003"/>
        </w:numPr>
        <w:pStyle w:val="Compac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r>
        <w:t xml:space="preserve"> </w:t>
      </w:r>
      <w:r>
        <w:rPr>
          <w:iCs/>
          <w:i/>
        </w:rPr>
        <w:t xml:space="preserve">(Cơ sở baseline meta-analysis — P1/P2.)</w:t>
      </w:r>
    </w:p>
    <w:p>
      <w:pPr>
        <w:numPr>
          <w:ilvl w:val="0"/>
          <w:numId w:val="1003"/>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3"/>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4"/>
        </w:numPr>
        <w:pStyle w:val="Compact"/>
      </w:pPr>
      <w:r>
        <w:t xml:space="preserve">Nghiên cứu thành phần P3 — Việt Nam (bối cảnh chuyển đổi thu nhập trung bình thấp).</w:t>
      </w:r>
      <w:r>
        <w:t xml:space="preserve"> </w:t>
      </w:r>
      <w:r>
        <w:rPr>
          <w:iCs/>
          <w:i/>
        </w:rPr>
        <w:t xml:space="preserve">[Bản thảo đang bình duyệt.]</w:t>
      </w:r>
    </w:p>
    <w:p>
      <w:pPr>
        <w:numPr>
          <w:ilvl w:val="0"/>
          <w:numId w:val="1004"/>
        </w:numPr>
        <w:pStyle w:val="Compact"/>
      </w:pPr>
      <w:r>
        <w:t xml:space="preserve">Nghiên cứu thành phần P4 — Singapore (bối cảnh thể chế tiên tiến–đổi mới).</w:t>
      </w:r>
      <w:r>
        <w:t xml:space="preserve"> </w:t>
      </w:r>
      <w:r>
        <w:rPr>
          <w:iCs/>
          <w:i/>
        </w:rPr>
        <w:t xml:space="preserve">[Bản thảo đang bình duyệt.]</w:t>
      </w:r>
    </w:p>
    <w:p>
      <w:pPr>
        <w:numPr>
          <w:ilvl w:val="0"/>
          <w:numId w:val="1004"/>
        </w:numPr>
        <w:pStyle w:val="Compact"/>
      </w:pPr>
      <w:r>
        <w:t xml:space="preserve">Nghiên cứu thành phần P5 — Trung Quốc 2012–2024 (bối cảnh upper-middle).</w:t>
      </w:r>
      <w:r>
        <w:t xml:space="preserve"> </w:t>
      </w:r>
      <w:r>
        <w:rPr>
          <w:iCs/>
          <w:i/>
        </w:rPr>
        <w:t xml:space="preserve">[Bản thảo đang bình duyệt.]</w:t>
      </w:r>
    </w:p>
    <w:p>
      <w:pPr>
        <w:numPr>
          <w:ilvl w:val="0"/>
          <w:numId w:val="1004"/>
        </w:numPr>
        <w:pStyle w:val="Compact"/>
      </w:pPr>
      <w:r>
        <w:t xml:space="preserve">Nghiên cứu thành phần P6 — Meta-analysis ba tầng mở rộng 1982–2026.</w:t>
      </w:r>
      <w:r>
        <w:t xml:space="preserve"> </w:t>
      </w:r>
      <w:r>
        <w:rPr>
          <w:iCs/>
          <w:i/>
        </w:rPr>
        <w:t xml:space="preserve">[Bản thảo đang bình duyệt.]</w:t>
      </w:r>
    </w:p>
    <w:p>
      <w:pPr>
        <w:numPr>
          <w:ilvl w:val="0"/>
          <w:numId w:val="1004"/>
        </w:numPr>
        <w:pStyle w:val="Compact"/>
      </w:pPr>
      <w:r>
        <w:t xml:space="preserve">Nghiên cứu thành phần P7 — Kiểm định toàn mẫu 49 nền kinh tế châu Á và Thái Bình Dương (capstone).</w:t>
      </w:r>
      <w:r>
        <w:t xml:space="preserve"> </w:t>
      </w:r>
      <w:r>
        <w:rPr>
          <w:iCs/>
          <w:i/>
        </w:rPr>
        <w:t xml:space="preserve">[Bản thảo đang chỉnh sửa theo phản biện.]</w:t>
      </w:r>
    </w:p>
    <w:p>
      <w:pPr>
        <w:numPr>
          <w:ilvl w:val="0"/>
          <w:numId w:val="1004"/>
        </w:numPr>
        <w:pStyle w:val="Compact"/>
      </w:pPr>
      <w:r>
        <w:t xml:space="preserve">Nghiên cứu thành phần P8 — Trường hợp biên SIDS, gánh nặng quốc tế hóa bắt buộc (FIP).</w:t>
      </w:r>
      <w:r>
        <w:t xml:space="preserve"> </w:t>
      </w:r>
      <w:r>
        <w:rPr>
          <w:iCs/>
          <w:i/>
        </w:rPr>
        <w:t xml:space="preserve">[Bản thảo đang chỉnh sửa theo phản biện.]</w:t>
      </w:r>
    </w:p>
    <w:p>
      <w:pPr>
        <w:pStyle w:val="FirstParagraph"/>
      </w:pPr>
      <w:r>
        <w:rPr>
          <w:iCs/>
          <w:i/>
        </w:rPr>
        <w:t xml:space="preserve">Ghi chú về liêm chính học thuật: Theo định hướng luận án kết hợp công trình thành phần, các nghiên cứu P1–P8 là một phần nội dung nghiên cứu của chính luận án; do đó trong các chương, chúng được dẫn chiếu bằng nhãn nội bộ (P1–P8) thay vì trích dẫn tác giả–năm. Các bản thảo ở mục B CHƯA được công bố/bình duyệt chính thức, không được diễn giải như bằng chứng đã qua bình duyệt độc lập; tên tạp chí mục tiêu chỉ được nêu chính thức sau khi bài được chấp nhận. NCS cập nhật trạng thái tại thời điểm bảo vệ.</w:t>
      </w:r>
    </w:p>
    <w:p>
      <w:r>
        <w:pict>
          <v:rect style="width:0;height:1.5pt" o:hralign="center" o:hrstd="t" o:hr="t"/>
        </w:pict>
      </w:r>
    </w:p>
    <w:bookmarkEnd w:id="29"/>
    <w:bookmarkEnd w:id="3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2026-06-07T12:38:28Z</dcterms:created>
  <dcterms:modified xsi:type="dcterms:W3CDTF">2026-06-07T12:38:28Z</dcterms:modified>
</cp:coreProperties>
</file>

<file path=docProps/custom.xml><?xml version="1.0" encoding="utf-8"?>
<Properties xmlns="http://schemas.openxmlformats.org/officeDocument/2006/custom-properties" xmlns:vt="http://schemas.openxmlformats.org/officeDocument/2006/docPropsVTypes"/>
</file>