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doanh nghiệp, xác định những khoảng trống còn tồn tại trong literature,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24" w:name="Xeb842970bc83042d8d18acf50fede2fc1910f98"/>
    <w:p>
      <w:pPr>
        <w:pStyle w:val="Heading2"/>
      </w:pPr>
      <w:r>
        <w:t xml:space="preserve">2.1 Các khái niệm cốt lõi</w:t>
      </w:r>
    </w:p>
    <w:bookmarkStart w:id="20" w:name="X95197dc4b90af853c087270af074cb545b6a612"/>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 "toàn cầu hóa" — vốn mang nghĩa một xu hướng kinh tế vĩ mô — mà là một thuộc tính đo lường được ở cấp độ doanh nghiệp, phản ánh chiến lược mở rộng quốc tế và mức độ phụ thuộc vào thị trường nước ngoài.</w:t>
      </w:r>
    </w:p>
    <w:p>
      <w:pPr>
        <w:pStyle w:val="BodyText"/>
      </w:pPr>
      <w:r>
        <w:t xml:space="preserve">Trong literature, mức độ quốc tế hóa được vận hành hóa bằng nhiều thước đo khác nhau. Sullivan (1994) đề xuất một chỉ số tổng hợp đa chiều bao gồm tỷ trọng doanh thu từ nước ngoài trên tổng doanh thu (foreign sales to total sales — FSTS), tỷ trọng tài sản ở nước ngoài trên tổng tài sản (foreign assets to total assets — FATA), và phạm vi địa lý (geographic scope). Trong những nghiên cứu sử dụng dữ liệu doanh nghiệp từ các nền kinh tế đang phát triển và từ khảo sát doanh nghiệp của Ngân hàng Thế giới (World Bank Enterprise Surveys —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I–P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bookmarkEnd w:id="20"/>
    <w:bookmarkStart w:id="21" w:name="X23320108b4df79c6460d3f872858ea0cbd6d69f"/>
    <w:p>
      <w:pPr>
        <w:pStyle w:val="Heading3"/>
      </w:pPr>
      <w:r>
        <w:t xml:space="preserve">2.1.2 Hiệu quả hoạt động doanh nghiệp</w:t>
      </w:r>
    </w:p>
    <w:p>
      <w:pPr>
        <w:pStyle w:val="FirstParagraph"/>
      </w:pPr>
      <w:r>
        <w:t xml:space="preserve">Hiệu quả hoạt động doanh nghiệp (firm performance) là một khái niệm đa chiều không có một định nghĩa hoặc thước đo thống nhất trong literature.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 vốn không cung cấp thông tin về giá cổ phiếu hay giá trị thị trường —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và tăng trưởng doanh thu được sử dụng như các thước đo robustness để kiểm tra tính nhất quán của kết quả.</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21"/>
    <w:bookmarkStart w:id="22" w:name="X9c6b6eef2b3fa90aa8196d44cbc49a384fa7d7f"/>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construct: năng lực công nghệ (Technological Capability Index — TCI) và chỉ số chấp nhận số (Digital Adoption Index — DAI). Trong nhiều nghiên cứu trước đây, hai construct này thường bị gộp lại thành một khái niệm chung về "năng lực số" (digital capability), dẫn đến sự mơ hồ lý thuyết và sai lệch trong đo lường (Bhandari et al., 2023; Bustamante et al., 2022).</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 đây là chiều sâu nội tại của tổ chức, khó sao chép và tạo ra lợi thế bền vững theo tinh thần RBV (Barney, 1991).</w:t>
      </w:r>
    </w:p>
    <w:p>
      <w:pPr>
        <w:pStyle w:val="BodyText"/>
      </w:pPr>
      <w:r>
        <w:t xml:space="preserve">Chỉ số chấp nhận số (Digital Adoption Index — DAI), ngược lại, phản ánh mức độ áp dụng các công cụ số tại giao diện ngoại tại của doanh nghiệp —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proxy "foundational website adoption" từ dữ liệu WBES — đây là ràng buộc đo lường có chủ đích do giới hạn của bộ dữ liệu, không phải thiếu sót lý thuyết.</w:t>
      </w:r>
    </w:p>
    <w:p>
      <w:pPr>
        <w:pStyle w:val="BodyText"/>
      </w:pPr>
      <w:r>
        <w:t xml:space="preserve">Hai construct TCI và DAI không đồng nhất và vận hành theo cơ chế khác nhau trong mối quan hệ quốc tế hóa — hiệu quả: TCI hoạt động chủ yếu như một nhân tố nâng mặt bằng hiệu quả (level shifter), trong khi DAI có xu hướng làm thay đổi độ dốc hoặc độ cong của đường quan hệ I–P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22"/>
    <w:bookmarkStart w:id="23" w:name="X6bd70045f4aae0cc6208f3a45673fcdcfb9dd8a"/>
    <w:p>
      <w:pPr>
        <w:pStyle w:val="Heading3"/>
      </w:pPr>
      <w:r>
        <w:t xml:space="preserve">2.1.4 Bối cảnh thể chế và khung ICRV</w:t>
      </w:r>
    </w:p>
    <w:p>
      <w:pPr>
        <w:pStyle w:val="FirstParagraph"/>
      </w:pPr>
      <w:r>
        <w:t xml:space="preserve">Thể chế (institutions) theo North (1990) là "luật chơi" 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 Biến thiên chế độ bối cảnh thể chế) được phát triển như một công cụ phân loại có hệ thống. Khung ICRV chia 49 nền kinh tế trong phạm vi nghiên cứu thành sáu nhóm (sub-regime), dựa trên tổ hợp các chỉ số quản trị toàn cầu (World Governance Indicators — WGI) của Kaufmann et al. (2011), mức độ phát triển kinh tế, và đặc trưng cấu trúc thể chế: Nhóm I (Advanced Innovation-Driven, bao gồm Singapore, Hong Kong, Đài Loan, Hàn Quốc), Nhóm II (Advanced Resource-Driven, bao gồm các nền kinh tế vùng Vịnh), Nhóm III (Upper-middle, điển hình là Trung Quốc), Nhóm IV (Lower-middle transition, bao gồm Việt Nam và Ấn Độ), Nhóm V (Frontier), và Nhóm VI (SIDS —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gradient thể chế liên tục — từ môi trường thể chế mạnh, ít rủi ro (Nhóm I) đến môi trường thể chế yếu, nhiều rủi ro và khoảng trống thể chế (Nhóm V và VI). Gradient này tạo ra điều kiện biên (boundary conditions) quan trọng để kiểm định khả năng tổng quát hóa của mối quan hệ I–P, đặc biệt liên quan đến giả thuyết phi tuyến.</w:t>
      </w:r>
    </w:p>
    <w:p>
      <w:r>
        <w:pict>
          <v:rect style="width:0;height:1.5pt" o:hralign="center" o:hrstd="t" o:hr="t"/>
        </w:pict>
      </w:r>
    </w:p>
    <w:bookmarkEnd w:id="23"/>
    <w:bookmarkEnd w:id="24"/>
    <w:bookmarkStart w:id="30" w:name="Xd1f28dbba0aaaf84fdd94ae0c3fe8487075de6a"/>
    <w:p>
      <w:pPr>
        <w:pStyle w:val="Heading2"/>
      </w:pPr>
      <w:r>
        <w:t xml:space="preserve">2.2 Các lý thuyết nền</w:t>
      </w:r>
    </w:p>
    <w:bookmarkStart w:id="25" w:name="X123f2d0cccf9e047426163a78ac712a37336f74"/>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 "gánh nặng của người nước ngoài" (liability of foreignness) — chi phí và bất lợi mà doanh nghiệp phải gánh chịu khi hoạt động ở môi trường văn hóa, thể chế, và pháp lý xa lạ (Zaheer, 1995). Johanson và Vahlne (2009) cập nhật mô hình bằng cách bổ sung khái niệm "gánh nặng của người ngoài mạng lưới" (liability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 tức doanh nghiệp quốc tế hóa ngay từ giai đoạn đầu mà không theo trình tự tuần tự — và platform firms — tức doanh nghiệp công nghệ tận dụng nền tảng số để vươn ra thị trường quốc tế không cần hiện diện vật lý —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 "học hỏi tăng cường bằng dữ liệu số" (data-augmented learning) trong kỷ nguyên chuyển đổi số, nơi dữ liệu từ thị trường nước ngoài có thể được thu thập, xử lý và phân tích nhanh hơn nhiều so với trước (Banalieva &amp; Dhanaraj, 2019).</w:t>
      </w:r>
    </w:p>
    <w:bookmarkEnd w:id="25"/>
    <w:bookmarkStart w:id="26" w:name="Xd46e050d683b59cb485bc3079e0c0f791ad8652"/>
    <w:p>
      <w:pPr>
        <w:pStyle w:val="Heading3"/>
      </w:pPr>
      <w:r>
        <w:t xml:space="preserve">2.2.2 Lý thuyết dựa trên nguồn lực</w:t>
      </w:r>
    </w:p>
    <w:p>
      <w:pPr>
        <w:pStyle w:val="FirstParagraph"/>
      </w:pPr>
      <w:r>
        <w:t xml:space="preserve">Lý thuyết dựa trên nguồn lực (Resource-Based View — RBV) do Wernerfelt (1984) đặt nền và được Barney (1991) hệ thống hóa thành một khung lý thuyết có ảnh hưởng bền vững. RBV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RBV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liability of foreignness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RBV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 theo phân biệt của luận án — được xem là một dạng năng lực động quan trọng, cho phép doanh nghiệp tái cấu hình nguồn lực và mô hình kinh doanh để ứng phó với bất định trong quốc tế hóa (Bhandari et al., 2023; Verhoef et al., 2021). DAI — chỉ số áp dụng số nền tảng (Tier-1 proxy) đo lường sự hiện diện website — phản ánh mức độ chấp nhận kỹ thuật số cơ bản chứ không phải năng lực động theo nghĩa Teece et al. (1997). RBV cung cấp nền lý thuyết trực tiếp cho giả thuyết H2 về vai trò điều tiết của TCI, trong khi H3 về DAI được neo đậu trong Foundational Digital Adoption Framework (Banalieva &amp; Dhanaraj, 2019).</w:t>
      </w:r>
    </w:p>
    <w:bookmarkEnd w:id="26"/>
    <w:bookmarkStart w:id="27" w:name="X8df923fa541d02623fafefda8e8dfdd0f8f8811"/>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(institutional voids) của Khanna và Palepu (2010). Điểm chung của các tiếp cận này là nhấn mạnh vai trò của môi trường thể chế — cả chính thức lẫn phi chính thức —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 từ hệ thống pháp lý đến thị trường vốn, từ tổ chức đánh giá tín nhiệm đến hiệp hội ngành nghề — tạo ra "khoảng trống thể chế" (institutional voids) làm tăng chi phí giao dịch và rủi ro cho doanh nghiệp khi hoạt động hoặc mở rộng ra nước ngoài (Khanna &amp; Palepu, 2010).</w:t>
      </w:r>
    </w:p>
    <w:p>
      <w:pPr>
        <w:pStyle w:val="BodyText"/>
      </w:pPr>
      <w:r>
        <w:t xml:space="preserve">Trong literature về I–P, bằng chứng meta-analytic của Marano et al. (2016) — phân tích 170 nghiên cứu với 32 quốc gia giai đoạn 1972–2012 — cho thấy thể chế quốc gia nguồn điều tiết đáng kể mối quan hệ quốc tế hóa —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bookmarkEnd w:id="27"/>
    <w:bookmarkStart w:id="28" w:name="X146ba0dc244c296ae552c63cd5ae9ae43aef1fe"/>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 "tổ chức là sự phản chiếu của nhà quản trị đỉnh cao" (Hambrick &amp; Mason, 1984, tr. 193).</w:t>
      </w:r>
    </w:p>
    <w:p>
      <w:pPr>
        <w:pStyle w:val="BodyText"/>
      </w:pPr>
      <w:r>
        <w:t xml:space="preserve">Trong bối cảnh quốc tế hóa, Upper Echelons Theory có hai hàm ý trực tiếp. Thứ nhất, kinh nghiệm quốc tế của nhà quản trị cấp cao — được đo bằng số năm kinh nghiệm làm việc hoặc học tập ở nước ngoài, hay tiếp xúc với thị trường quốc tế — giúp giảm nhận thức về liability of foreignness và nâng cao khả năng đánh giá cơ hội, quản trị rủi ro ở thị trường quốc tế (Hsu et al., 2013; Sambharya, 1996). Thứ hai, sự đa dạng giới tính trong lãnh đạo — đặc biệt là sự hiện diện của quản trị viên nữ ở các vị trí lãnh đạo — liên quan đến nhận thức chiến lược đa chiều hơn và thực tiễn quản trị rủi ro thận trọng hơn, qua đó có tác động tích cực đến hiệu quả doanh nghiệp trong quá trình quốc tế hóa (Post &amp; Byron, 2015). Những hàm ý này cung cấp cơ sở lý thuyết cho giả thuyết H4 về vai trò điều tiết của đặc điểm nhà quản trị cấp cao.</w:t>
      </w:r>
    </w:p>
    <w:bookmarkEnd w:id="28"/>
    <w:bookmarkStart w:id="29" w:name="X755678d15ddc1a8c13dbc8244350f9a59bba034"/>
    <w:p>
      <w:pPr>
        <w:pStyle w:val="Heading3"/>
      </w:pPr>
      <w:r>
        <w:t xml:space="preserve">2.2.5 Lớp mở rộng: Digital Capability Lens</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systematic review về quốc tế hóa của các doanh nghiệp số, phác thảo các lý thuyết cần điều chỉnh và hướng nghiên cứu tiếp theo.</w:t>
      </w:r>
    </w:p>
    <w:p>
      <w:pPr>
        <w:pStyle w:val="BodyText"/>
      </w:pPr>
      <w:r>
        <w:t xml:space="preserve">Trong luận án, lớp mở rộng về năng lực số đóng vai trò mở rộng RBV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w:t>
      </w:r>
    </w:p>
    <w:p>
      <w:r>
        <w:pict>
          <v:rect style="width:0;height:1.5pt" o:hralign="center" o:hrstd="t" o:hr="t"/>
        </w:pict>
      </w:r>
    </w:p>
    <w:bookmarkEnd w:id="29"/>
    <w:bookmarkEnd w:id="30"/>
    <w:bookmarkStart w:id="35" w:name="Xb68718caf7a2cd6e9eb5a792769262881ac883e"/>
    <w:p>
      <w:pPr>
        <w:pStyle w:val="Heading2"/>
      </w:pPr>
      <w:r>
        <w:t xml:space="preserve">2.3 Tổng quan thực nghiệm</w:t>
      </w:r>
    </w:p>
    <w:bookmarkStart w:id="31" w:name="Xdced885a630e2fc91d9034fc02dca256c5d6811"/>
    <w:p>
      <w:pPr>
        <w:pStyle w:val="Heading3"/>
      </w:pPr>
      <w:r>
        <w:t xml:space="preserve">2.3.1 Giai đoạn phát triển của literature I–P</w:t>
      </w:r>
    </w:p>
    <w:p>
      <w:pPr>
        <w:pStyle w:val="FirstParagraph"/>
      </w:pPr>
      <w:r>
        <w:t xml:space="preserve">Nghiên cứu về mối quan hệ giữa quốc tế hóa và hiệu quả hoạt động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(inverted-U)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 "đường cong chữ S ba giai đoạn" (three-stage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w:t>
      </w:r>
    </w:p>
    <w:p>
      <w:pPr>
        <w:pStyle w:val="BodyText"/>
      </w:pPr>
      <w:r>
        <w:t xml:space="preserve">Giai đoạn thứ ba (từ cuối thập niên 2000 đến hiện tại) chuyển trọng tâm sang nghiên cứu các yếu tố điều tiết (moderators) — tức điều kiện bối cảnh làm thay đổi hình dạng, cường độ, hoặc dấu của mối quan hệ I–P. Các moderator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I–P phổ quát — kết quả quốc tế hóa phụ thuộc vào điều kiện cụ thể của doanh nghiệp, ngành và quốc gia (Arte &amp; Larimo, 2022).</w:t>
      </w:r>
    </w:p>
    <w:bookmarkEnd w:id="31"/>
    <w:bookmarkStart w:id="32" w:name="X1a2e519e3eb745ccb5a9310ee8e928b32e9ba76"/>
    <w:p>
      <w:pPr>
        <w:pStyle w:val="Heading3"/>
      </w:pPr>
      <w:r>
        <w:t xml:space="preserve">2.3.2 Bằng chứng meta-analytic</w:t>
      </w:r>
    </w:p>
    <w:p>
      <w:pPr>
        <w:pStyle w:val="FirstParagraph"/>
      </w:pPr>
      <w:r>
        <w:t xml:space="preserve">Một trong những đóng góp quan trọng nhất trong giai đoạn gần đây là sự phát triển của các meta-analyses về I–P relationship, cho phép tổng hợp và định lượng hóa kết quả từ hàng trăm nghiên cứu thực nghiệm riêng lẻ. Tổng hợp từ các meta-analyses chính cho thấy một bức tranh nhất quán nhưng phức tạp.</w:t>
      </w:r>
    </w:p>
    <w:p>
      <w:pPr>
        <w:pStyle w:val="BodyText"/>
      </w:pPr>
      <w:r>
        <w:t xml:space="preserve">Bausch và Krist (2007) phân tích 65 nghiên cứu và tìm thấy tác động tổng hợp dương nhưng nhỏ (r ≈ 0,10), đồng thời xác nhận rằng mức độ dị biệt (heterogeneity) giữa các nghiên cứu rất cao với I² &gt; 80%, hàm ý rằng các moderator là nguồn giải thích chủ yếu cho sự khác biệt. Kirca et al. (2012) mở rộng pool lên 154 mẫu và tìm thấy tác động tổng hợp tương tự, đồng thời xác nhận vai trò của bối cảnh quốc gia và ngành. Marano et al. (2016) — nghiên cứu meta-analytic toàn diện nhất trong literature với 170 nghiên cứu và 32 quốc gia — tìm thấy r ≈ 0,07–0,13 và chứng minh rằng thể chế quốc gia nguồn là moderator quan trọng nhất trong tất cả các biến bối cảnh được kiểm định. Wu et al. (2022) cập nhật với pool 218 effect sizes tập trung vào các emerging market multinationals (EMNEs) và tìm thấy mô hình moderator tương tự. Tại hội nghị ICBEF 2024, kết quả sơ bộ từ pool nghiên cứu về châu Á với k = 113 nghiên cứu cho thấy r = 0,07 — nhất quán với các meta-analyses toàn cầu nhưng cụ thể hơn về bối cảnh châu Á. Luận án này mở rộng pool đó thông qua Nghiên cứu P6 — một meta-analysis ba tầng (three-level MARA) với k = 238 nghiên cứu và K = 288 effect sizes từ châu Á và Thái Bình Dương, ước lượng r̄ = 0,074 [KTC 95%: 0,060; 0,088], I² = 62,4%, Q_M(ICRV) = 17,35 (df = 4, p = ,002). Kết quả này xác nhận tác động tổng hợp dương nhỏ nhưng bền vững, đồng thời chứng minh rằng gradient ICRV — turning point giảm dần khi chuyển từ thể chế yếu sang thể chế mạnh — là moderator thực chất của mối quan hệ I–P trong bối cảnh châu Á (nghiên cứu thành phần P6).</w:t>
      </w:r>
    </w:p>
    <w:p>
      <w:pPr>
        <w:pStyle w:val="BodyText"/>
      </w:pPr>
      <w:r>
        <w:t xml:space="preserve">Nhìn chung, bằng chứng meta-analytic cho thấy ba kết luận quan trọng: tác động tổng hợp của quốc tế hóa lên hiệu quả là dương nhưng khiêm tốn; mức dị biệt cực kỳ cao; và các moderator bối cảnh — đặc biệt là thể chế quốc gia, năng lực doanh nghiệp, và đặc điểm ngành — là những nguồn giải thích chính cho sự khác biệt giữa các nghiên cứu. Đây là luận điểm cơ bản biện hộ cho sự cần thiết của một khung giải thích đa tầng.</w:t>
      </w:r>
    </w:p>
    <w:bookmarkEnd w:id="32"/>
    <w:bookmarkStart w:id="33" w:name="Xee1bebe325ab2d4682f3ee8a885eb236c48b900"/>
    <w:p>
      <w:pPr>
        <w:pStyle w:val="Heading3"/>
      </w:pPr>
      <w:r>
        <w:t xml:space="preserve">2.3.3 Bối cảnh châu Á và các nền kinh tế mới nổi</w:t>
      </w:r>
    </w:p>
    <w:p>
      <w:pPr>
        <w:pStyle w:val="FirstParagraph"/>
      </w:pPr>
      <w:r>
        <w:t xml:space="preserve">Châu Á là bối cảnh đặc biệt quan trọng và đặc thù trong literature I–P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 "thí nghiệm tự nhiên" về ảnh hưởng của bối cảnh thể chế và năng lực số đến kết quả quốc tế hóa.</w:t>
      </w:r>
    </w:p>
    <w:p>
      <w:pPr>
        <w:pStyle w:val="BodyText"/>
      </w:pPr>
      <w:r>
        <w:t xml:space="preserve">nghiên cứu thành phần P1 là nghiên cứu thực nghiệm multi-country quy mô lớn nhất hiện có về I–P trong bối cảnh châu Á mới nổi, phân tích 40.633 doanh nghiệp từ 17 nền kinh tế châu Á sử dụng dữ liệu WBES. Nghiên cứu tìm thấy: (i) tồn tại phân tầng năng suất rõ rệt giữa nhóm Chinese economies, South Asia và ASEAN, phản ánh sự dị biệt thể chế và năng lực giữa các nhóm; (ii) việc áp dụng công nghệ vừa làm tăng năng suất lao động trực tiếp vừa làm suy giảm đáng kể tác động bất lợi của các rào cản thể chế — phát hiện được gọi là "hiệu ứng lá chắn số" (digital shield effect). Nghiên cứu thành phần P2 kiểm định cụ thể với dữ liệu doanh nghiệp Trung Quốc và tìm thấy cấu trúc cubic inverted-U với ngưỡng FSTS tối ưu khoảng 47,8% — tức điểm turning point khá thấp so với các nền kinh tế tiên tiến. Luận án kế thừa và mở rộng các kết quả này trên pool đầy đủ 49 nền kinh tế (bao gồm 9 nền kinh tế đảo nhỏ Thái Bình Dương).</w:t>
      </w:r>
    </w:p>
    <w:p>
      <w:pPr>
        <w:pStyle w:val="BodyText"/>
      </w:pPr>
      <w:r>
        <w:t xml:space="preserve">Phần lớn các nghiên cứu về I–P trong bối cảnh châu Á tập trung vào Nhật Bản, Hàn Quốc, Đài Loan, và Trung Quốc — trong khi các nền kinh tế chuyển đổi như Việt Nam, Campuchia, Bangladesh, và đặc biệt là các SIDS, về cơ bản thiếu vắng trong literature. Sự thiếu đại diện này tạo ra khoảng trống nghiêm trọng trong khả năng khái quát hóa lý thuyết, vì các nền kinh tế frontier và SIDS có thể là địa điểm quan trọng để kiểm định điều kiện biên (boundary conditions) của các lý thuyết về I–P.</w:t>
      </w:r>
    </w:p>
    <w:bookmarkEnd w:id="33"/>
    <w:bookmarkStart w:id="34" w:name="Xdcf8d5acfbfe96d373642e6e2aa58fc72c4137f"/>
    <w:p>
      <w:pPr>
        <w:pStyle w:val="Heading3"/>
      </w:pPr>
      <w:r>
        <w:t xml:space="preserve">2.3.4 Vai trò của năng lực số trong mối quan hệ I–P</w:t>
      </w:r>
    </w:p>
    <w:p>
      <w:pPr>
        <w:pStyle w:val="FirstParagraph"/>
      </w:pPr>
      <w:r>
        <w:t xml:space="preserve">Sự tích hợp giữa nghiên cứu về năng lực số và I–P relationship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I–P, với doanh nghiệp có năng lực số cao hơn thu được lợi ích lớn hơn từ quốc tế hóa. Bustamante et al. (2022) sử dụng mẫu SMEs đa quốc gia và phát hiện rằng công cụ số làm giảm chi phí thâm nhập thị trường nước ngoài, đặc biệt ở các thị trường có khoảng trống thể chế lớn.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r>
        <w:pict>
          <v:rect style="width:0;height:1.5pt" o:hralign="center" o:hrstd="t" o:hr="t"/>
        </w:pict>
      </w:r>
    </w:p>
    <w:bookmarkEnd w:id="34"/>
    <w:bookmarkEnd w:id="35"/>
    <w:bookmarkStart w:id="36" w:name="Xf45ba9d58640f4ad8d0eb51a37a564f5aeb40a8"/>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heterogeneity trong I–P relationship.</w:t>
      </w:r>
      <w:r>
        <w:t xml:space="preserve"> </w:t>
      </w:r>
      <w:r>
        <w:t xml:space="preserve">Các meta-analyses nhất quán cho thấy I² &gt; 80% — tức hơn 80% biến thiên trong effect size không được giải thích bởi sai số ngẫu nhiên mà bởi sự khác biệt có hệ thống giữa các bối cảnh (Bausch &amp; Krist, 2007; Marano et al., 2016). Tuy nhiên, hầu hết các nghiên cứu thực nghiệm hiện tại chỉ kiểm định một hoặc hai moderator từ một lý thuyết đơn lẻ, không có khả năng giải thích đồng thời heterogeneity do bối cảnh thể chế, năng lực doanh nghiệp, và đặc điểm lãnh đạo tạo ra. Không có lý thuyết đơn lẻ nào — dù là Uppsala, RBV, Institutional Theory, hay Upper Echelons Theory — đủ để giải thích đầy đủ sự phức tạp của I–P relationship trong bối cảnh đa quốc gia đa dạng như châu Á. Khoảng trống này đòi hỏi một khung tích hợp đa tầng, trong đó các lý thuyết bổ sung cho nhau thay vì cạnh tranh nhau.</w:t>
      </w:r>
    </w:p>
    <w:p>
      <w:pPr>
        <w:pStyle w:val="BodyText"/>
      </w:pPr>
      <w:r>
        <w:rPr>
          <w:bCs/>
          <w:b/>
        </w:rPr>
        <w:t xml:space="preserve">Khoảng trống thứ hai: Sự đồng nhất không hợp lý giữa TCI và DAI trong phần lớn literature trước.</w:t>
      </w:r>
      <w:r>
        <w:t xml:space="preserve"> </w:t>
      </w:r>
      <w:r>
        <w:t xml:space="preserve">Phần lớn các nghiên cứu về năng lực số trong bối cảnh I–P hoặc là không đo lường năng lực số, hoặc là gộp tất cả các chỉ báo số vào một composite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cross-country quy mô lớn, toàn diện và có cấu trúc cho bối cảnh châu Á.</w:t>
      </w:r>
      <w:r>
        <w:t xml:space="preserve"> </w:t>
      </w:r>
      <w:r>
        <w:t xml:space="preserve">Mặc dù châu Á là khu vực kinh tế năng động và đa dạng nhất thế giới, literature về I–P vẫn thiếu bằng chứng đa quốc gia bao quát đủ rộng để kiểm định khả năng tổng quát hóa của các lý thuyết. Pool 17 nước của nghiên cứu thành phần P1 là baseline lớn nhất hiện có trong literature về châu Á, nhưng vẫn chưa bao gồm các nền kinh tế frontier và SIDS — những địa điểm cực kỳ quan trọng để kiểm định boundary conditions. Thiếu vắng các bằng chứng này khiến cho các lý thuyết về I–P — vốn được xây dựng chủ yếu trên dữ liệu từ Nhật Bản, Hàn Quốc, và các nền kinh tế tiên tiến — có nguy cơ bị áp dụng sai trong bối cảnh các nền kinh tế đang phát triển và chuyển đổi ở châu Á.</w:t>
      </w:r>
    </w:p>
    <w:p>
      <w:pPr>
        <w:pStyle w:val="BodyText"/>
      </w:pPr>
      <w:r>
        <w:t xml:space="preserve">Ba khoảng trống này hội tụ vào một hướng giải quyết chung: cần phát triển và kiểm định một khung giải thích tích hợp đa tầng (multi-tier integrated framework) trên dữ liệu đa quốc gia đủ rộng và đủ đa dạng về thể chế để bao phủ toàn bộ gradient thể chế của châu Á. Luận án đề xuất khung CDCM (Context-Contingent Digital-and-Capability Model) — là khung lý thuyết tích hợp đa tầng kết hợp bối cảnh thể chế (tầng vĩ mô, vận hành hóa bằng ICRV), năng lực doanh nghiệp với TCI và DAI riêng biệt (tầng tổ chức), đặc điểm nhà quản trị cấp cao (tầng cá nhân), và lớp mở rộng digital capability lens. Trong khung này, FSTS là biến độc lập chính và hiệu quả doanh nghiệp (labor productivity) là biến phụ thuộc.</w:t>
      </w:r>
    </w:p>
    <w:p>
      <w:pPr>
        <w:pStyle w:val="BodyText"/>
      </w:pPr>
      <w:r>
        <w:rPr>
          <w:bCs/>
          <w:b/>
        </w:rPr>
        <w:t xml:space="preserve">Từ khoảng trống đến Nghiên cứu P7 — Kiểm định CDCM trên 49 nền kinh tế châu Á.</w:t>
      </w:r>
      <w:r>
        <w:t xml:space="preserve"> </w:t>
      </w:r>
      <w:r>
        <w:t xml:space="preserve">Khoảng trống thứ nhất và thứ ba hội tụ vào một câu hỏi kiểm định trực tiếp: liệu CDCM có thể giải thích đồng thời heterogeneity I–P khi kiểm soát đầy đủ cả ba tầng trong một mô hình tích hợp ở quy mô đủ rộng để bao phủ toàn bộ gradient ICRV không? Literature hiện tại chưa có bằng chứng kiểm định đồng thời năm moderator chính (TCI, DAI, kinh nghiệm quản trị, giới tính nhà quản trị, ICRV) trong một mô hình hồi quy đơn lẻ trên dữ liệu đa quốc gia quy mô lớn. Nghiên cứu thành phần P7 — Nghiên cứu P7 — lấp đầy khoảng trống này bằng dữ liệu WBES từ 49 nền kinh tế (N = 84.910–91.982 doanh nghiệp, 102 country-year waves), bao phủ toàn bộ gradient ICRV từ nhóm tiên tiến đến SIDS, kiểm định đồng thời H1–H6 với country-year fixed effects. Kết quả turning point trung bình ~36% FSTS tại P7 — thấp hơn P3 Vietnam (~40%) và P5 Trung Quốc (~49%) — xác nhận ICRV điều tiết vị trí turning point theo gradient dự đoán lý thuyết, đóng góp bằng chứng kiểm định tích hợp đầu tiên cho CDCM ở cấp độ liên quốc gia quy mô lớn.</w:t>
      </w:r>
    </w:p>
    <w:p>
      <w:pPr>
        <w:pStyle w:val="BodyText"/>
      </w:pPr>
      <w:r>
        <w:rPr>
          <w:bCs/>
          <w:b/>
        </w:rPr>
        <w:t xml:space="preserve">Từ khoảng trống đến Nghiên cứu P8 — Kiểm định điều kiện biên FIP tại SIDS.</w:t>
      </w:r>
      <w:r>
        <w:t xml:space="preserve"> </w:t>
      </w:r>
      <w:r>
        <w:t xml:space="preserve">Khoảng trống thứ ba không chỉ đòi hỏi mở rộng phạm vi địa lý mà còn đòi hỏi kiểm định điều kiện biên lý thuyết cực trị: liệu có tồn tại bối cảnh nơi inverted-U hoàn toàn sụp đổ thành quan hệ âm đơn điệu? Không có nghiên cứu nào trong literature I–P hiện tại kiểm định "Forced Internationalization Penalty" (FIP) — bối cảnh mà quốc tế hóa là gánh nặng sinh tồn, không phải lựa chọn chiến lược dựa trên lợi thế cạnh tranh. Nghiên cứu thành phần P8 — Nghiên cứu P8 — kiểm định H1b bằng dữ liệu WBES từ các nền kinh tế SIDS (Fiji, Tonga, Solomon Islands, Vanuatu, Samoa), nơi ba điều kiện cấu trúc cơ bản của inverted-U đồng thời bị vi phạm: thị trường nội địa cực nhỏ, chi phí logistics cao bất thường, và hỗ trợ thể chế cho xuất khẩu gần như không tồn tại. Kết quả P8 xác định boundary condition cực trị của CDCM: điểm nơi lý thuyết đường cong chữ U ngược không còn ứng dụng được.</w:t>
      </w:r>
    </w:p>
    <w:p>
      <w:r>
        <w:pict>
          <v:rect style="width:0;height:1.5pt" o:hralign="center" o:hrstd="t" o:hr="t"/>
        </w:pict>
      </w:r>
    </w:p>
    <w:bookmarkEnd w:id="36"/>
    <w:bookmarkStart w:id="49" w:name="X2e72411c23c34d41d1942bd5d4fbf8ae22da5d2"/>
    <w:p>
      <w:pPr>
        <w:pStyle w:val="Heading2"/>
      </w:pPr>
      <w:r>
        <w:t xml:space="preserve">2.5 Mô hình nghiên cứu và hệ giả thuyết</w:t>
      </w:r>
    </w:p>
    <w:bookmarkStart w:id="40" w:name="X45cacfa706139c50548e97564081354b0b3764b"/>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doanh nghiệp (labor productivity) được điều tiết đồng thời bởi ba tầng can thiệp.</w:t>
      </w:r>
    </w:p>
    <w:p>
      <w:pPr>
        <w:pStyle w:val="BodyText"/>
      </w:pPr>
      <w:r>
        <w:t xml:space="preserve">Tầng vĩ mô — bối cảnh thể chế — được vận hành hóa bằng khung ICRV với sáu sub-regime theo gradient từ Advanced Innovation-Driven đến SIDS. Ở tầng này, ICRV điều tiết mối quan hệ I–P thông qua hai cơ chế: (i) mức độ khoảng trống thể chế (institutional voids) ảnh hưởng đến chi phí giao dịch xuyên biên giới; và (ii) chất lượng thể chế ảnh hưởng đến khả năng doanh nghiệp khai thác lợi ích từ quốc tế hóa. Ở các nền kinh tế frontier và SIDS, khoảng trống thể chế cực kỳ lớn có thể đảo ngược quan hệ I–P, biến lợi ích tiềm năng thành tổn thất thực tế (nghiên cứu thành phần P8).</w:t>
      </w:r>
    </w:p>
    <w:p>
      <w:pPr>
        <w:pStyle w:val="BodyText"/>
      </w:pPr>
      <w:r>
        <w:t xml:space="preserve">Tầng tổ chức — năng lực doanh nghiệp — bao gồm TCI và DAI như hai moderator độc lập với cơ chế tác động khác nhau. TCI đóng vai trò như một "nâng đỡ mặt bằng" (level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 "bộ đệm phối hợp số" (digital coordination buffer): ở mức FSTS cao, DAI giúp giảm chi phí điều phối xuyên biên giới, làm chuyển dịch điểm turning point sang phải và kéo dài giai đoạn lợi ích dương của quan hệ I–P.</w:t>
      </w:r>
    </w:p>
    <w:p>
      <w:pPr>
        <w:pStyle w:val="BodyText"/>
      </w:pPr>
      <w:r>
        <w:t xml:space="preserve">Tầng cá nhân — đặc điểm nhà quản trị cấp cao — bao gồm kinh nghiệm quản trị và giới tính nhà quản trị như các moderator vi mô. Kinh nghiệm quốc tế của nhà quản trị giảm chi phí nhận thức của liability of foreignness;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I–P (turning point của inverted-U) không cố định theo thời gian mà có thể thay đổi khi bối cảnh thể chế và năng lực doanh nghiệp thay đổi theo chiều dọc, đặc biệt rõ rệt ở các nền kinh tế chuyển đổi nhanh như Trung Quốc.</w:t>
      </w:r>
    </w:p>
    <w:p>
      <w:pPr>
        <w:pStyle w:val="BodyText"/>
      </w:pPr>
      <w:r>
        <w:drawing>
          <wp:inline>
            <wp:extent cx="5753100" cy="3558086"/>
            <wp:effectExtent b="0" l="0" r="0" t="0"/>
            <wp:docPr descr="Hình 2.1. Khung khái niệm tích hợp đa tầng CDCM cho quan hệ Quốc tế hóa–Hiệu quả tại châu Á" title="" id="38" name="Picture"/>
            <a:graphic>
              <a:graphicData uri="http://schemas.openxmlformats.org/drawingml/2006/picture">
                <pic:pic>
                  <pic:nvPicPr>
                    <pic:cNvPr descr="figures/fig_2_1_cdcm_conceptual_model.png" id="39" name="Picture"/>
                    <pic:cNvPicPr>
                      <a:picLocks noChangeArrowheads="1" noChangeAspect="1"/>
                    </pic:cNvPicPr>
                  </pic:nvPicPr>
                  <pic:blipFill>
                    <a:blip r:embed="rId37"/>
                    <a:stretch>
                      <a:fillRect/>
                    </a:stretch>
                  </pic:blipFill>
                  <pic:spPr bwMode="auto">
                    <a:xfrm>
                      <a:off x="0" y="0"/>
                      <a:ext cx="5753100" cy="3558086"/>
                    </a:xfrm>
                    <a:prstGeom prst="rect">
                      <a:avLst/>
                    </a:prstGeom>
                    <a:noFill/>
                    <a:ln w="9525">
                      <a:noFill/>
                      <a:headEnd/>
                      <a:tailEnd/>
                    </a:ln>
                  </pic:spPr>
                </pic:pic>
              </a:graphicData>
            </a:graphic>
          </wp:inline>
        </w:drawing>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 quan hệ phi tuyến chữ U ngược); mũi tên đứt thể hiện tác động điều tiết của ba tầng (thể chế ICRV — H5; năng lực số TCI/DAI — H2, H3; đặc điểm nhà quản trị — H4); mũi tên chấm thể hiện điều kiện biên FIP (H1b) tại nhóm SIDS. Biến kiểm soát không thể hiện để giữ rõ ràng.</w:t>
      </w:r>
      <w:r>
        <w:t xml:space="preserve"> </w:t>
      </w:r>
      <w:r>
        <w:rPr>
          <w:iCs/>
          <w:i/>
        </w:rPr>
        <w:t xml:space="preserve">Nguồn: tác giả xây dựng dựa trên Uppsala, RBV, lý thuyết thể chế, lý thuyết thượng tầng quản trị và digital capability lens.</w:t>
      </w:r>
    </w:p>
    <w:bookmarkEnd w:id="40"/>
    <w:bookmarkStart w:id="41" w:name="Xa138305ccd4d6ccfbd8098a87bf493c47bc52a0"/>
    <w:p>
      <w:pPr>
        <w:pStyle w:val="Heading3"/>
      </w:pPr>
      <w:r>
        <w:t xml:space="preserve">2.5.2 Giả thuyết H1: Phi tuyến chữ U ngược</w:t>
      </w:r>
    </w:p>
    <w:p>
      <w:pPr>
        <w:pStyle w:val="FirstParagraph"/>
      </w:pPr>
      <w:r>
        <w:t xml:space="preserve">Trên cơ sở lý thuyết từ Uppsala về chi phí thâm nhập giai đoạn đầu, RBV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của các doanh nghiệp ở các quốc gia châu Á có dạng phi tuyến chữ U ngược, với một điểm turning point tối ưu trước khi chi phí điều phối và bất định vượt qua lợi ích từ mở rộng thị trường quốc tế. Cơ sở lý thuyết trực tiếp bao gồm mô hình S-curve của Lu và Beamish (2004), lý thuyết ba giai đoạn của Contractor et al. (2003), và bằng chứng inverted-U ban đầu của Hitt et al. (1997).</w:t>
      </w:r>
    </w:p>
    <w:bookmarkEnd w:id="41"/>
    <w:bookmarkStart w:id="42" w:name="Xdbf0ae64633523b25c46a68390b7cec268e3e1b"/>
    <w:p>
      <w:pPr>
        <w:pStyle w:val="Heading3"/>
      </w:pPr>
      <w:r>
        <w:t xml:space="preserve">2.5.2b Điều kiện biên H1b: Gánh nặng quốc tế hóa bắt buộc (FIP) tại SIDS</w:t>
      </w:r>
    </w:p>
    <w:p>
      <w:pPr>
        <w:pStyle w:val="FirstParagraph"/>
      </w:pPr>
      <w:r>
        <w:t xml:space="preserve">H1 dự báo quan hệ chữ U ngược —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I→P không chỉ mất đi phần lợi ích giai đoạn đầu của chữ U ngược mà có thể chuyển thành</w:t>
      </w:r>
      <w:r>
        <w:t xml:space="preserve"> </w:t>
      </w:r>
      <w:r>
        <w:rPr>
          <w:bCs/>
          <w:b/>
        </w:rPr>
        <w:t xml:space="preserve">quan hệ âm đơn điệu không có điểm uốn</w:t>
      </w:r>
      <w:r>
        <w:t xml:space="preserve"> </w:t>
      </w:r>
      <w:r>
        <w:t xml:space="preserve">— tức là điều kiện biên lý thuyết nơi mọi mức độ quốc tế hóa đều gây tổn hại đến hiệu quả doanh nghiệp.</w:t>
      </w:r>
    </w:p>
    <w:p>
      <w:pPr>
        <w:pStyle w:val="BodyText"/>
      </w:pPr>
      <w:r>
        <w:t xml:space="preserve">Giả thuyết H1b được phát biểu như sau. Tại các nền kinh tế SIDS (ICRV Nhóm VI), mối quan hệ giữa mức độ quốc tế hóa (FSTS) và hiệu quả hoạt động doanh nghiệp (năng suất lao động) là</w:t>
      </w:r>
      <w:r>
        <w:t xml:space="preserve"> </w:t>
      </w:r>
      <w:r>
        <w:rPr>
          <w:bCs/>
          <w:b/>
        </w:rPr>
        <w:t xml:space="preserve">âm đơn điệu</w:t>
      </w:r>
      <w:r>
        <w:t xml:space="preserve"> </w:t>
      </w:r>
      <w:r>
        <w:t xml:space="preserve">— không có điểm turning point trong phạm vi dữ liệu — phản ánh gánh nặng quốc tế hóa bắt buộc (Forced Internationalization Penalty — FIP) nơi doanh nghiệp xuất khẩu để sinh tồn chứ không phải để khai thác lợi thế cạnh tranh. Cơ sở lý thuyết bao gồm Institutional Theory (North, 1990), lý thuyết chi phí giao dịch (Williamson, 1985), Khanna và Palepu (2010) về institutional voids, và Lall (2004) về SIDS structural constraints.</w:t>
      </w:r>
    </w:p>
    <w:bookmarkEnd w:id="42"/>
    <w:bookmarkStart w:id="43" w:name="Xbab760a32cde05e137045bc8f7a3707f43bde01"/>
    <w:p>
      <w:pPr>
        <w:pStyle w:val="Heading3"/>
      </w:pPr>
      <w:r>
        <w:t xml:space="preserve">2.5.3 Giả thuyết H2: Điều tiết bởi năng lực công nghệ (TCI)</w:t>
      </w:r>
    </w:p>
    <w:p>
      <w:pPr>
        <w:pStyle w:val="FirstParagraph"/>
      </w:pPr>
      <w:r>
        <w:t xml:space="preserve">Dựa trên RBV (Barney, 1991) và lý thuyết năng lực động (Teece et al., 1997), năng lực công nghệ là một nguồn lực VRIN giúp doanh nghiệp khai thác lợi ích từ quốc tế hóa hiệu quả hơn. Giả thuyết H2 được phát biểu như sau. Năng lực công nghệ (TCI) làm gia tăng tác động tích cực của quốc tế hóa lên hiệu quả hoạt động của doanh nghiệp, bằng cách nâng mặt bằng hiệu quả tổng thể và làm giảm chi phí học hỏi thị trường quốc tế, do đó làm dịch chuyển đường quan hệ I–P lên cao hơn và có thể điều chỉnh vị trí của điểm turning point. Cơ sở lý thuyết bao gồm Barney (1991), Teece et al. (1997), và Bhandari et al. (2023).</w:t>
      </w:r>
    </w:p>
    <w:bookmarkEnd w:id="43"/>
    <w:bookmarkStart w:id="44" w:name="Xe02c8b4badca737e34d9828c14f576073ebfca3"/>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I–P, với vai trò bổ trợ rõ rệt hơn ở mức export intensity cao khi DAI giúp giảm chi phí phối hợp giao dịch xuyên biên giới — theo đó DAI làm thay đổi độ dốc của đường quan hệ I–P chứ không nhất thiết nâng mặt bằng hiệu quả như TCI. Cơ sở lý thuyết bao gồm Verhoef et al. (2021), Stallkamp và Schotter (2021), và Bustamante et al. (2022). Sự phân biệt cơ chế tác động giữa H2 và H3 là đóng góp lý thuyết quan trọng, cho phép phân tách TCI và DAI trong mô hình hồi quy thực nghiệm.</w:t>
      </w:r>
    </w:p>
    <w:bookmarkEnd w:id="44"/>
    <w:bookmarkStart w:id="45" w:name="Xf3c96f7a7f1c969bc60bd7349590849b049c32c"/>
    <w:p>
      <w:pPr>
        <w:pStyle w:val="Heading3"/>
      </w:pPr>
      <w:r>
        <w:t xml:space="preserve">2.5.5 Giả thuyết H4: Điều tiết bởi đặc điểm nhà quản trị cấp cao</w:t>
      </w:r>
    </w:p>
    <w:p>
      <w:pPr>
        <w:pStyle w:val="FirstParagraph"/>
      </w:pPr>
      <w:r>
        <w:t xml:space="preserve">Dựa trên Upper Echelons Theory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w:t>
      </w:r>
    </w:p>
    <w:bookmarkEnd w:id="45"/>
    <w:bookmarkStart w:id="46" w:name="X6cb624958e89d2dec9f57563abada44477d846d"/>
    <w:p>
      <w:pPr>
        <w:pStyle w:val="Heading3"/>
      </w:pPr>
      <w:r>
        <w:t xml:space="preserve">2.5.6 Giả thuyết H5: Điều tiết bởi bối cảnh thể chế (ICRV)</w:t>
      </w:r>
    </w:p>
    <w:p>
      <w:pPr>
        <w:pStyle w:val="FirstParagraph"/>
      </w:pPr>
      <w:r>
        <w:t xml:space="preserve">Trên cơ sở Institutional Theory (North, 1990; Khanna &amp; Palepu, 2010), chất lượng thể chế tạo ra chi phí giao dịch và rủi ro khác nhau, do đó điều tiết đáng kể mối quan hệ I–P. Giả thuyết H5 được phát biểu như sau. Chất lượng thể chế theo khung ICRV điều tiết tác động của các rào cản thể chế (institutional obstacles) lên hiệu quả hoạt động trong quá trình quốc tế hóa, với chỉ số chấp nhận số (DAI) đóng vai trò "lá chắn số" (digital shield) giúp bù đắp một phần khoảng trống thể chế; cường độ điều tiết này giảm dần theo gradient ICRV từ các nền kinh tế frontier (Nhóm V–VI, điều tiết mạnh nhất) đến các nền kinh tế tiên tiến (Nhóm I, điều tiết yếu nhất). Cơ sở lý thuyết bao gồm North (1990), Khanna và Palepu (2010), và Marano et al. (2016).</w:t>
      </w:r>
    </w:p>
    <w:bookmarkEnd w:id="46"/>
    <w:bookmarkStart w:id="47" w:name="X61cc752874ba7b59207724628dc012c7fefbefb"/>
    <w:p>
      <w:pPr>
        <w:pStyle w:val="Heading3"/>
      </w:pPr>
      <w:r>
        <w:t xml:space="preserve">2.5.7 Giả thuyết H6: Dị biệt thời gian trong quan hệ I–P</w:t>
      </w:r>
    </w:p>
    <w:p>
      <w:pPr>
        <w:pStyle w:val="FirstParagraph"/>
      </w:pPr>
      <w:r>
        <w:t xml:space="preserve">Dựa trên quan sát về tốc độ chuyển đổi số và thay đổi thể chế rất nhanh ở một số nền kinh tế châu Á, đặc biệt Trung Quốc, quan hệ I–P không nhất thiết ổn định theo thời gian. Giả thuyết H6 được phát biểu như sau. Hình dạng phi tuyến của quan hệ I–P — cụ thể là vị trí của điểm turning point và độ cong của đường quan hệ —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 Bằng chứng từ nghiên cứu thành phần P2 về sự ổn định tương đối của turning point Trung Quốc giữa 2012 và 2024 (Paternoster z = +0,82, p = .412, không bác bỏ bằng nhau) cung cấp cơ sở thực nghiệm bổ sung cho việc kiểm định H6 ở cấp độ luận án.</w:t>
      </w:r>
    </w:p>
    <w:p>
      <w:r>
        <w:pict>
          <v:rect style="width:0;height:1.5pt" o:hralign="center" o:hrstd="t" o:hr="t"/>
        </w:pict>
      </w:r>
    </w:p>
    <w:bookmarkEnd w:id="47"/>
    <w:bookmarkStart w:id="48" w:name="Xe7d8e87fd4c6817ebf83bfc9a906e5cc228db6c"/>
    <w:p>
      <w:pPr>
        <w:pStyle w:val="Heading3"/>
      </w:pPr>
      <w:r>
        <w:t xml:space="preserve">2.5.8 Ánh xạ giả thuyết và các nghiên cứu thành phần</w:t>
      </w:r>
    </w:p>
    <w:p>
      <w:pPr>
        <w:pStyle w:val="FirstParagraph"/>
      </w:pPr>
      <w:r>
        <w:t xml:space="preserve">Luận án được phát triển gắn với một chuỗi nghiên cứu thành phần (ký hiệu P1–P8), mỗi nghiên cứu kiểm định một phần của hệ giả thuyết H1–H6 và điều kiện biên H1b trong một bối cảnh thể chế cụ thể. Bảng 2.1 ánh xạ các nghiên cứu thành phần với chương trình bày kết quả và các giả thuyết tương ứng.</w:t>
      </w:r>
    </w:p>
    <w:p>
      <w:pPr>
        <w:pStyle w:val="BodyText"/>
      </w:pPr>
      <w:r>
        <w:rPr>
          <w:bCs/>
          <w:b/>
        </w:rPr>
        <w:t xml:space="preserve">Bảng 2.1.</w:t>
      </w:r>
      <w:r>
        <w:t xml:space="preserve"> </w:t>
      </w:r>
      <w:r>
        <w:rPr>
          <w:iCs/>
          <w:i/>
        </w:rPr>
        <w:t xml:space="preserve">Ánh xạ nghiên cứu thành phần — chương — giả thuyết.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P1–P2 (meta baseline, ICBEF 2024)</w:t>
            </w:r>
          </w:p>
        </w:tc>
        <w:tc>
          <w:tcPr/>
          <w:p>
            <w:pPr>
              <w:pStyle w:val="Compact"/>
              <w:jc w:val="left"/>
            </w:pPr>
            <w:r>
              <w:t xml:space="preserve">Toàn cầu/châu Á</w:t>
            </w:r>
          </w:p>
        </w:tc>
        <w:tc>
          <w:tcPr/>
          <w:p>
            <w:pPr>
              <w:pStyle w:val="Compact"/>
              <w:jc w:val="left"/>
            </w:pPr>
            <w:r>
              <w:t xml:space="preserve">§2.3.2; §4.2</w:t>
            </w:r>
          </w:p>
        </w:tc>
        <w:tc>
          <w:tcPr/>
          <w:p>
            <w:pPr>
              <w:pStyle w:val="Compact"/>
              <w:jc w:val="left"/>
            </w:pPr>
            <w:r>
              <w:t xml:space="preserve">Nền tảng cho H1, H5</w:t>
            </w:r>
          </w:p>
        </w:tc>
      </w:tr>
      <w:tr>
        <w:tc>
          <w:tcPr/>
          <w:p>
            <w:pPr>
              <w:pStyle w:val="Compact"/>
              <w:jc w:val="left"/>
            </w:pPr>
            <w:r>
              <w:t xml:space="preserve">P3 — Việt Nam</w:t>
            </w:r>
          </w:p>
        </w:tc>
        <w:tc>
          <w:tcPr/>
          <w:p>
            <w:pPr>
              <w:pStyle w:val="Compact"/>
              <w:jc w:val="left"/>
            </w:pPr>
            <w:r>
              <w:t xml:space="preserve">Emerging (Nhóm IV)</w:t>
            </w:r>
          </w:p>
        </w:tc>
        <w:tc>
          <w:tcPr/>
          <w:p>
            <w:pPr>
              <w:pStyle w:val="Compact"/>
              <w:jc w:val="left"/>
            </w:pPr>
            <w:r>
              <w:t xml:space="preserve">§4.5</w:t>
            </w:r>
          </w:p>
        </w:tc>
        <w:tc>
          <w:tcPr/>
          <w:p>
            <w:pPr>
              <w:pStyle w:val="Compact"/>
              <w:jc w:val="left"/>
            </w:pPr>
            <w:r>
              <w:t xml:space="preserve">H1, H2, H3</w:t>
            </w:r>
          </w:p>
        </w:tc>
      </w:tr>
      <w:tr>
        <w:tc>
          <w:tcPr/>
          <w:p>
            <w:pPr>
              <w:pStyle w:val="Compact"/>
              <w:jc w:val="left"/>
            </w:pPr>
            <w:r>
              <w:t xml:space="preserve">P4 — Singapore</w:t>
            </w:r>
          </w:p>
        </w:tc>
        <w:tc>
          <w:tcPr/>
          <w:p>
            <w:pPr>
              <w:pStyle w:val="Compact"/>
              <w:jc w:val="left"/>
            </w:pPr>
            <w:r>
              <w:t xml:space="preserve">Advanced đổi mới (Nhóm I)</w:t>
            </w:r>
          </w:p>
        </w:tc>
        <w:tc>
          <w:tcPr/>
          <w:p>
            <w:pPr>
              <w:pStyle w:val="Compact"/>
              <w:jc w:val="left"/>
            </w:pPr>
            <w:r>
              <w:t xml:space="preserve">§4.3</w:t>
            </w:r>
          </w:p>
        </w:tc>
        <w:tc>
          <w:tcPr/>
          <w:p>
            <w:pPr>
              <w:pStyle w:val="Compact"/>
              <w:jc w:val="left"/>
            </w:pPr>
            <w:r>
              <w:t xml:space="preserve">H1, H3</w:t>
            </w:r>
          </w:p>
        </w:tc>
      </w:tr>
      <w:tr>
        <w:tc>
          <w:tcPr/>
          <w:p>
            <w:pPr>
              <w:pStyle w:val="Compact"/>
              <w:jc w:val="left"/>
            </w:pPr>
            <w:r>
              <w:t xml:space="preserve">P5 — Trung Quốc 2012–2024</w:t>
            </w:r>
          </w:p>
        </w:tc>
        <w:tc>
          <w:tcPr/>
          <w:p>
            <w:pPr>
              <w:pStyle w:val="Compact"/>
              <w:jc w:val="left"/>
            </w:pPr>
            <w:r>
              <w:t xml:space="preserve">Upper-middle (Nhóm III)</w:t>
            </w:r>
          </w:p>
        </w:tc>
        <w:tc>
          <w:tcPr/>
          <w:p>
            <w:pPr>
              <w:pStyle w:val="Compact"/>
              <w:jc w:val="left"/>
            </w:pPr>
            <w:r>
              <w:t xml:space="preserve">§4.4</w:t>
            </w:r>
          </w:p>
        </w:tc>
        <w:tc>
          <w:tcPr/>
          <w:p>
            <w:pPr>
              <w:pStyle w:val="Compact"/>
              <w:jc w:val="left"/>
            </w:pPr>
            <w:r>
              <w:t xml:space="preserve">H1, H6</w:t>
            </w:r>
          </w:p>
        </w:tc>
      </w:tr>
      <w:tr>
        <w:tc>
          <w:tcPr/>
          <w:p>
            <w:pPr>
              <w:pStyle w:val="Compact"/>
              <w:jc w:val="left"/>
            </w:pPr>
            <w:r>
              <w:t xml:space="preserve">P6 — Meta-analysis ba tầng</w:t>
            </w:r>
          </w:p>
        </w:tc>
        <w:tc>
          <w:tcPr/>
          <w:p>
            <w:pPr>
              <w:pStyle w:val="Compact"/>
              <w:jc w:val="left"/>
            </w:pPr>
            <w:r>
              <w:t xml:space="preserve">Toàn bộ literature</w:t>
            </w:r>
          </w:p>
        </w:tc>
        <w:tc>
          <w:tcPr/>
          <w:p>
            <w:pPr>
              <w:pStyle w:val="Compact"/>
              <w:jc w:val="left"/>
            </w:pPr>
            <w:r>
              <w:t xml:space="preserve">§4.2</w:t>
            </w:r>
          </w:p>
        </w:tc>
        <w:tc>
          <w:tcPr/>
          <w:p>
            <w:pPr>
              <w:pStyle w:val="Compact"/>
              <w:jc w:val="left"/>
            </w:pPr>
            <w:r>
              <w:t xml:space="preserve">H1, H5</w:t>
            </w:r>
          </w:p>
        </w:tc>
      </w:tr>
      <w:tr>
        <w:tc>
          <w:tcPr/>
          <w:p>
            <w:pPr>
              <w:pStyle w:val="Compact"/>
              <w:jc w:val="left"/>
            </w:pPr>
            <w:r>
              <w:t xml:space="preserve">P7 — Capstone đa quốc gia (49 nền kinh tế)</w:t>
            </w:r>
          </w:p>
        </w:tc>
        <w:tc>
          <w:tcPr/>
          <w:p>
            <w:pPr>
              <w:pStyle w:val="Compact"/>
              <w:jc w:val="left"/>
            </w:pPr>
            <w:r>
              <w:t xml:space="preserve">Toàn bộ gradient ICRV</w:t>
            </w:r>
          </w:p>
        </w:tc>
        <w:tc>
          <w:tcPr/>
          <w:p>
            <w:pPr>
              <w:pStyle w:val="Compact"/>
              <w:jc w:val="left"/>
            </w:pPr>
            <w:r>
              <w:t xml:space="preserve">§4.6</w:t>
            </w:r>
          </w:p>
        </w:tc>
        <w:tc>
          <w:tcPr/>
          <w:p>
            <w:pPr>
              <w:pStyle w:val="Compact"/>
              <w:jc w:val="left"/>
            </w:pPr>
            <w:r>
              <w:t xml:space="preserve">H1, H2, H3, H4, H5 (và tương tác tổng hợp ba chiều)</w:t>
            </w:r>
          </w:p>
        </w:tc>
      </w:tr>
      <w:tr>
        <w:tc>
          <w:tcPr/>
          <w:p>
            <w:pPr>
              <w:pStyle w:val="Compact"/>
              <w:jc w:val="left"/>
            </w:pPr>
            <w:r>
              <w:t xml:space="preserve">P8 — SIDS (9 nền kinh tế, Nhóm VI)</w:t>
            </w:r>
          </w:p>
        </w:tc>
        <w:tc>
          <w:tcPr/>
          <w:p>
            <w:pPr>
              <w:pStyle w:val="Compact"/>
              <w:jc w:val="left"/>
            </w:pPr>
            <w:r>
              <w:t xml:space="preserve">SIDS (Nhóm VI)</w:t>
            </w:r>
          </w:p>
        </w:tc>
        <w:tc>
          <w:tcPr/>
          <w:p>
            <w:pPr>
              <w:pStyle w:val="Compact"/>
              <w:jc w:val="left"/>
            </w:pPr>
            <w:r>
              <w:t xml:space="preserve">§4.7</w:t>
            </w:r>
          </w:p>
        </w:tc>
        <w:tc>
          <w:tcPr/>
          <w:p>
            <w:pPr>
              <w:pStyle w:val="Compact"/>
              <w:jc w:val="left"/>
            </w:pPr>
            <w:r>
              <w:t xml:space="preserve">H1b (FIP)</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 thuộc P5, lồng dưới H2/H6); H4a–H4b (kiểm định điều tiết độ cong theo năng lực — thuộc P5, lồng dưới H2); tương tác tổng hợp ba chiều của P7 (lồng dưới H3 và H5); và E1a–E1b (kiểm định định hướng gradient ICRV — lồng dưới H5). Các ký hiệu con này phục vụ độ chính xác kỹ thuật của từng mô hình và không làm thay đổi hệ giả thuyết trọng tâm H1–H6/H1b của luận án.</w:t>
      </w:r>
    </w:p>
    <w:bookmarkEnd w:id="48"/>
    <w:bookmarkEnd w:id="49"/>
    <w:bookmarkStart w:id="50" w:name="X80aaa8b1e91108605e0ad5aa38ac8f05a046a38"/>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bằng labor productivity là chính), năng lực công nghệ (TCI) và chỉ số chấp nhận số (DAI) như hai construct độc lập, và bối cảnh thể chế được vận hành hóa bằng khung ICRV sáu nhóm. Phần lý thuyết nền trình bày và phân tích bốn lý thuyết kinh điển — Uppsala, RBV, Institutional Theory, và Upper Echelons Theory — cùng với lớp mở rộng Digital Capability Lens, xác định vai trò của từng lý thuyết trong khung giải thích tổng thể của luận án.</w:t>
      </w:r>
    </w:p>
    <w:p>
      <w:pPr>
        <w:pStyle w:val="BodyText"/>
      </w:pPr>
      <w:r>
        <w:t xml:space="preserve">Tổng quan thực nghiệm cho thấy literature I–P đã phát triển qua ba giai đoạn, từ tuyến tính dương đến phi tuyến đến tập trung vào moderators; các meta-analyses nhất quán cho thấy tác động tổng hợp là dương nhưng nhỏ với I² &gt; 80%, đòi hỏi cách tiếp cận moderator-centric; và bối cảnh châu Á, đặc biệt là các nền kinh tế frontier và SIDS, đang thiếu đại diện nghiêm trọng trong literature.</w:t>
      </w:r>
    </w:p>
    <w:p>
      <w:pPr>
        <w:pStyle w:val="BodyText"/>
      </w:pPr>
      <w:r>
        <w:t xml:space="preserve">Ba khoảng trống được xác định: thiếu khung tích hợp đa tầng, sự đồng nhất không hợp lý TCI–DAI, và thiếu bằng chứng cross-country quy mô lớn có cấu trúc cho châu Á. Để lấp đầy ba khoảng trống này, luận án đề xuất khung CDCM và phát triển sáu giả thuyết (H1–H6) bao phủ phi tuyến cơ bản, vai trò của TCI và DAI, vai trò của đặc điểm nhà quản trị, vai trò của thể chế ICRV, và dị biệt thời gian. Chương 3 sẽ trình bày thiết kế phương pháp và chiến lược kiểm định hệ giả thuyết này.</w:t>
      </w:r>
    </w:p>
    <w:bookmarkEnd w:id="50"/>
    <w:bookmarkEnd w:id="51"/>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2026-06-07T12:38:28Z</dcterms:created>
  <dcterms:modified xsi:type="dcterms:W3CDTF">2026-06-07T12:38:28Z</dcterms:modified>
</cp:coreProperties>
</file>

<file path=docProps/custom.xml><?xml version="1.0" encoding="utf-8"?>
<Properties xmlns="http://schemas.openxmlformats.org/officeDocument/2006/custom-properties" xmlns:vt="http://schemas.openxmlformats.org/officeDocument/2006/docPropsVTypes"/>
</file>