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0"/>
    <w:bookmarkStart w:id="25" w:name="Xc3d6549fb67845f31a5a24f65669fdeb3bd3911"/>
    <w:p>
      <w:pPr>
        <w:pStyle w:val="Heading2"/>
      </w:pPr>
      <w:r>
        <w:t xml:space="preserve">4.1 Thực trạng quốc tế hóa và hiệu quả hoạt động kinh doanh tại châu Á</w:t>
      </w:r>
    </w:p>
    <w:bookmarkStart w:id="21" w:name="Xd494b1d34c58141b179120912d2f55e522d9b8f"/>
    <w:p>
      <w:pPr>
        <w:pStyle w:val="Heading3"/>
      </w:pPr>
      <w:r>
        <w:t xml:space="preserve">4.1.1 Bức tranh tổng thể về hiệu quả doanh nghiệp châu Á</w:t>
      </w:r>
    </w:p>
    <w:p>
      <w:pPr>
        <w:pStyle w:val="FirstParagraph"/>
      </w:pPr>
      <w:r>
        <w:t xml:space="preserve">Phân tích mô tả trên pool 91.982 doanh nghiệp từ 49 nền kinh tế châu Á và Thái Bình Dương trong giai đoạn 2009–2025 cho thấy bức tranh hiệu quả hoạt động kinh doanh có sự phân tán lớn và không hội tụ. Năng suất lao động — đo bằng ln(doanh thu/lao động) — có độ lệch chuẩn dao động từ 0,49 (Advanced tài nguyên dẫn dắt) đến 1,36 (Frontier), với tỷ số P90/P10 tăng đơn điệu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2009–2025; số doanh nghiệp phân loại ICRV ≈ 96.415; mẫu phân tích hồi quy chính N = 91.982 từ 49 nền kinh tế).</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4.708</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2.269</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17.905</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Emerging (VNM, IDN, PHL, IND...)</w:t>
            </w:r>
          </w:p>
        </w:tc>
        <w:tc>
          <w:tcPr/>
          <w:p>
            <w:pPr>
              <w:pStyle w:val="Compact"/>
              <w:jc w:val="left"/>
            </w:pPr>
            <w:r>
              <w:t xml:space="preserve">50.926</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Frontier (BGD, PAK, LAO, KHM...)</w:t>
            </w:r>
          </w:p>
        </w:tc>
        <w:tc>
          <w:tcPr/>
          <w:p>
            <w:pPr>
              <w:pStyle w:val="Compact"/>
              <w:jc w:val="left"/>
            </w:pPr>
            <w:r>
              <w:t xml:space="preserve">18.569</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phân tích hồi quy chính của P7 là N = 91.982 (mô hình baseline) và giảm dần khi bổ sung biến kiểm soát (xem §4.6.1), do loại các quan sát thiếu biến phụ thuộc/FSTS. Các thống kê độ phân tán (sd log LP) và tỷ lệ (%) được tính trên năng suất lao động đã hiệu chỉnh PPP/winsorize theo từng country-year (xem §3.5.3).</w:t>
      </w:r>
    </w:p>
    <w:p>
      <w:pPr>
        <w:pStyle w:val="BodyText"/>
      </w:pPr>
      <w:r>
        <w:t xml:space="preserve">Phát hiện quan trọng nhất từ thực trạng mô tả là sự phân biệt nội bộ trong nhóm Advanced: tỷ số phân tán giữa nhóm đổi mới sáng tạo dẫn dắt (Singapore, Hàn Quốc, Đài Loan — sd ≈ 1,03) và nhóm tài nguyên dẫn dắt (Saudi Arabia, Qatar, Kuwait — sd ≈ 0,49) xấp xỉ 2,1 lần, phản ánh hai cơ chế tăng trưởng và phân phối hoàn toàn khác nhau. Phân nhóm con tài nguyên dẫn dắt có độ phân tán năng suất thấp nhất toàn bộ pool —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bookmarkEnd w:id="21"/>
    <w:bookmarkStart w:id="22" w:name="X41765b9ba7c4d5303f63bdb143f647f62623bb9"/>
    <w:p>
      <w:pPr>
        <w:pStyle w:val="Heading3"/>
      </w:pPr>
      <w:r>
        <w:t xml:space="preserve">4.1.2 Thực trạng quốc tế hóa — phân cực tham gia xuất khẩu</w:t>
      </w:r>
    </w:p>
    <w:p>
      <w:pPr>
        <w:pStyle w:val="FirstParagraph"/>
      </w:pPr>
      <w:r>
        <w:t xml:space="preserve">Trung vị FSTS bằng 0% trong tất cả các phân nhóm —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2"/>
    <w:bookmarkStart w:id="23" w:name="Xf0ef4e438191e4e642220a9a98292a3888bc29e"/>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pattern "nhảy vọt số" (digital leapfrogging) ở SIDS: tỷ lệ website 58,9% vượt cả nhóm Emerging (49,2%) dù GNI thấp hơn đáng kể — phản ánh thực tế rằng số hóa bề mặt (website) ở SIDS là công cụ sinh tồn chứ không phải công cụ tối ưu hóa hiệu quả. Kết quả này cũng hỗ trợ lập luận lý thuyết về sự phân biệt giữa DAI (chấp nhận số bề mặt) và TCI (năng lực công nghệ chiều sâu): SIDS có DAI cao nhưng TCI thấp nhất, và đây là nhóm duy nhất có quan hệ I→P âm đơn điệu.</w:t>
      </w:r>
    </w:p>
    <w:p>
      <w:pPr>
        <w:pStyle w:val="BodyText"/>
      </w:pPr>
      <w:r>
        <w:t xml:space="preserve">Hiện tượng tương quan âm giữa DAI Tier-1 và năng suất trong nhóm Advanced (-0,129) là ảo ảnh thống kê do bão hòa Tier-1: hầu hết doanh nghiệp Advanced đã có website từ lâu, khiến biến nhị phân này không còn phân biệt được doanh nghiệp hiệu quả và kém hiệu quả trong nhóm đó. Khi loại trừ doanh nghiệp ICT, hệ số âm biến mất — xác nhận đây là vấn đề đo lường chứ không phải quan hệ nhân quả thực.</w:t>
      </w:r>
    </w:p>
    <w:bookmarkEnd w:id="23"/>
    <w:bookmarkStart w:id="24" w:name="Xc12f69eaa9c8f054bc697622f7fe23deacdba9a"/>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 đặc biệt nghiêm trọng ở Frontier và Emerging; (ii) thiếu hụt lao động có kỹ năng; (iii) cạnh tranh từ doanh nghiệp phi chính thức; và (iv) nguồn cung điện không đáng tin cậy. Bốn rào cản này hình thành "institutional voids" (Khanna &amp; Palepu, 2010) tạo ra chi phí giao dịch bổ sung cho doanh nghiệp khi mở rộng hoạt động ra ngoài biên giới. Sự hiện diện đồng thời của nhiều voids tại Frontier và SIDS giải thích tại sao quan hệ I→P ở các nhóm này yếu hoặc âm.</w:t>
      </w:r>
    </w:p>
    <w:p>
      <w:r>
        <w:pict>
          <v:rect style="width:0;height:1.5pt" o:hralign="center" o:hrstd="t" o:hr="t"/>
        </w:pict>
      </w:r>
    </w:p>
    <w:bookmarkEnd w:id="24"/>
    <w:bookmarkEnd w:id="25"/>
    <w:bookmarkStart w:id="30" w:name="X765431cc2ba8ea17b9f26c144a52de84c0b8508"/>
    <w:p>
      <w:pPr>
        <w:pStyle w:val="Heading2"/>
      </w:pPr>
      <w:r>
        <w:t xml:space="preserve">4.2 Kết quả tổng hợp định lượng — Meta-analysis ba tầng (P6)</w:t>
      </w:r>
    </w:p>
    <w:bookmarkStart w:id="26" w:name="Xff5979a63504f14407b0d85f43a6c8324938958"/>
    <w:p>
      <w:pPr>
        <w:pStyle w:val="Heading3"/>
      </w:pPr>
      <w:r>
        <w:t xml:space="preserve">4.2.1 Chỉ số hiệu ứng tổng hợp</w:t>
      </w:r>
    </w:p>
    <w:p>
      <w:pPr>
        <w:pStyle w:val="FirstParagraph"/>
      </w:pPr>
      <w:r>
        <w:t xml:space="preserve">Phân tích meta-analytic tổng hợp ba tầng (three-level multilevel meta-analysis — MARA) được tiến hành trên tập dữ liệu gồm</w:t>
      </w:r>
      <w:r>
        <w:t xml:space="preserve"> </w:t>
      </w:r>
      <m:oMath>
        <m:r>
          <m:t>k</m:t>
        </m:r>
        <m:r>
          <m:rPr>
            <m:sty m:val="p"/>
          </m:rPr>
          <m:t>=</m:t>
        </m:r>
        <m:r>
          <m:t>238</m:t>
        </m:r>
      </m:oMath>
      <w:r>
        <w:t xml:space="preserve"> </w:t>
      </w:r>
      <w:r>
        <w:t xml:space="preserve">nghiên cứu với tổng cộng hàng trăm cặp effect-size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w:t>
      </w:r>
      <w:r>
        <w:t xml:space="preserve">— sự hội tụ này tạo ra bằng chứng chéo vững chắc khi mở rộng pool lên gần gấp đôi số nghiên cứu.</w:t>
      </w:r>
    </w:p>
    <w:bookmarkEnd w:id="26"/>
    <w:bookmarkStart w:id="27" w:name="Xebb799d3ec18bcd19862bc38ac017784274d9d9"/>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7"/>
    <w:bookmarkStart w:id="28" w:name="X611e09194b09194f16433d5c7d869ad7daf26e1"/>
    <w:p>
      <w:pPr>
        <w:pStyle w:val="Heading3"/>
      </w:pPr>
      <w:r>
        <w:t xml:space="preserve">4.2.3 Điều tiết bởi chế độ thể chế —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 được phân loại thành sáu nhóm từ Advanced Innovation-Driven (Nhóm I: Singapore, Hong Kong, Đài Loan, Hàn Quốc) đến SIDS (Nhóm VI) — là moderator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Kết quả này nhất quán với cơ chế lý thuyết từ Institutional Theory — môi trường thể chế chất lượng cao tạo điều kiện để doanh nghiệp chuyển hóa quốc tế hóa thành hiệu quả dễ dàng hơn (North, 1990; Marano et al., 2016).</w:t>
      </w:r>
    </w:p>
    <w:bookmarkEnd w:id="28"/>
    <w:bookmarkStart w:id="29" w:name="X6516e6905b75b0313f9350803a09f8115a11764"/>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29"/>
    <w:bookmarkEnd w:id="30"/>
    <w:bookmarkStart w:id="34" w:name="X240e194458f5111df8410ba3e5077585e24446e"/>
    <w:p>
      <w:pPr>
        <w:pStyle w:val="Heading2"/>
      </w:pPr>
      <w:r>
        <w:t xml:space="preserve">4.3 Kết quả bối cảnh thể chế tiên tiến — Đổi mới: Singapore (P4)</w:t>
      </w:r>
    </w:p>
    <w:bookmarkStart w:id="31" w:name="X679a53d2d7d81af6dc70c43fd1f038f5d3cee36"/>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được ở mức</w:t>
      </w:r>
      <w:r>
        <w:t xml:space="preserve"> </w:t>
      </w:r>
      <w:r>
        <w:rPr>
          <w:bCs/>
          <w:b/>
        </w:rPr>
        <w:t xml:space="preserve">TP ≈ 88,6% FSTS</w:t>
      </w:r>
      <w:r>
        <w:t xml:space="preserve"> </w:t>
      </w:r>
      <w:r>
        <w:t xml:space="preserve">— đây là điểm turning point cao nhất trong tất cả các bối cảnh ICRV được phân tích trong luận án. Khoảng tin cậy của turning point rộng (CI: [53%, 253%]), phản ánh hạn chế về quy mô mẫu và thống kê chính xác, nhưng điểm ước lượng trung tâm cho thấy rằng doanh nghiệp Singapore có thể duy trì đà tăng trưởng hiệu quả khi quốc tế hóa ở mức độ rất cao trước khi đạt đỉnh và suy giảm.</w:t>
      </w:r>
    </w:p>
    <w:bookmarkEnd w:id="31"/>
    <w:bookmarkStart w:id="32" w:name="X4e892af5ca440364b8d37c3a20faa47e2037652"/>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2"/>
    <w:bookmarkStart w:id="33" w:name="X62c0545ea3f9a0c507d1157469fca0ebf1d479e"/>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 không bác bỏ giả thuyết nhưng cũng không tuyên bố xác nhận dứt khoát.</w:t>
      </w:r>
    </w:p>
    <w:p>
      <w:r>
        <w:pict>
          <v:rect style="width:0;height:1.5pt" o:hralign="center" o:hrstd="t" o:hr="t"/>
        </w:pict>
      </w:r>
    </w:p>
    <w:bookmarkEnd w:id="33"/>
    <w:bookmarkEnd w:id="34"/>
    <w:bookmarkStart w:id="38" w:name="X94814fc7a5dc9750a15cc4bbe9ebfefe5f75317"/>
    <w:p>
      <w:pPr>
        <w:pStyle w:val="Heading2"/>
      </w:pPr>
      <w:r>
        <w:t xml:space="preserve">4.4 Kết quả bối cảnh thể chế trung bình cao: Trung Quốc, 2012–2024 (P5)</w:t>
      </w:r>
    </w:p>
    <w:bookmarkStart w:id="35" w:name="Xb60e8e08616c949564cfeefd501a6d5841b6507"/>
    <w:p>
      <w:pPr>
        <w:pStyle w:val="Heading3"/>
      </w:pPr>
      <w:r>
        <w:t xml:space="preserve">4.4.1 Xác nhận quan hệ phi tuyến và turning point</w:t>
      </w:r>
    </w:p>
    <w:p>
      <w:pPr>
        <w:pStyle w:val="FirstParagraph"/>
      </w:pPr>
      <w:r>
        <w:t xml:space="preserve">Phân tích hai giai đoạn trên dữ liệu WBES Trung Quốc (Nhóm III —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5"/>
    <w:bookmarkStart w:id="36" w:name="Xa0deb7d8913573d019b75740971fb67375bd22e"/>
    <w:p>
      <w:pPr>
        <w:pStyle w:val="Heading3"/>
      </w:pPr>
      <w:r>
        <w:t xml:space="preserve">4.4.2 Kiểm định tính ổn định theo thời gian — Temporal Stability</w:t>
      </w:r>
    </w:p>
    <w:p>
      <w:pPr>
        <w:pStyle w:val="FirstParagraph"/>
      </w:pPr>
      <w:r>
        <w:t xml:space="preserve">Luận án đặt câu hỏi thực nghiệm quan trọng: liệu hình dạng phi tuyến và điểm turning point có thay đổi qua thập kỷ 2012–2024 —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w:t>
      </w:r>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 có thể phản ánh sự bù trừ giữa chi phí thích ứng tăng lên do chính sách thương mại khó đoán và năng lực tổ chức ngày càng trưởng thành của các doanh nghiệp xuất khẩu Trung Quốc.</w:t>
      </w:r>
    </w:p>
    <w:bookmarkEnd w:id="36"/>
    <w:bookmarkStart w:id="37" w:name="X71f14a0a5696ef1da89ff288e5ba29857e3b764"/>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7"/>
    <w:bookmarkEnd w:id="38"/>
    <w:bookmarkStart w:id="43" w:name="Xbcfd430554f00dbefbbe6cf2f35944b447a87b7"/>
    <w:p>
      <w:pPr>
        <w:pStyle w:val="Heading2"/>
      </w:pPr>
      <w:r>
        <w:t xml:space="preserve">4.5 Kết quả bối cảnh chuyển đổi bậc thấp—trung: Việt Nam (P3)</w:t>
      </w:r>
    </w:p>
    <w:bookmarkStart w:id="39" w:name="X3454574aade39a3defa8c8bbeff40a0b08588bb"/>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 mô hình chính —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w:t>
      </w:r>
      <w:r>
        <w:t xml:space="preserve">— bằng chứng thống kê mạnh nhất trong tất cả các mẫu quốc gia của luận án.</w:t>
      </w:r>
    </w:p>
    <w:bookmarkEnd w:id="39"/>
    <w:bookmarkStart w:id="40" w:name="X804630c1165edd6cffbd7129602e5c7644f12f7"/>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 "thấp hơn đáng kể" so với Singapore (TP ≈ 88,6%) và tương đương hoặc thấp hơn Trung Quốc (TP ≈ 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w:t>
      </w:r>
      <w:r>
        <w:t xml:space="preserve">— có ý nghĩa thống kê, cho thấy turning point đã dịch chuyển đáng kể từ 46,2% xuống 39,3% giữa hai làn sóng.</w:t>
      </w:r>
    </w:p>
    <w:bookmarkEnd w:id="40"/>
    <w:bookmarkStart w:id="41" w:name="X61eaf74d7adbfccac462ff4ef2ca9383cc5f370"/>
    <w:p>
      <w:pPr>
        <w:pStyle w:val="Heading3"/>
      </w:pPr>
      <w:r>
        <w:t xml:space="preserve">4.5.3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 nhất quán với H2 trong khung lý thuyết CDCM.</w:t>
      </w:r>
    </w:p>
    <w:bookmarkEnd w:id="41"/>
    <w:bookmarkStart w:id="42" w:name="Xf74d16bb8b5ef71c31f95c8c6bafd31bd18e385"/>
    <w:p>
      <w:pPr>
        <w:pStyle w:val="Heading3"/>
      </w:pPr>
      <w:r>
        <w:t xml:space="preserve">4.5.4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2"/>
    <w:bookmarkEnd w:id="43"/>
    <w:bookmarkStart w:id="50" w:name="X55199701f1cb1e5a36a24137550ac95e848a636"/>
    <w:p>
      <w:pPr>
        <w:pStyle w:val="Heading2"/>
      </w:pPr>
      <w:r>
        <w:t xml:space="preserve">4.6 Kết quả kiểm định toàn mẫu đa bối cảnh châu Á (P7)</w:t>
      </w:r>
    </w:p>
    <w:bookmarkStart w:id="44" w:name="X4afadfb0b2cc4943ce00f31457981e8c10f3a3d"/>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 cấu hình mạnh nhất về kiểm soát phương sai không quan sát (</w:t>
      </w:r>
      <m:oMath>
        <m:sSup>
          <m:e>
            <m:r>
              <m:rPr>
                <m:nor/>
                <m:sty m:val="p"/>
              </m:rPr>
              <m:t>adjR</m:t>
            </m:r>
          </m:e>
          <m:sup>
            <m:r>
              <m:t>2</m:t>
            </m:r>
          </m:sup>
        </m:sSup>
        <m:r>
          <m:rPr>
            <m:sty m:val="p"/>
          </m:rPr>
          <m:t>=</m:t>
        </m:r>
        <m:r>
          <m:rPr>
            <m:sty m:val="p"/>
          </m:rPr>
          <m:t>,</m:t>
        </m:r>
        <m:r>
          <m:t>677</m:t>
        </m:r>
      </m:oMath>
      <w:r>
        <w:t xml:space="preserve">) —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bookmarkEnd w:id="44"/>
    <w:bookmarkStart w:id="48" w:name="Xb1032e0e3de2851ef84ba79e46d037a1936fae6"/>
    <w:p>
      <w:pPr>
        <w:pStyle w:val="Heading3"/>
      </w:pPr>
      <w:r>
        <w:t xml:space="preserve">4.6.2 Gradient ICRV —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TP(Frontier/SIDS)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 meta-analytic và primary empirical — cùng chỉ ra gradient ICRV, tạo ra independent confirmation có giá trị.</w:t>
      </w:r>
    </w:p>
    <w:p>
      <w:pPr>
        <w:pStyle w:val="BodyText"/>
      </w:pPr>
      <w:r>
        <w:drawing>
          <wp:inline>
            <wp:extent cx="5753100" cy="3849196"/>
            <wp:effectExtent b="0" l="0" r="0" t="0"/>
            <wp:docPr descr="Hình 4.x. Họ đường cong I–P phụ thuộc chế độ thể chế ICRV" title="" id="46" name="Picture"/>
            <a:graphic>
              <a:graphicData uri="http://schemas.openxmlformats.org/drawingml/2006/picture">
                <pic:pic>
                  <pic:nvPicPr>
                    <pic:cNvPr descr="figures/fig_4_x_ip_curves_icrv_gradient.png" id="47" name="Picture"/>
                    <pic:cNvPicPr>
                      <a:picLocks noChangeArrowheads="1" noChangeAspect="1"/>
                    </pic:cNvPicPr>
                  </pic:nvPicPr>
                  <pic:blipFill>
                    <a:blip r:embed="rId45"/>
                    <a:stretch>
                      <a:fillRect/>
                    </a:stretch>
                  </pic:blipFill>
                  <pic:spPr bwMode="auto">
                    <a:xfrm>
                      <a:off x="0" y="0"/>
                      <a:ext cx="5753100" cy="3849196"/>
                    </a:xfrm>
                    <a:prstGeom prst="rect">
                      <a:avLst/>
                    </a:prstGeom>
                    <a:noFill/>
                    <a:ln w="9525">
                      <a:noFill/>
                      <a:headEnd/>
                      <a:tailEnd/>
                    </a:ln>
                  </pic:spPr>
                </pic:pic>
              </a:graphicData>
            </a:graphic>
          </wp:inline>
        </w:drawing>
      </w:r>
    </w:p>
    <w:p>
      <w:pPr>
        <w:pStyle w:val="BodyText"/>
      </w:pPr>
      <w:r>
        <w:rPr>
          <w:bCs/>
          <w:b/>
        </w:rPr>
        <w:t xml:space="preserve">Hình 4.x.</w:t>
      </w:r>
      <w:r>
        <w:t xml:space="preserve"> </w:t>
      </w:r>
      <w:r>
        <w:rPr>
          <w:iCs/>
          <w:i/>
        </w:rPr>
        <w:t xml:space="preserve">Họ đường cong I–P phụ thuộc chế độ thể chế ICRV.</w:t>
      </w:r>
      <w:r>
        <w:t xml:space="preserve"> </w:t>
      </w:r>
      <w:r>
        <w:t xml:space="preserve">Các đường chữ U ngược có cùng độ cao đỉnh nhưng điểm uốn (turning point) dịch dần sang phải khi chất lượng thể chế giảm (từ ≈28% ở Nhóm I đến ≈55% ở Nhóm V–VI); riêng nhóm SIDS (Nhóm VI) quan hệ chuyển sang âm đơn điệu không có điểm uốn (FIP, H1b).</w:t>
      </w:r>
      <w:r>
        <w:t xml:space="preserve"> </w:t>
      </w:r>
      <w:r>
        <w:rPr>
          <w:iCs/>
          <w:i/>
        </w:rPr>
        <w:t xml:space="preserve">Nguồn: minh họa của tác giả từ kết quả P6–P8.</w:t>
      </w:r>
    </w:p>
    <w:bookmarkEnd w:id="48"/>
    <w:bookmarkStart w:id="49" w:name="X5a095d2d2756e364c0fa5703e6aa5c62834bd73"/>
    <w:p>
      <w:pPr>
        <w:pStyle w:val="Heading3"/>
      </w:pPr>
      <w:r>
        <w:t xml:space="preserve">4.6.3 Điều tiết bởi TCI và DAI trong toàn mẫu</w:t>
      </w:r>
    </w:p>
    <w:p>
      <w:pPr>
        <w:numPr>
          <w:ilvl w:val="0"/>
          <w:numId w:val="1003"/>
        </w:numPr>
        <w:pStyle w:val="Compact"/>
      </w:pPr>
      <w:r>
        <w:rPr>
          <w:bCs/>
          <w:b/>
        </w:rPr>
        <w:t xml:space="preserve">TCI</w:t>
      </w:r>
      <w:r>
        <w:t xml:space="preserve">: có ý nghĩa thống kê dương trên toàn mẫu — một đơn vị độ lệch chuẩn tăng TCI nâng năng suất lao động khoảng 41% (exp(0,344)−1). Tuy nhiên, các tương tác FSTS×TCI và FSTS²×TCI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03"/>
        </w:numPr>
        <w:pStyle w:val="Compact"/>
      </w:pPr>
      <w:r>
        <w:rPr>
          <w:bCs/>
          <w:b/>
        </w:rPr>
        <w:t xml:space="preserve">DAI</w:t>
      </w:r>
      <w:r>
        <w:t xml:space="preserve">: có ý nghĩa thống kê toàn mẫu —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49"/>
    <w:bookmarkEnd w:id="50"/>
    <w:bookmarkStart w:id="54" w:name="X148edf673f29f3cdc512225d99b03a9e67e1c42"/>
    <w:p>
      <w:pPr>
        <w:pStyle w:val="Heading2"/>
      </w:pPr>
      <w:r>
        <w:t xml:space="preserve">4.7 Kết quả trường hợp biên SIDS — Các nền kinh tế đảo nhỏ đang phát triển (P8)</w:t>
      </w:r>
    </w:p>
    <w:bookmarkStart w:id="51" w:name="Xe52dd8a4967ed07d68452ad9b61fc702a699611"/>
    <w:p>
      <w:pPr>
        <w:pStyle w:val="Heading3"/>
      </w:pPr>
      <w:r>
        <w:t xml:space="preserve">4.7.1 Đặc điểm mẫu SIDS</w:t>
      </w:r>
    </w:p>
    <w:p>
      <w:pPr>
        <w:pStyle w:val="FirstParagraph"/>
      </w:pPr>
      <w:r>
        <w:t xml:space="preserve">Phân tích P8 tập trung vào chín quốc gia SIDS (Pacific Small Island Developing States —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mean FSTS = 0,060 (6,0%).</w:t>
      </w:r>
    </w:p>
    <w:bookmarkEnd w:id="51"/>
    <w:bookmarkStart w:id="52" w:name="Xda8912ddf3b9c40c39597e70818ba6d2fa29362"/>
    <w:p>
      <w:pPr>
        <w:pStyle w:val="Heading3"/>
      </w:pPr>
      <w:r>
        <w:t xml:space="preserve">4.7.2 Hiệu ứng âm đơn điệu —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w:t>
      </w:r>
      <w:r>
        <w:t xml:space="preserve">— quan hệ âm đơn điệu. Trong mẫu chỉ gồm doanh nghiệp xuất khẩu (exporters-only),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 không có turning point trong phạm vi dữ liệu.</w:t>
      </w:r>
    </w:p>
    <w:bookmarkEnd w:id="52"/>
    <w:bookmarkStart w:id="53" w:name="X9bd5b3fa82a3bf10893bad805f5c2ae8e352ac8"/>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w:t>
      </w:r>
      <w:r>
        <w:t xml:space="preserve">— gánh nặng quốc tế hóa bắt buộc — một construct lý thuyết mới chưa có trong literature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 lần đầu tiên được ghi nhận và đặt tên trong literature internationalization–firm performance cho khu vực Thái Bình Dương.</w:t>
      </w:r>
    </w:p>
    <w:p>
      <w:r>
        <w:pict>
          <v:rect style="width:0;height:1.5pt" o:hralign="center" o:hrstd="t" o:hr="t"/>
        </w:pict>
      </w:r>
    </w:p>
    <w:bookmarkEnd w:id="53"/>
    <w:bookmarkEnd w:id="54"/>
    <w:bookmarkStart w:id="55" w:name="X5f84eb56afd02fae22daa44ef7dc0d03f77fdb7"/>
    <w:p>
      <w:pPr>
        <w:pStyle w:val="Heading2"/>
      </w:pPr>
      <w:r>
        <w:t xml:space="preserve">4.8 Tổng hợp kết quả theo hệ giả thuyết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 "digital shield" 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Frontier;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0</m:t>
              </m:r>
              <m:r>
                <m:rPr>
                  <m:sty m:val="p"/>
                </m:rPr>
                <m:t>,</m:t>
              </m:r>
              <m:sSup>
                <m:e>
                  <m:r>
                    <m:t>901</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55"/>
    <w:bookmarkStart w:id="57"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w:t>
      </w:r>
      <w:r>
        <w:t xml:space="preserve"> </w:t>
      </w:r>
      <w:hyperlink r:id="rId56">
        <w:r>
          <w:rPr>
            <w:rStyle w:val="Hyperlink"/>
          </w:rPr>
          <w:t xml:space="preserve">https://www.enterprisesurveys.org</w:t>
        </w:r>
      </w:hyperlink>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57"/>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hyperlink" Id="rId56"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56"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2026-06-07T12:38:29Z</dcterms:created>
  <dcterms:modified xsi:type="dcterms:W3CDTF">2026-06-07T12:38:29Z</dcterms:modified>
</cp:coreProperties>
</file>

<file path=docProps/custom.xml><?xml version="1.0" encoding="utf-8"?>
<Properties xmlns="http://schemas.openxmlformats.org/officeDocument/2006/custom-properties" xmlns:vt="http://schemas.openxmlformats.org/officeDocument/2006/docPropsVTypes"/>
</file>