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 "Xây dựng mô hình nghiên cứu về ảnh hưởng của quốc tế hóa đến hiệu quả hoạt động kinh doanh của các doanh nghiệp ở Châu Á" 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rPr>
          <w:bCs/>
          <w:b/>
        </w:rPr>
        <w:t xml:space="preserve">Mục đích.</w:t>
      </w:r>
      <w:r>
        <w:t xml:space="preserve"> </w:t>
      </w:r>
      <w:r>
        <w:t xml:space="preserve">Chuyên đề xây dựng mô hình nghiên cứu lý thuyết và thực nghiệm về ảnh hưởng của quốc tế hoá đến hiệu quả hoạt động kinh doanh của doanh nghiệp ở các nền kinh tế châu Á trong giai đoạn 2009-2025, với câu hỏi trọng tâm là quan hệ quốc tế hoá-hiệu quả phi tuyến đến mức nào và bị điều tiết ra sao bởi năng lực công nghệ, áp dụng số nền tảng, đặc điểm nhà quản trị, và chế độ thể chế nội địa.</w:t>
      </w:r>
    </w:p>
    <w:p>
      <w:pPr>
        <w:pStyle w:val="BodyText"/>
      </w:pPr>
      <w:r>
        <w:rPr>
          <w:bCs/>
          <w:b/>
        </w:rPr>
        <w:t xml:space="preserve">Thiết kế / phương pháp luận / cách tiếp cận.</w:t>
      </w:r>
      <w:r>
        <w:t xml:space="preserve"> </w:t>
      </w:r>
      <w:r>
        <w:t xml:space="preserve">Khung lý thuyết tích hợp bốn tầng kết hợp lý thuyết Uppsala, Quan điểm Dựa vào Nguồn lực (Resource-Based View, RBV), Lý thuyết Thể chế và Lý thuyết Tầng cao Quản trị (Upper Echelons Theory) cùng Khung Áp dụng Số Nền tảng (Foundational Digital Adoption Framework). Sáu giả thuyết H1-H6 được phát triển: H1 phi tuyến chữ U ngược hoặc S-curve; H2 Chỉ số Năng lực Công nghệ điều tiết tích cực; H3a-H3b Chỉ số Áp dụng Số điều tiết phụ thuộc chế độ thể chế; H4a-H4c đặc điểm nhà quản trị điều tiết; H5 thể chế nội địa điều tiết theo gradient sáu nhóm Biến thiên Chế độ Thể chế (Institutional Context Regime Variation, ICRV); H6 tính không đồng nhất theo thời gian. Tám mô hình thực nghiệm M0-M7 được đặc tả, từ baseline tuyến tính đến mô hình điều tiết ba chiều cấp luận án, cho pool 101.185 doanh nghiệp ở 47 nền kinh tế châu Á-Thái Bình Dương, 108 cặp quốc gia-năm qua 14 mốc khảo sát của Khảo sát Doanh nghiệp của Ngân hàng Thế giới (WBES) giai đoạn 2009-2025.</w:t>
      </w:r>
    </w:p>
    <w:p>
      <w:pPr>
        <w:pStyle w:val="BodyText"/>
      </w:pPr>
      <w:r>
        <w:rPr>
          <w:bCs/>
          <w:b/>
        </w:rPr>
        <w:t xml:space="preserve">Kết quả nghiên cứu.</w:t>
      </w:r>
      <w:r>
        <w:t xml:space="preserve"> </w:t>
      </w:r>
      <w:r>
        <w:t xml:space="preserve">Lược khảo năm dạng hàm quan hệ quốc tế hoá-hiệu quả gồm tuyến tính, chữ U ngược, S-curve, M-curve và forced penalty, cùng năm meta-analysis lớn giai đoạn 1980-2024, cho thấy khoảng trống thực nghiệm trong kiểm định đồng thời phi tuyến và điều tiết đa tầng ở châu Á. Ba bản thảo thực nghiệm đồng hành cung cấp bằng chứng quốc gia cụ thể kiểm định H1-H6: P3 Việt Nam (under review tại JABS) cho thấy lợi ích quốc tế hoá tập trung tại biên tham gia với DAI điều tiết phụ thuộc đợt khảo sát; P4 Singapore (under review tại MIR) cho thấy DAI vận hành như nguồn lực mở rộng có điều kiện ở đuôi xuất khẩu cao; P5 Trung Quốc (under review tại IJOEM) xác nhận ngưỡng chữ U ngược ổn định cấu trúc qua 12 năm giữa 2012 và 2024.</w:t>
      </w:r>
    </w:p>
    <w:p>
      <w:pPr>
        <w:pStyle w:val="BodyText"/>
      </w:pPr>
      <w:r>
        <w:rPr>
          <w:bCs/>
          <w:b/>
        </w:rPr>
        <w:t xml:space="preserve">Tính mới / đóng góp.</w:t>
      </w:r>
      <w:r>
        <w:t xml:space="preserve"> </w:t>
      </w:r>
      <w:r>
        <w:t xml:space="preserve">Chuyên đề đóng góp bốn điểm: thứ nhất, khung tích hợp bốn tầng kết hợp Khung Áp dụng Số Nền tảng chưa có tương đương cho châu Á; thứ hai, tách bạch năng lực công nghệ và áp dụng số theo Mô hình Năng lực và Áp dụng Số Phụ thuộc Bối cảnh (Context-Contingent Digital-and-Capability Model, CDCM), giải thích nhất quán cả kết quả null của DAI ở thị trường mới nổi và kết quả dương có điều kiện ở thị trường tiên tiến; thứ ba, mô hình M7 điều tiết ba chiều ở cấp luận án; thứ tư, phân loại phân nhóm con của chế độ Tiên tiến thành đổi mới sáng tạo dẫn dắt và tài nguyên dẫn dắt, một đóng góp lý thuyết kiểu Varieties of Capitalism cho bối cảnh châu Á.</w:t>
      </w:r>
    </w:p>
    <w:p>
      <w:pPr>
        <w:pStyle w:val="BodyText"/>
      </w:pPr>
      <w:r>
        <w:rPr>
          <w:bCs/>
          <w:b/>
        </w:rPr>
        <w:t xml:space="preserve">Từ khoá:</w:t>
      </w:r>
      <w:r>
        <w:t xml:space="preserve"> </w:t>
      </w:r>
      <w:r>
        <w:t xml:space="preserve">quốc tế hoá; hiệu quả hoạt động kinh doanh; châu Á; mô hình phi tuyến; điều tiết đa tầng; áp dụng công nghệ số; thể chế; Tầng cao Quản trị; Biến thiên Chế độ Thể chế.</w:t>
      </w:r>
    </w:p>
    <w:p>
      <w:pPr>
        <w:pStyle w:val="BodyText"/>
      </w:pPr>
      <w:r>
        <w:rPr>
          <w:bCs/>
          <w:b/>
        </w:rPr>
        <w:t xml:space="preserve">Phân loại JEL:</w:t>
      </w:r>
      <w:r>
        <w:t xml:space="preserve"> </w:t>
      </w:r>
      <w:r>
        <w:t xml:space="preserve">F23; O33; D22; L25; O53.</w:t>
      </w:r>
    </w:p>
    <w:p>
      <w:pPr>
        <w:pStyle w:val="BodyText"/>
      </w:pPr>
      <w:r>
        <w:rPr>
          <w:bCs/>
          <w:b/>
        </w:rPr>
        <w:t xml:space="preserve">Loại bài:</w:t>
      </w:r>
      <w:r>
        <w:t xml:space="preserve"> </w:t>
      </w:r>
      <w:r>
        <w:t xml:space="preserve">Chuyên đề tiến sĩ.</w:t>
      </w:r>
    </w:p>
    <w:p>
      <w:r>
        <w:pict>
          <v:rect style="width:0;height:1.5pt" o:hralign="center" o:hrstd="t" o:hr="t"/>
        </w:pict>
      </w:r>
    </w:p>
    <w:bookmarkEnd w:id="21"/>
    <w:bookmarkStart w:id="22" w:name="abstract"/>
    <w:p>
      <w:pPr>
        <w:pStyle w:val="Heading2"/>
      </w:pPr>
      <w:r>
        <w:t xml:space="preserve">ABSTRACT</w:t>
      </w:r>
    </w:p>
    <w:p>
      <w:pPr>
        <w:pStyle w:val="FirstParagraph"/>
      </w:pPr>
      <w:r>
        <w:rPr>
          <w:bCs/>
          <w:b/>
        </w:rPr>
        <w:t xml:space="preserve">Purpose.</w:t>
      </w:r>
      <w:r>
        <w:t xml:space="preserve"> </w:t>
      </w:r>
      <w:r>
        <w:t xml:space="preserve">This specialty essay constructs a theoretical and empirical research model on the effect of internationalisation on firm performance across Asian economies during 2009-2025. The central research question is how nonlinear the internationalisation-performance relationship is and how it is moderated by technological capability, foundational digital adoption, top-manager characteristics, and home-country institutions.</w:t>
      </w:r>
    </w:p>
    <w:p>
      <w:pPr>
        <w:pStyle w:val="BodyText"/>
      </w:pPr>
      <w:r>
        <w:rPr>
          <w:bCs/>
          <w:b/>
        </w:rPr>
        <w:t xml:space="preserve">Design/methodology/approach.</w:t>
      </w:r>
      <w:r>
        <w:t xml:space="preserve"> </w:t>
      </w:r>
      <w:r>
        <w:t xml:space="preserve">The integrated theoretical framework combines four layers, the Uppsala model, the Resource-Based View, Institutional Theory, and Upper Echelons Theory, together with the Foundational Digital Adoption Framework. Six hypotheses (H1-H6) are developed: H1 nonlinear inverted-U or S-curve relationship; H2 Technological Capability Index positively moderating; H3a-H3b Digital Adoption Index moderating contingent on institutional regime; H4a-H4c top-manager characteristics moderating; H5 home-country institutions moderating along the Institutional Context Regime Variation (ICRV) six-regime gradient; H6 temporal heterogeneity. Eight empirical models M0-M7 are specified, from linear baseline to three-way moderation at the dissertation level, for a pool of 101,185 firms across 47 Asian and Pacific economies spanning 108 country-year pairs and 14 World Bank Enterprise Survey waves.</w:t>
      </w:r>
    </w:p>
    <w:p>
      <w:pPr>
        <w:pStyle w:val="BodyText"/>
      </w:pPr>
      <w:r>
        <w:rPr>
          <w:bCs/>
          <w:b/>
        </w:rPr>
        <w:t xml:space="preserve">Findings.</w:t>
      </w:r>
      <w:r>
        <w:t xml:space="preserve"> </w:t>
      </w:r>
      <w:r>
        <w:t xml:space="preserve">A review of five functional forms of the internationalisation-performance relationship, linear, inverted-U, S-curve, M-curve, and forced penalty, together with five major meta-analyses covering 1980-2024, reveals an empirical gap in the simultaneous testing of nonlinearity and multi-level moderation in Asia. Three companion empirical papers provide country-specific evidence testing H1-H6: P3 Vietnam (under review at JABS) shows internationalisation gains concentrate at the participation margin with wave-specific Digital Adoption moderation; P4 Singapore (under review at MIR) shows Digital Adoption functions as a conditional scaling resource at the high-export tail; P5 China (under review at IJOEM) confirms the inverted-U threshold as structurally durable across 12 years between 2012 and 2024.</w:t>
      </w:r>
    </w:p>
    <w:p>
      <w:pPr>
        <w:pStyle w:val="BodyText"/>
      </w:pPr>
      <w:r>
        <w:rPr>
          <w:bCs/>
          <w:b/>
        </w:rPr>
        <w:t xml:space="preserve">Originality/value.</w:t>
      </w:r>
      <w:r>
        <w:t xml:space="preserve"> </w:t>
      </w:r>
      <w:r>
        <w:t xml:space="preserve">The essay contributes in four ways: an integrated 4-tier framework combined with the Foundational Digital Adoption Framework with no equivalent for Asia; the separation of Technological Capability and Digital Adoption within the Context-Contingent Digital-and-Capability Model (CDCM) that consistently explains both null Digital Adoption results in emerging markets and conditional positive results in advanced markets; the M7 three-way moderation model; and sub-grouping of the Advanced regime into innovation-driven and resource-driven types, a Varieties-of-Capitalism contribution adapted to Asia.</w:t>
      </w:r>
    </w:p>
    <w:p>
      <w:pPr>
        <w:pStyle w:val="BodyText"/>
      </w:pPr>
      <w:r>
        <w:rPr>
          <w:bCs/>
          <w:b/>
        </w:rPr>
        <w:t xml:space="preserve">Keywords:</w:t>
      </w:r>
      <w:r>
        <w:t xml:space="preserve"> </w:t>
      </w:r>
      <w:r>
        <w:t xml:space="preserve">internationalisation; firm performance; Asia; nonlinear models; multi-level moderation; digital adoption; institutions; Upper Echelons Theory; Institutional Context Regime Variation.</w:t>
      </w:r>
    </w:p>
    <w:p>
      <w:pPr>
        <w:pStyle w:val="BodyText"/>
      </w:pPr>
      <w:r>
        <w:rPr>
          <w:bCs/>
          <w:b/>
        </w:rPr>
        <w:t xml:space="preserve">JEL Classification:</w:t>
      </w:r>
      <w:r>
        <w:t xml:space="preserve"> </w:t>
      </w:r>
      <w:r>
        <w:t xml:space="preserve">F23; O33; D22; L25; O53.</w:t>
      </w:r>
    </w:p>
    <w:p>
      <w:pPr>
        <w:pStyle w:val="BodyText"/>
      </w:pPr>
      <w:r>
        <w:rPr>
          <w:bCs/>
          <w:b/>
        </w:rPr>
        <w:t xml:space="preserve">Paper type:</w:t>
      </w:r>
      <w:r>
        <w:t xml:space="preserve"> </w:t>
      </w:r>
      <w:r>
        <w:t xml:space="preserve">Doctoral specialty essay.</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văn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Hạn chế nghiên cứu</w:t>
      </w:r>
      <w:r>
        <w:t xml:space="preserve"> </w:t>
      </w:r>
      <w:r>
        <w:t xml:space="preserve">2.4.3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bản thảo đồng hành P2–P5</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 → Performance, Quan hệ quốc tế hóa, 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 Lợi nhuận trên tổng tài sản</w:t>
            </w:r>
          </w:p>
        </w:tc>
      </w:tr>
      <w:tr>
        <w:tc>
          <w:tcPr/>
          <w:p>
            <w:pPr>
              <w:pStyle w:val="Compact"/>
              <w:jc w:val="left"/>
            </w:pPr>
            <w:r>
              <w:t xml:space="preserve">ROS</w:t>
            </w:r>
          </w:p>
        </w:tc>
        <w:tc>
          <w:tcPr/>
          <w:p>
            <w:pPr>
              <w:pStyle w:val="Compact"/>
              <w:jc w:val="left"/>
            </w:pPr>
            <w:r>
              <w:t xml:space="preserve">Return on Sales —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0" w:name="phần-2--nội-dung-chuyên-đề"/>
    <w:p>
      <w:pPr>
        <w:pStyle w:val="Heading2"/>
      </w:pPr>
      <w:r>
        <w:t xml:space="preserve">Phần 2 — NỘI DUNG CHUYÊN ĐỀ</w:t>
      </w:r>
    </w:p>
    <w:bookmarkStart w:id="32" w:name="X250440a458f84752b4b3036c6ea6774636261fc"/>
    <w:p>
      <w:pPr>
        <w:pStyle w:val="Heading3"/>
      </w:pPr>
      <w:r>
        <w:t xml:space="preserve">2.1 Đặt vấn đề</w:t>
      </w:r>
    </w:p>
    <w:bookmarkStart w:id="27" w:name="X6fd7dffa6b3478b027da0e5f281b07809f22c1a"/>
    <w:p>
      <w:pPr>
        <w:pStyle w:val="Heading4"/>
      </w:pPr>
      <w:r>
        <w:t xml:space="preserve">2.1.1 Giới thiệu</w:t>
      </w:r>
    </w:p>
    <w:p>
      <w:pPr>
        <w:pStyle w:val="FirstParagraph"/>
      </w:pPr>
      <w:r>
        <w:t xml:space="preserve">Quốc tế hóa là chiến lược phát triển quan trọng của doanh nghiệp trong hơn nửa thế kỷ qua, nhưng kết quả mà nó đem lại không đồng nhất. Văn liệu kinh doanh quốc tế (IB) đã ghi nhận năm dạng hàm khác nhau trong quan hệ giữa cường độ quốc tế hóa và hiệu quả doanh nghiệp: tuyến tính (Hsu &amp; Boggs, 2003), chữ U ngược (Gomes &amp; Ramaswamy, 1999; Hitt, Hoskisson &amp; Kim, 1997), S-curve (Lu &amp; Beamish, 2004; Contractor, Kundu &amp; Hsu, 2003), M-curve (Riahi-Belkaoui, 1998), và forced penalty (Glaum &amp; Oesterle, 2007). Sự đa dạng này phản ánh tính phụ thuộc ngữ cảnh của hiệu ứng quốc tế hóa. Cùng một mức cường độ xuất khẩu có thể tạo ra lợi ích hoặc gánh nặng tùy theo năng lực doanh nghiệp, thể chế quốc gia, và giai đoạn phát triển số (Bausch &amp; Krist, 2007; Kirca et al., 2012; Marano et al., 2016; Wu, Wood &amp; Khan, 2022).</w:t>
      </w:r>
    </w:p>
    <w:p>
      <w:pPr>
        <w:pStyle w:val="BodyText"/>
      </w:pPr>
      <w:r>
        <w:t xml:space="preserve">Châu Á trong giai đoạn 2009–2025 là phòng thí nghiệm tự nhiên độc đáo cho nghiên cứu quan hệ I→P. Khu vực này tồn tại đồng thời ít nhất sáu chế độ thể chế khác nhau theo khung phân loại ICRV: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Đồng thời, châu Á đang trải qua chuyển đổi số chưa từng có trong giai đoạn 2018–2025. Sự bùng nổ của hạ tầng số và trí tuệ nhân tạo từ năm 2023 đã tái định hình cơ chế qua đó năng lực số tác động lên quốc tế hóa và hiệu quả (Banalieva &amp; Dhanaraj, 2019; Verhoef et al., 2021; Yang, Zhao &amp; Wei, 2025).</w:t>
      </w:r>
    </w:p>
    <w:p>
      <w:pPr>
        <w:pStyle w:val="BodyText"/>
      </w:pPr>
      <w:r>
        <w:t xml:space="preserve">Khung lý thuyết hiện hành về quan hệ I→P còn phân tán. Các tổng quan lớn thường tập trung vào một hoặc hai khía cạnh mà ít có khung tích hợp đa tầng cho phép giải thích đầy đủ tính không đồng nhất quan sát được ở châu Á. Đặc biệt, khung áp dụng số nền tảng (Foundational Digital Adoption Framework) chỉ mới được đề xuất gần đây và chưa được tích hợp đầy đủ với bốn tầng lý thuyết kinh điển.</w:t>
      </w:r>
    </w:p>
    <w:p>
      <w:pPr>
        <w:pStyle w:val="BodyText"/>
      </w:pPr>
      <w:r>
        <w:t xml:space="preserve">Kết quả phân tích mô tả trong Chuyên đề Tiến sĩ số 1 đã cung cấp bức tranh thực trạng đa chiều dựa trên 101.185 doanh nghiệp WBES xuyên 47 nền kinh tế, làm rõ ba pattern then chốt: phân tán năng suất tăng đơn điệu theo chế độ từ Nhóm I đến Nhóm VI; tính không đồng nhất nội bộ trong nhóm Advanced; và pattern adaptation đặc trưng của các quốc đảo nhỏ Thái Bình Dương. Đồng thời, phân tích đó phát hiện CDCM (Mô hình Áp dụng số và Năng lực phụ thuộc bối cảnh): tác động của DAI lên hiệu quả phụ thuộc vào chế độ thể chế, giai đoạn quốc tế hóa, và mức độ bão hòa số của nền kinh tế. Chuyên đề 2 này tiếp nối bằng cách xây dựng mô hình lý thuyết và thực nghiệm để giải thích cơ chế đằng sau các pattern đó.</w:t>
      </w:r>
    </w:p>
    <w:p>
      <w:pPr>
        <w:pStyle w:val="BodyText"/>
      </w:pPr>
      <w:r>
        <w:t xml:space="preserve">Bốn bản thảo thực nghiệm đồng hành cung cấp bằng chứng quốc gia cụ thể kiểm định khả năng của khung đề xuất. P2 Trung Quốc SMEs (Đỗ &amp; Phan, 2026, JFAR đã công bố) phân tích 2.700 doanh nghiệp SMEs Trung Quốc và tìm thấy dạng bậc ba (cubic nonlinearity / S-curve ba giai đoạn), cung cấp tiền thân thực nghiệm cho H1 và cơ sở để so sánh với P5. P3 Việt Nam (Đỗ &amp; Phan, 2026, JABS under review) phân tích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P4 Singapore (Mar, Đỗ &amp; Phan, 2026, MIR under review) phân tích 623 doanh nghiệp WBES 2023, cho thấy điểm uốn hàm ý ở FSTS khoảng 88,6% và DAI hoạt động như nguồn lực mở rộng tình huống với hệ số DAI×FSTS² = +3,119 (p = 0,005). P5 Trung Quốc (Đỗ &amp; Phan, 2026, IJOEM under review) phân tích 4.559 doanh nghiệp WBES hai sóng (2012, 2024) xác nhận chữ U ngược bền vững cấu trúc với điểm uốn 49,4% (2012) và 47,2% (2024).</w:t>
      </w:r>
    </w:p>
    <w:bookmarkEnd w:id="27"/>
    <w:bookmarkStart w:id="28" w:name="X7f20f31862286b06027ff59c387b4d07500e944"/>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X28671d9fcbac6b0efa836b4f85e9e35e8b46ecb"/>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X73c4e02a184ef39ee5bcd85312599da377da197"/>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X173e482f639c5b1a820140a37335e593ce55be4"/>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văn liệu IB cho khu vực 47 nền kinh tế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văn liệu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X8ba68eb4f47e195906995745687b14136750d53"/>
    <w:p>
      <w:pPr>
        <w:pStyle w:val="Heading3"/>
      </w:pPr>
      <w:r>
        <w:t xml:space="preserve">2.2 Phương pháp nghiên cứu</w:t>
      </w:r>
    </w:p>
    <w:p>
      <w:pPr>
        <w:pStyle w:val="FirstParagraph"/>
      </w:pPr>
      <w:r>
        <w:t xml:space="preserve">Chuyên đề tiếp cận theo lối tổng quan văn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Xfadb92acae8a4d37a91981bb046b7a60d6983fb"/>
    <w:p>
      <w:pPr>
        <w:pStyle w:val="Heading3"/>
      </w:pPr>
      <w:r>
        <w:t xml:space="preserve">2.3 Kết quả và thảo luận</w:t>
      </w:r>
    </w:p>
    <w:bookmarkStart w:id="37" w:name="X1a15d42e320d2462e5852a7fe8c9509599fae0d"/>
    <w:p>
      <w:pPr>
        <w:pStyle w:val="Heading4"/>
      </w:pPr>
      <w:r>
        <w:t xml:space="preserve">2.3.1 Tổng quan văn liệu về quan hệ quốc tế hóa và hiệu quả kinh doanh</w:t>
      </w:r>
    </w:p>
    <w:p>
      <w:pPr>
        <w:pStyle w:val="FirstParagraph"/>
      </w:pPr>
      <w:r>
        <w:t xml:space="preserve">Các bằng chứng cập nhật giai đoạn 2024-2025 củng cố ba thread liên quan trực tiếp đến mô hình M0-M7 đề xuất. Purkayastha và cộng sự (2024) trên dữ liệu 20 năm của 837 doanh nghiệp Ấn Độ chứng minh rằng năng lực quản lý đầu tư R&amp;D và tái phân bổ nguồn lực chiến lược làm steepen đường cong I-P và dịch điểm uốn về bên trái. Đây là bằng chứng trực tiếp cho H2 (TCI điều tiết) trong khung CDCM. Li (2024) trên các MNE Trung Quốc giai đoạn 2012-2022 xác nhận quan hệ chữ U ngược giữa tốc độ quốc tế hoá và hiệu quả đổi mới, với absorptive, learning và managerial capacities điều tiết tích cực, củng cố nền tảng cho H4 (đặc điểm nhà quản trị). Aydemir và cộng sự (2024) trong meta-analysis cập nhật (k=170 mẫu) xác nhận quy mô hiệu ứng dương nhỏ giữa quốc tế hoá và hiệu quả với heterogeneity đáng kể theo developed-vs-emerging market, hỗ trợ thiết kế ICRV 6-gradient trong H5.</w:t>
      </w:r>
    </w:p>
    <w:bookmarkStart w:id="34" w:name="năm-dạng-hàm-của-quan-hệ-ip"/>
    <w:p>
      <w:pPr>
        <w:pStyle w:val="Heading5"/>
      </w:pPr>
      <w:r>
        <w:t xml:space="preserve">Năm dạng hàm của quan hệ I→P</w:t>
      </w:r>
    </w:p>
    <w:p>
      <w:pPr>
        <w:pStyle w:val="FirstParagraph"/>
      </w:pPr>
      <w:r>
        <w:t xml:space="preserve">Văn liệu IB đã ghi nhận không dưới năm dạng hàm khác nhau trong quan hệ giữa cường độ quốc tế hóa và hiệu quả doanh nghiệp. Sự đa dạng này không phải ngẫu nhiên mà phản ánh tính phụ thuộc ngữ cảnh của hiệu ứng quốc tế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 β₁(FSTS) &gt; 0, β₂(FSTS²) &lt; 0, β₃(FSTS³)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tắt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là hàm lợi ích và C(·) là hàm chi phí. Sự khác biệt giữa các dạng hàm nằm ở hình dạng của B(·) và C(·) tùy theo ngữ cảnh thể chế, năng lực doanh nghiệp, và giai đoạn số hóa.</w:t>
      </w:r>
    </w:p>
    <w:p>
      <w:pPr>
        <w:pStyle w:val="BodyText"/>
      </w:pPr>
      <w:r>
        <w:t xml:space="preserve">Bảng 2.2. Năm dạng hàm I→P, cơ chế, và bối cảnh xuất hiện.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lớn cung cấp bức tranh tổng thể về quan hệ I→P.</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chất lượng thể chế quốc gia xuất xứ có thể dịch chuyển điểm uốn ±15% FSTS. Đây là nền tảng quan trọng nhất ủng hộ gradient ICRV trong H5.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 (không kiểm định hệ thống)</w:t>
            </w:r>
          </w:p>
        </w:tc>
        <w:tc>
          <w:tcPr/>
          <w:p>
            <w:pPr>
              <w:pStyle w:val="Compact"/>
              <w:jc w:val="left"/>
            </w:pPr>
            <w:r>
              <w:t xml:space="preserve">Partial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 (GDP, văn hóa)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Kirca et al. (2012)</w:t>
            </w:r>
          </w:p>
        </w:tc>
        <w:tc>
          <w:tcPr/>
          <w:p>
            <w:pPr>
              <w:pStyle w:val="Compact"/>
              <w:jc w:val="left"/>
            </w:pPr>
            <w:r>
              <w:t xml:space="preserve">✗</w:t>
            </w:r>
          </w:p>
        </w:tc>
        <w:tc>
          <w:tcPr/>
          <w:p>
            <w:pPr>
              <w:pStyle w:val="Compact"/>
              <w:jc w:val="left"/>
            </w:pPr>
            <w:r>
              <w:t xml:space="preserve">✓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Partial (ngành)</w:t>
            </w:r>
          </w:p>
        </w:tc>
        <w:tc>
          <w:tcPr/>
          <w:p>
            <w:pPr>
              <w:pStyle w:val="Compact"/>
              <w:jc w:val="left"/>
            </w:pPr>
            <w:r>
              <w:t xml:space="preserve">✗</w:t>
            </w:r>
          </w:p>
        </w:tc>
      </w:tr>
      <w:tr>
        <w:tc>
          <w:tcPr/>
          <w:p>
            <w:pPr>
              <w:pStyle w:val="Compact"/>
              <w:jc w:val="left"/>
            </w:pPr>
            <w:r>
              <w:t xml:space="preserve">Marano et al. (2016)</w:t>
            </w:r>
          </w:p>
        </w:tc>
        <w:tc>
          <w:tcPr/>
          <w:p>
            <w:pPr>
              <w:pStyle w:val="Compact"/>
              <w:jc w:val="left"/>
            </w:pPr>
            <w:r>
              <w:t xml:space="preserve">✓ (TP ±15% FSTS)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(cốt lõi)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 (cốt lõi)</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Wu, Wood &amp; Khan (2022)</w:t>
            </w:r>
          </w:p>
        </w:tc>
        <w:tc>
          <w:tcPr/>
          <w:p>
            <w:pPr>
              <w:pStyle w:val="Compact"/>
              <w:jc w:val="left"/>
            </w:pPr>
            <w:r>
              <w:t xml:space="preserve">✓ (TP thấp hơn EMNE)</w:t>
            </w:r>
          </w:p>
        </w:tc>
        <w:tc>
          <w:tcPr/>
          <w:p>
            <w:pPr>
              <w:pStyle w:val="Compact"/>
              <w:jc w:val="left"/>
            </w:pPr>
            <w:r>
              <w:t xml:space="preserve">Partial (absorptive capacity)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(20 năm)</w:t>
            </w:r>
          </w:p>
        </w:tc>
        <w:tc>
          <w:tcPr/>
          <w:p>
            <w:pPr>
              <w:pStyle w:val="Compact"/>
              <w:jc w:val="left"/>
            </w:pPr>
            <w:r>
              <w:t xml:space="preserve">✓ (EMNE/DMNE)</w:t>
            </w:r>
          </w:p>
        </w:tc>
        <w:tc>
          <w:tcPr/>
          <w:p>
            <w:pPr>
              <w:pStyle w:val="Compact"/>
              <w:jc w:val="left"/>
            </w:pPr>
            <w:r>
              <w:t xml:space="preserve">✗</w:t>
            </w:r>
          </w:p>
        </w:tc>
      </w:tr>
      <w:tr>
        <w:tc>
          <w:tcPr/>
          <w:p>
            <w:pPr>
              <w:pStyle w:val="Compact"/>
              <w:jc w:val="left"/>
            </w:pPr>
            <w:r>
              <w:t xml:space="preserve">Đỗ &amp; Phan (2026 — JFAR)</w:t>
            </w:r>
          </w:p>
        </w:tc>
        <w:tc>
          <w:tcPr/>
          <w:p>
            <w:pPr>
              <w:pStyle w:val="Compact"/>
              <w:jc w:val="left"/>
            </w:pPr>
            <w:r>
              <w:t xml:space="preserve">✓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 (H1: chữ U ngược + S-curve)</w:t>
            </w:r>
          </w:p>
        </w:tc>
        <w:tc>
          <w:tcPr/>
          <w:p>
            <w:pPr>
              <w:pStyle w:val="Compact"/>
              <w:jc w:val="left"/>
            </w:pPr>
            <w:r>
              <w:rPr>
                <w:bCs/>
                <w:b/>
              </w:rPr>
              <w:t xml:space="preserve">✓ (H2: nhân quả IV)</w:t>
            </w:r>
          </w:p>
        </w:tc>
        <w:tc>
          <w:tcPr/>
          <w:p>
            <w:pPr>
              <w:pStyle w:val="Compact"/>
              <w:jc w:val="left"/>
            </w:pPr>
            <w:r>
              <w:rPr>
                <w:bCs/>
                <w:b/>
              </w:rPr>
              <w:t xml:space="preserve">✓ (H3: CDCM phân biệt)</w:t>
            </w:r>
          </w:p>
        </w:tc>
        <w:tc>
          <w:tcPr/>
          <w:p>
            <w:pPr>
              <w:pStyle w:val="Compact"/>
              <w:jc w:val="left"/>
            </w:pPr>
            <w:r>
              <w:rPr>
                <w:bCs/>
                <w:b/>
              </w:rPr>
              <w:t xml:space="preserve">✓ (H4a–H4c)</w:t>
            </w:r>
          </w:p>
        </w:tc>
        <w:tc>
          <w:tcPr/>
          <w:p>
            <w:pPr>
              <w:pStyle w:val="Compact"/>
              <w:jc w:val="left"/>
            </w:pPr>
            <w:r>
              <w:rPr>
                <w:bCs/>
                <w:b/>
              </w:rPr>
              <w:t xml:space="preserve">✓ (H5: ICRV 6 nhóm)</w:t>
            </w:r>
          </w:p>
        </w:tc>
        <w:tc>
          <w:tcPr/>
          <w:p>
            <w:pPr>
              <w:pStyle w:val="Compact"/>
              <w:jc w:val="left"/>
            </w:pPr>
            <w:r>
              <w:rPr>
                <w:bCs/>
                <w:b/>
              </w:rPr>
              <w:t xml:space="preserve">✓ (H6: 3 giai đoạn)</w:t>
            </w:r>
          </w:p>
        </w:tc>
        <w:tc>
          <w:tcPr/>
          <w:p>
            <w:pPr>
              <w:pStyle w:val="Compact"/>
              <w:jc w:val="left"/>
            </w:pPr>
            <w:r>
              <w:rPr>
                <w:bCs/>
                <w:b/>
              </w:rPr>
              <w:t xml:space="preserve">✓ (Nhóm I→VI)</w:t>
            </w:r>
          </w:p>
        </w:tc>
        <w:tc>
          <w:tcPr/>
          <w:p>
            <w:pPr>
              <w:pStyle w:val="Compact"/>
              <w:jc w:val="left"/>
            </w:pPr>
            <w:r>
              <w:rPr>
                <w:bCs/>
                <w:b/>
              </w:rPr>
              <w:t xml:space="preserve">✓ (Nhóm VI FIP)</w:t>
            </w:r>
          </w:p>
        </w:tc>
      </w:tr>
    </w:tbl>
    <w:p>
      <w:pPr>
        <w:pStyle w:val="BodyText"/>
      </w:pPr>
      <w:r>
        <w:rPr>
          <w:iCs/>
          <w:i/>
        </w:rPr>
        <w:t xml:space="preserve">Ghi chú: ✓ = kiểm định chính thức hoặc đóng góp lý thuyết rõ ràng; Partial = đề cập nhưng không phải trọng tâm; ✗ = không bao gồm; – = không áp dụng. FIP = Forced Internationalization Penalty. TCI và DAI được phân tách theo tiêu chí CDCM; P2 JFAR không kiểm định CDCM (pre-framework) nhưng cung cấp bằng chứng phi tuyến cubic tiền thân.</w:t>
      </w:r>
    </w:p>
    <w:bookmarkEnd w:id="35"/>
    <w:bookmarkStart w:id="36" w:name="Xc1ee8ae98659a4ba0165f9ba23dbc70e097d79e"/>
    <w:p>
      <w:pPr>
        <w:pStyle w:val="Heading5"/>
      </w:pPr>
      <w:r>
        <w:t xml:space="preserve">Bằng chứng châu Á từ ba bản thảo đồng hành</w:t>
      </w:r>
    </w:p>
    <w:p>
      <w:pPr>
        <w:pStyle w:val="FirstParagraph"/>
      </w:pPr>
      <w:r>
        <w:t xml:space="preserve">P3 Việt Nam (Đỗ &amp; Phan, 2026, JABS under review):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P3: P3 Vietnam sử dụng chuỗi M0–M8 riêng, trong đó M8 là mô hình đầy đủ: lnLP_it = α + β₁ FSTS_c + β₂ FSTS_c² + β₃ TCI_z + β₄ DAI_z + β₅(FSTS_c × DAI_z) + β₆(FSTS_c² × DAI_z) + γ·X + δ_s + [λ_t] + ε_it. Đặc tả đầy đủ M0–M8 và bảng định nghĩa biến được trình bày trong bản thảo P3 (Mục 3.2–Mục 3.3) và luận án (Mục 4.5.1). Chuỗi M0–M7 trong Chuyên đề 2 là các mô hình cấp độ pool 47 quốc gia, khác với đặc tả cấp độ quốc gia của P3.</w:t>
      </w:r>
    </w:p>
    <w:p>
      <w:pPr>
        <w:pStyle w:val="BodyText"/>
      </w:pPr>
      <w:r>
        <w:t xml:space="preserve">P4 Singapore (Mar, Đỗ &amp; Phan, 2026, MIR under review): Phân tích 623 doanh nghiệp WBES 2023. Trong nền kinh tế số bão hòa, đường cong I→P chủ yếu dương; điểm uốn hàm ý ở FSTS khoảng 88,6% (vùng thưa dữ liệu; kiểm định Lind–Mehlum p = 0,303). DAI×FSTS² = +3,119 (p = 0,005). DAI là nguồn lực mở rộng tình huống, chỉ phát huy ở FSTS cao nơi nhu cầu điều phối xuyên biên giới dày đặc. TCI dương trực tiếp (β = 0,153).</w:t>
      </w:r>
    </w:p>
    <w:p>
      <w:pPr>
        <w:pStyle w:val="BodyText"/>
      </w:pPr>
      <w:r>
        <w:t xml:space="preserve">P5 Trung Quốc (Đỗ &amp; Phan, 2026, IJOEM under review): Phân tích 4.559 doanh nghiệp WBES hai sóng (2012, 2024). Chữ U ngược bền vững cấu trúc với điểm uốn 49,4% (2012), 47,2% (2024); kiểm định Paternoster cho hệ số FSTS² không có sự khác biệt đáng kể (p = 0,545). TCI tăng cường theo thời gian (+0,260 lên +0,426, Paternoster p = 0,011).</w:t>
      </w:r>
    </w:p>
    <w:p>
      <w:pPr>
        <w:pStyle w:val="BodyText"/>
      </w:pPr>
      <w:r>
        <w:t xml:space="preserve">Bảng 2.3. So sánh bằng chứng bốn bản thảo đồng hành.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Chiều</w:t>
            </w:r>
          </w:p>
        </w:tc>
        <w:tc>
          <w:tcPr/>
          <w:p>
            <w:pPr>
              <w:pStyle w:val="Compact"/>
              <w:jc w:val="left"/>
            </w:pPr>
            <w:r>
              <w:t xml:space="preserve">P2 Trung Quốc SMEs (Nhóm III)</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Journal</w:t>
            </w:r>
          </w:p>
        </w:tc>
        <w:tc>
          <w:tcPr/>
          <w:p>
            <w:pPr>
              <w:pStyle w:val="Compact"/>
              <w:jc w:val="left"/>
            </w:pPr>
            <w:r>
              <w:t xml:space="preserve">JFAR (đã công bố 2026)</w:t>
            </w:r>
          </w:p>
        </w:tc>
        <w:tc>
          <w:tcPr/>
          <w:p>
            <w:pPr>
              <w:pStyle w:val="Compact"/>
              <w:jc w:val="left"/>
            </w:pPr>
            <w:r>
              <w:t xml:space="preserve">JABS (under review)</w:t>
            </w:r>
          </w:p>
        </w:tc>
        <w:tc>
          <w:tcPr/>
          <w:p>
            <w:pPr>
              <w:pStyle w:val="Compact"/>
              <w:jc w:val="left"/>
            </w:pPr>
            <w:r>
              <w:t xml:space="preserve">MIR (under review)</w:t>
            </w:r>
          </w:p>
        </w:tc>
        <w:tc>
          <w:tcPr/>
          <w:p>
            <w:pPr>
              <w:pStyle w:val="Compact"/>
              <w:jc w:val="left"/>
            </w:pPr>
            <w:r>
              <w:t xml:space="preserve">IJOEM (under review)</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P2 (Đỗ &amp; Phan, 2026, JFAR) là bản thảo tiền thân đã công bố, tìm thấy bậc ba (cubic nonlinearity) trong mẫu SMEs Trung Quốc, bằng chứng quan trọng cho dạng S-curve trong H1. P2 không kiểm định CDCM, được đưa vào đây để làm rõ sự tiến hóa phương pháp từ P2 sang P5.</w:t>
      </w:r>
    </w:p>
    <w:p>
      <w:pPr>
        <w:pStyle w:val="BodyText"/>
      </w:pPr>
      <w:r>
        <w:t xml:space="preserve">Bốn bản thảo cùng xác nhận ba dự đoán cốt lõi của CDCM: TCI là nhân quả và bền vững qua ba nền kinh tế khác nhau; DAI là phụ thuộc ngữ cảnh, không đồng nhất; chữ U ngược (hoặc S-curve cubic trong P2) là dạng hàm phổ biến nhất cho doanh nghiệp vừa và nhỏ châu Á với điểm uốn phụ thuộc vào ICRV.</w:t>
      </w:r>
    </w:p>
    <w:bookmarkEnd w:id="36"/>
    <w:bookmarkEnd w:id="37"/>
    <w:bookmarkStart w:id="44" w:name="X6db6454cb7343cf63bbff81acf66665d04ccf29"/>
    <w:p>
      <w:pPr>
        <w:pStyle w:val="Heading4"/>
      </w:pPr>
      <w:r>
        <w:t xml:space="preserve">2.3.2 Khung lý thuyết tích hợp 4 tầng</w:t>
      </w:r>
    </w:p>
    <w:bookmarkStart w:id="38" w:name="tầng-1--lý-thuyết-quốc-tế-hóa-uppsala"/>
    <w:p>
      <w:pPr>
        <w:pStyle w:val="Heading5"/>
      </w:pPr>
      <w:r>
        <w:t xml:space="preserve">Tầng 1 —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8"/>
    <w:bookmarkStart w:id="39" w:name="X8ece2e3529c502524817b2cb789dbe4387643af"/>
    <w:p>
      <w:pPr>
        <w:pStyle w:val="Heading5"/>
      </w:pPr>
      <w:r>
        <w:t xml:space="preserve">Tầng 2 —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 β = 0,179, nhân quả từ IV) và P5 Trung Quốc (TCI tăng cường +0,260 lên +0,426) ủng hộ TCI là nguồn lực VRIN bền vững.</w:t>
      </w:r>
    </w:p>
    <w:bookmarkEnd w:id="39"/>
    <w:bookmarkStart w:id="40" w:name="Xdfac8a2b424ed4182e1112636d8214b6ae10bd4"/>
    <w:p>
      <w:pPr>
        <w:pStyle w:val="Heading5"/>
      </w:pPr>
      <w:r>
        <w:t xml:space="preserve">Tầng 3 —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lý thuyết cho H4a–H4c (đặc điểm nhà quản trị điều tiết). Doanh nghiệp có nhà quản trị kinh nghiệm cao (H4a), học vấn cao (H4b) chuyển hóa quốc tế hóa thành hiệu quả tốt hơn thông qua hai kênh: chất lượng quyết định (tránh quốc tế hóa sớm) và năng lực điều phối (quản lý phức tạp đa thị trường). Giới tính nhà quản trị (H4c) được kiểm định khám phá không có dấu tiên nghiệm.</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hiệu quả hơn ở FSTS cao nơi nhu cầu điều phối xuyên biên giới dày đặc (P4 Singapore: DAI×FSTS² =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 FSTS²)</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 β = 0,179 nhân quả (IV); P5: +0,260 →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P4: DAI×FSTS² = +3,119 (Nhóm I); P3: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H4a–H4c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nguồn lực mở rộng tình huống theo CDCM; phản ánh đặc điểm nhà quản trị (Upper Echelons/Hambrick &amp; Mason, 1984); bị khuôn khổ bởi thể chế nội địa (Institutional Theory/North, 1990), gradient ICRV 6 nhóm với gánh nặng tắt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54" w:name="X52ec1cc6dbd47f936660533e43094c590c9cc4f"/>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 FSTS²_c),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w:t>
      </w:r>
      <w:r>
        <w:t xml:space="preserve"> </w:t>
      </w:r>
      <w:r>
        <w:t xml:space="preserve">cấp doanh nghiệp (TCI, DAI) và cấp quốc gia (ICRV regime, thời gian),</w:t>
      </w:r>
      <w:r>
        <w:t xml:space="preserve"> </w:t>
      </w:r>
      <w:r>
        <w:rPr>
          <w:bCs/>
          <w:b/>
        </w:rPr>
        <w:t xml:space="preserve">biến kiểm soát</w:t>
      </w:r>
      <w:r>
        <w:t xml:space="preserve"> </w:t>
      </w:r>
      <w:r>
        <w:t xml:space="preserve">(quy mô, tuổi, sở hữu nước ngoài, sector FE, country FE, year FE).</w:t>
      </w:r>
    </w:p>
    <w:bookmarkStart w:id="48" w:name="X92150996274ab00ad3bd5693e38782a96c025a9"/>
    <w:p>
      <w:pPr>
        <w:pStyle w:val="Heading5"/>
      </w:pPr>
      <w:r>
        <w:t xml:space="preserve">Hình 2.1. Khung khái niệm tích hợp (tổng quan)</w:t>
      </w:r>
    </w:p>
    <w:p>
      <w:pPr>
        <w:pStyle w:val="FirstParagraph"/>
      </w:pPr>
      <w:r>
        <w:drawing>
          <wp:inline>
            <wp:extent cx="5753100" cy="4009802"/>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4009802"/>
                    </a:xfrm>
                    <a:prstGeom prst="rect">
                      <a:avLst/>
                    </a:prstGeom>
                    <a:noFill/>
                    <a:ln w="9525">
                      <a:noFill/>
                      <a:headEnd/>
                      <a:tailEnd/>
                    </a:ln>
                  </pic:spPr>
                </pic:pic>
              </a:graphicData>
            </a:graphic>
          </wp:inline>
        </w:drawing>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 FSTS²_c, FSTS³_c) ở cực trái. Năm nhóm biến điều tiết phân theo hai cấp: cấp doanh nghiệp (TCI, H2, DAI, H3, đặc điểm nhà quản trị, H4a–H4c) và cấp quốc gia (ICRV regime, H5, giai đoạn thời gian. H6). Biến kiểm soát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Foundational Digital Adoption Framework (CDCM) biện minh cho H3; Upper Echelons biện minh cho H4; Institutional Theory biện minh cho H5. Bằng chứng neo đậu từ P3 Việt Nam, P4 Singapore và P5 Trung Quốc xác nhận tính khả nghiệm trước khi áp dụng cho toàn pool 101.185 doanh nghiệp.</w:t>
      </w:r>
    </w:p>
    <w:bookmarkEnd w:id="48"/>
    <w:bookmarkStart w:id="52" w:name="hình-22--cơ-chế-cdcm-chi-tiết"/>
    <w:p>
      <w:pPr>
        <w:pStyle w:val="Heading5"/>
      </w:pPr>
      <w:r>
        <w:t xml:space="preserve">Hình 2.2 — Cơ chế CDCM chi tiết</w:t>
      </w:r>
    </w:p>
    <w:p>
      <w:pPr>
        <w:pStyle w:val="FirstParagraph"/>
      </w:pPr>
      <w:r>
        <w:drawing>
          <wp:inline>
            <wp:extent cx="5753100" cy="2573755"/>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2573755"/>
                    </a:xfrm>
                    <a:prstGeom prst="rect">
                      <a:avLst/>
                    </a:prstGeom>
                    <a:noFill/>
                    <a:ln w="9525">
                      <a:noFill/>
                      <a:headEnd/>
                      <a:tailEnd/>
                    </a:ln>
                  </pic:spPr>
                </pic:pic>
              </a:graphicData>
            </a:graphic>
          </wp:inline>
        </w:drawing>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regime thể chế và mức bão hòa số của nền kinh tế. Nhóm I (Singapore. Advanced I, bão hòa số cao): DAI Tier-1+2 vận hành như nguồn lực khuếch đại tình huống, tác động chỉ xuất hiện khi cường độ xuất khẩu đạt ngưỡng cao (FSTS²×DAI = +3,119; P4). Nhóm IV (Việt Nam. Lower_mid_transition, bão hòa số thấp; Nhóm IV trong cả hệ 5 nhóm P6 lẫn hệ 6 nhóm CD2): DAI Tier-1 là ràng buộc đo lường; tác động dương theo OLS nhưng biến mất sau hiệu chỉnh nội sinh biến công cụ (β = 0,018, p = 0,942; P3). Nhóm III (Trung Quốc, Upper-Middle/Emerging transition, bão hòa số trung bình): DAI Tier-1 phổ biến &gt;60%, mất khả năng phân biệt, giữ như biến kiểm soát không phải biến điều tiết (P5). Cơ chế này giải thích tại sao kết quả "DAI null" và "DAI dương" 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w:r>
              <w:t xml:space="preserve">β₁ &gt; 0</w:t>
            </w:r>
          </w:p>
        </w:tc>
        <w:tc>
          <w:tcPr/>
          <w:p>
            <w:pPr>
              <w:pStyle w:val="Compact"/>
              <w:jc w:val="left"/>
            </w:pPr>
            <w:r>
              <w:t xml:space="preserve">H1</w:t>
            </w:r>
          </w:p>
        </w:tc>
      </w:tr>
      <w:tr>
        <w:tc>
          <w:tcPr/>
          <w:p>
            <w:pPr>
              <w:pStyle w:val="Compact"/>
              <w:jc w:val="left"/>
            </w:pPr>
            <w:r>
              <w:t xml:space="preserve">FSTS²</w:t>
            </w:r>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w:r>
              <w:t xml:space="preserve">β₂ &lt; 0</w:t>
            </w:r>
          </w:p>
        </w:tc>
        <w:tc>
          <w:tcPr/>
          <w:p>
            <w:pPr>
              <w:pStyle w:val="Compact"/>
              <w:jc w:val="left"/>
            </w:pPr>
            <w:r>
              <w:t xml:space="preserve">H1</w:t>
            </w:r>
          </w:p>
        </w:tc>
      </w:tr>
      <w:tr>
        <w:tc>
          <w:tcPr/>
          <w:p>
            <w:pPr>
              <w:pStyle w:val="Compact"/>
              <w:jc w:val="left"/>
            </w:pPr>
            <w:r>
              <w:t xml:space="preserve">FSTS³</w:t>
            </w:r>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w:r>
              <w:t xml:space="preserve">β₃ &gt;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w:r>
              <w:t xml:space="preserve">FSTS²×DAI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β &gt; 0 (δ_exp &gt; 0)</w:t>
            </w:r>
          </w:p>
        </w:tc>
        <w:tc>
          <w:tcPr/>
          <w:p>
            <w:pPr>
              <w:pStyle w:val="Compact"/>
              <w:jc w:val="left"/>
            </w:pPr>
            <w:r>
              <w:t xml:space="preserve">H4a</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β &gt; 0 (δ_educ &gt; 0)</w:t>
            </w:r>
          </w:p>
        </w:tc>
        <w:tc>
          <w:tcPr/>
          <w:p>
            <w:pPr>
              <w:pStyle w:val="Compact"/>
              <w:jc w:val="left"/>
            </w:pPr>
            <w:r>
              <w:t xml:space="preserve">H4b</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Exploratory, two-sided</w:t>
            </w:r>
          </w:p>
        </w:tc>
        <w:tc>
          <w:tcPr/>
          <w:p>
            <w:pPr>
              <w:pStyle w:val="Compact"/>
              <w:jc w:val="left"/>
            </w:pPr>
            <w:r>
              <w:t xml:space="preserve">H4c</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 FSTS² để giảm đa cộng tuyến.</w:t>
      </w:r>
    </w:p>
    <w:bookmarkEnd w:id="53"/>
    <w:bookmarkEnd w:id="54"/>
    <w:bookmarkStart w:id="63" w:name="X06e1038a517412390e729f6b4e28e81b8d64800"/>
    <w:p>
      <w:pPr>
        <w:pStyle w:val="Heading4"/>
      </w:pPr>
      <w:r>
        <w:t xml:space="preserve">2.3.4 Hệ giả thuyết nghiên cứu (H1–H6)</w:t>
      </w:r>
    </w:p>
    <w:bookmarkStart w:id="55"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văn liệu,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≥2 bằng chứng neo đậu từ P3/P4/P5). H4a–H4b và H6 là hỗn hợp xác nhận/khám phá (hướng rõ nhưng magnitude khám phá). H4c là hoàn toàn khám phá (two-sided, không có dấu tiên nghiệm).</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Điểm uốn khác nhau theo chế độ và giảm dần theo chiều thể chế mạnh hơn: Nhóm I có</w:t>
      </w:r>
      <w:r>
        <w:t xml:space="preserve"> </w:t>
      </w:r>
      <w:r>
        <w:rPr>
          <w:bCs/>
          <w:b/>
        </w:rPr>
        <w:t xml:space="preserve">điểm uốn thấp nhất (~28%, P7 toàn mẫu)</w:t>
      </w:r>
      <w:r>
        <w:t xml:space="preserve">, thể chế mạnh giúp doanh nghiệp đạt đỉnh hiệu suất ở mức FSTS thấp hơn; Nhóm III có điểm uốn trung bình (47–49%); Nhóm IV có điểm uốn trung bình–thấp (39–46%); Nhóm V có điểm uốn cao (~50–55%). Nhóm VI có pattern gánh nặng tắt buộc, không có chữ U ngược điển hình. Lưu ý: P4 Singapore (TP ~88,6%) là ngoại lệ đơn quốc gia với LM p = 0,303 (không có ý nghĩa), không đại diện cho mẫu Nhóm I trong P7.</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chủ yếu dương, điểm uốn ~88,6% (gần trần).</w:t>
      </w:r>
    </w:p>
    <w:p>
      <w:pPr>
        <w:pStyle w:val="BodyText"/>
      </w:pPr>
      <w:r>
        <w:t xml:space="preserve">H1: Quan hệ giữa cường độ quốc tế hóa (FSTS) và hiệu quả doanh nghiệp (ln LP) có dạng phi tuyến, với β₁(FSTS) &gt; 0 và β₂(FSTS²) &lt; 0, phản ánh chữ U ngược ở phần lớn các chế độ ICRV. Điểm uốn</w:t>
      </w:r>
      <w:r>
        <w:t xml:space="preserve"> </w:t>
      </w:r>
      <w:r>
        <w:rPr>
          <w:bCs/>
          <w:b/>
        </w:rPr>
        <w:t xml:space="preserve">giảm</w:t>
      </w:r>
      <w:r>
        <w:t xml:space="preserve"> </w:t>
      </w:r>
      <w:r>
        <w:t xml:space="preserve">theo gradient ICRV:</w:t>
      </w:r>
      <w:r>
        <w:t xml:space="preserve"> </w:t>
      </w:r>
      <w:r>
        <w:rPr>
          <w:bCs/>
          <w:b/>
        </w:rPr>
        <w:t xml:space="preserve">thấp nhất ở Nhóm I (~28%)</w:t>
      </w:r>
      <w:r>
        <w:t xml:space="preserve">, tăng dần qua Nhóm III (~47–49%) dẫn đến Nhóm IV (~39–46%) dẫn đến Nhóm V (~50–55%), với Nhóm VI có pattern gánh nặng tắt buộc (không có điểm uốn). Thể chế càng mạnh, doanh nghiệp đạt đỉnh hiệu suất xuất khẩu ở mức cường độ thấp hơn.</w:t>
      </w:r>
    </w:p>
    <w:p>
      <w:pPr>
        <w:pStyle w:val="BodyText"/>
      </w:pPr>
      <w:r>
        <w:t xml:space="preserve">H1a (biên tham gia): Bước chuyển từ không xuất khẩu (FSTS = 0) sang xuất khẩu (FSTS &gt; 0) tạo ra mức tăng năng suất lao động đáng kể và dương, tác động tham gia thị trường xuất khẩu là động lực chính của hiệu ứng I→P.</w:t>
      </w:r>
    </w:p>
    <w:p>
      <w:pPr>
        <w:pStyle w:val="BodyText"/>
      </w:pPr>
      <w:r>
        <w:t xml:space="preserve">H1b (biên cường độ, gần phẳng): Trong mẫu chỉ gồm doanh nghiệp xuất khẩu, đường cong I→P gần phẳng, tức là sau khi đã xuất khẩu, việc tăng cường độ tiếp theo không tạo thêm nhiều lợi ích năng suất nếu không có TCI và DAI đủ mạnh.</w:t>
      </w:r>
    </w:p>
    <w:bookmarkEnd w:id="56"/>
    <w:bookmarkStart w:id="57" w:name="h2--tci-điều-tiết-tích-cực-nâng-mặt-bằng"/>
    <w:p>
      <w:pPr>
        <w:pStyle w:val="Heading5"/>
      </w:pPr>
      <w:r>
        <w:t xml:space="preserve">H2 —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TCI là nhân quả. P5 Trung Quốc: β_z(TCI) tăng từ +0,260 (2012) dẫn đến +0,426 (2024), Paternoster z = −2,55 (p = 0,011). TCI nâng mặt bằng tăng cường theo thời gian. P4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1c9c953fc89a4348f4f643e69b0c33ec6bd1f9d"/>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 FSTS²×DAI = +3,119 (p = 0,005). DAI mở rộng tình huống có điều kiện. P3 Việt Nam: biến công cụ null β = 0,018 (p = 0,942). OLS dương = phụ thuộc chọn lựa, không nhân quả. P5 Trung Quốc: không điều tiết độ cong.</w:t>
      </w:r>
    </w:p>
    <w:p>
      <w:pPr>
        <w:pStyle w:val="BodyText"/>
      </w:pPr>
      <w:r>
        <w:t xml:space="preserve">Bảng 2.6. CDCM — Dự đoán tác động DAI theo 3 chiều ngữ cảnh.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 FSTS²×DAI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tắt buộc (&gt;40%)</w:t>
            </w:r>
          </w:p>
        </w:tc>
        <w:tc>
          <w:tcPr/>
          <w:p>
            <w:pPr>
              <w:pStyle w:val="Compact"/>
              <w:jc w:val="left"/>
            </w:pPr>
            <w:r>
              <w:t xml:space="preserve">Thấp–trung</w:t>
            </w:r>
          </w:p>
        </w:tc>
        <w:tc>
          <w:tcPr/>
          <w:p>
            <w:pPr>
              <w:pStyle w:val="Compact"/>
              <w:jc w:val="left"/>
            </w:pPr>
            <w:r>
              <w:t xml:space="preserve">Gánh nặng tắt buộc trội</w:t>
            </w:r>
          </w:p>
        </w:tc>
        <w:tc>
          <w:tcPr/>
          <w:p>
            <w:pPr>
              <w:pStyle w:val="Compact"/>
              <w:jc w:val="left"/>
            </w:pPr>
            <w:r>
              <w:t xml:space="preserve">—</w:t>
            </w:r>
          </w:p>
        </w:tc>
        <w:tc>
          <w:tcPr/>
          <w:p>
            <w:pPr>
              <w:pStyle w:val="Compact"/>
              <w:jc w:val="left"/>
            </w:pPr>
            <w:r>
              <w:t xml:space="preserve">I→P gánh nặng tắt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nguồn lực mở rộng tình huống theo CDCM, với hướng và cường độ khác nhau rõ ràng giữa Emerging/Frontier và Advanced. Hai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 dẫn đến ln(LP): β(FSTS×DAI) &gt; 0 và/hoặc β(FSTS²×DAI) &gt; 0 trong ước lượng OLS. Cơ chế: DAI giảm khoảng cách tâm lý, mở rộng tiếp cận thị trường ảo, và tăng năng lực điều phối ở những bối cảnh mà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β(FSTS²×DAI) vẫn dương ở mức FSTS cao nơi nhu cầu điều phối xuyên biên giới cao (bằng chứng neo đậu: P4 Singapore β(FSTS²×DAI) = +3,119, p = 0,005).</w:t>
      </w:r>
    </w:p>
    <w:p>
      <w:pPr>
        <w:pStyle w:val="BodyText"/>
      </w:pPr>
      <w:r>
        <w:t xml:space="preserve">TCI và DAI là hai cấu trúc phân biệt và không thể thay thế nhau trong cả hai sub-hypothesis (CDCM distinctiveness hypothesis. H3c: β(TCI) ≠ β(DAI) và hai cấu trúc thỏa mãn tiêu chí discriminant validity).</w:t>
      </w:r>
    </w:p>
    <w:bookmarkEnd w:id="58"/>
    <w:bookmarkStart w:id="59" w:name="h4ah4c--đặc-điểm-nhà-quản-trị-điều-tiết"/>
    <w:p>
      <w:pPr>
        <w:pStyle w:val="Heading5"/>
      </w:pPr>
      <w:r>
        <w:t xml:space="preserve">H4a–H4c — Đặc điểm nhà quản trị điều tiết</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Cơ chế điều tiết hoạt động qua hai kênh: chất lượng quyết định (tránh quốc tế hóa sớm ở FSTS thấp) và năng lực điều phối (quản lý phức tạp đa thị trường ở FSTS cao). Trong bối cảnh WBES, ba biến đại diện có sẵn: số năm kinh nghiệm quản lý (b5), trình độ học vấn (b7a), và giới tính nhà quản trị cấp cao (b7).</w:t>
      </w:r>
    </w:p>
    <w:p>
      <w:pPr>
        <w:pStyle w:val="BodyText"/>
      </w:pPr>
      <w:r>
        <w:t xml:space="preserve">Ba sub-hypothesis được tách biệt theo đặc điểm và dấu kỳ vọng:</w:t>
      </w:r>
    </w:p>
    <w:p>
      <w:pPr>
        <w:pStyle w:val="BodyText"/>
      </w:pPr>
      <w:r>
        <w:rPr>
          <w:bCs/>
          <w:b/>
        </w:rPr>
        <w:t xml:space="preserve">H4a</w:t>
      </w:r>
      <w:r>
        <w:t xml:space="preserve">: Kinh nghiệm quản lý tổng thể điều tiết tích cực quan hệ FSTS dẫn đến ln(LP): β(FSTS×exp_manager) &gt; 0. Nhà quản trị nhiều kinh nghiệm chuyển hóa quốc tế hóa thành hiệu quả tốt hơn thông qua khả năng nhận diện cơ hội thị trường và tránh bẫy tăng trưởng quá mức (δ_exp &gt; 0).</w:t>
      </w:r>
    </w:p>
    <w:p>
      <w:pPr>
        <w:pStyle w:val="BodyText"/>
      </w:pPr>
      <w:r>
        <w:rPr>
          <w:bCs/>
          <w:b/>
        </w:rPr>
        <w:t xml:space="preserve">H4b</w:t>
      </w:r>
      <w:r>
        <w:t xml:space="preserve">: Học vấn nhà quản trị, đại diện cho năng lực nhận thức và khả năng tiếp thu kinh nghiệm quốc tế, điều tiết tích cực quan hệ FSTS dẫn đến ln(LP): β(FSTS×educ_manager) &gt; 0. Nhà quản trị học vấn cao có khung nhận thức rộng hơn để xử lý sự phức tạp thông tin trong quản lý đa thị trường (δ_educ &gt; 0).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w:t>
      </w:r>
      <w:r>
        <w:t xml:space="preserve">: Giới tính nữ của nhà quản trị cấp cao (gender_manager = 1), kiểm định khám phá, không đặt dấu kỳ vọng tiên nghiệm; kiểm định two-sided. Bằng chứng trong văn liệu Upper Echelons không đồng nhất về chiều hướng cho châu Á (Hambrick, 2007); H4c vì vậy là exploratory.</w:t>
      </w:r>
    </w:p>
    <w:p>
      <w:pPr>
        <w:pStyle w:val="BodyText"/>
      </w:pPr>
      <w:r>
        <w:t xml:space="preserve">Phạm vi kiểm định: H4a–H4b là biến đại diện (proxy) cho cơ chế Upper Echelons, kết quả là chỉ báo gián tiếp, không phải kiểm định trực tiếp cấu trúc lý thuyết gốc. Hạn chế này cần được thừa nhận rõ trong phần thảo luận kết quả.</w:t>
      </w:r>
    </w:p>
    <w:bookmarkEnd w:id="59"/>
    <w:bookmarkStart w:id="60" w:name="h5-thể-chế-icrv-điều-tiết-theo-gradient"/>
    <w:p>
      <w:pPr>
        <w:pStyle w:val="Heading5"/>
      </w:pPr>
      <w:r>
        <w:t xml:space="preserve">H5.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~28% FSTS (P7 toàn mẫu)</w:t>
            </w:r>
          </w:p>
        </w:tc>
        <w:tc>
          <w:tcPr/>
          <w:p>
            <w:pPr>
              <w:pStyle w:val="Compact"/>
              <w:jc w:val="left"/>
            </w:pPr>
            <w:r>
              <w:t xml:space="preserve">P7 pooled (N=84,910): TP ~28% (thấp nhất); P4 Singapore TP ~88,6%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~45–55% FSTS</w:t>
            </w:r>
          </w:p>
        </w:tc>
        <w:tc>
          <w:tcPr/>
          <w:p>
            <w:pPr>
              <w:pStyle w:val="Compact"/>
              <w:jc w:val="left"/>
            </w:pPr>
            <w:r>
              <w:t xml:space="preserve">P5 Trung Quốc TP 47–49%</w:t>
            </w:r>
          </w:p>
        </w:tc>
      </w:tr>
      <w:tr>
        <w:tc>
          <w:tcPr/>
          <w:p>
            <w:pPr>
              <w:pStyle w:val="Compact"/>
              <w:jc w:val="left"/>
            </w:pPr>
            <w:r>
              <w:t xml:space="preserve">Nhóm IV (đang nổi)</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(cận biên)</w:t>
            </w:r>
          </w:p>
        </w:tc>
        <w:tc>
          <w:tcPr/>
          <w:p>
            <w:pPr>
              <w:pStyle w:val="Compact"/>
              <w:jc w:val="left"/>
            </w:pPr>
            <w:r>
              <w:t xml:space="preserve">~20–35% FSTS</w:t>
            </w:r>
          </w:p>
        </w:tc>
        <w:tc>
          <w:tcPr/>
          <w:p>
            <w:pPr>
              <w:pStyle w:val="Compact"/>
              <w:jc w:val="left"/>
            </w:pPr>
            <w:r>
              <w:t xml:space="preserve">Khoảng trống thể chế → trần thấp</w:t>
            </w:r>
          </w:p>
        </w:tc>
      </w:tr>
      <w:tr>
        <w:tc>
          <w:tcPr/>
          <w:p>
            <w:pPr>
              <w:pStyle w:val="Compact"/>
              <w:jc w:val="left"/>
            </w:pPr>
            <w:r>
              <w:t xml:space="preserve">Nhóm VI (SIDS)</w:t>
            </w:r>
          </w:p>
        </w:tc>
        <w:tc>
          <w:tcPr/>
          <w:p>
            <w:pPr>
              <w:pStyle w:val="Compact"/>
              <w:jc w:val="left"/>
            </w:pPr>
            <w:r>
              <w:t xml:space="preserve">Không có TP / gánh nặng tắt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gradient: cùng một mức FSTS, doanh nghiệp ở Nhóm I đạt hiệu quả cao nhất; gradient giảm dần qua Nhóm II dẫn đến III dẫn đến IV dẫn đến V; Nhóm VI có pattern gánh nặng tắt buộc. Điểm uốn</w:t>
      </w:r>
      <w:r>
        <w:t xml:space="preserve"> </w:t>
      </w:r>
      <w:r>
        <w:rPr>
          <w:bCs/>
          <w:b/>
        </w:rPr>
        <w:t xml:space="preserve">giảm đơn điệu</w:t>
      </w:r>
      <w:r>
        <w:t xml:space="preserve"> </w:t>
      </w:r>
      <w:r>
        <w:t xml:space="preserve">theo gradient từ Nhóm V (~50–55%) xuống Nhóm I (~28%), thể chế càng mạnh, doanh nghiệp đạt đỉnh hiệu suất ở mức FSTS</w:t>
      </w:r>
      <w:r>
        <w:t xml:space="preserve"> </w:t>
      </w:r>
      <w:r>
        <w:rPr>
          <w:bCs/>
          <w:b/>
        </w:rPr>
        <w:t xml:space="preserve">thấp hơn</w:t>
      </w:r>
      <w:r>
        <w:t xml:space="preserve">, phản ánh chi phí giao dịch thấp và năng lực điều phối cao trong bối cảnh thể chế vững mạnh.</w:t>
      </w:r>
    </w:p>
    <w:bookmarkEnd w:id="60"/>
    <w:bookmarkStart w:id="61" w:name="h6--tính-không-đồng-nhất-theo-thời-gian"/>
    <w:p>
      <w:pPr>
        <w:pStyle w:val="Heading5"/>
      </w:pPr>
      <w:r>
        <w:t xml:space="preserve">H6 —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quan hệ I→P dịch chuyển đáng kể. P5 Trung Quốc: TCI Paternoster p = 0,011, hiệu ứng TCI tăng cường 2012→2024. P5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β(FSTS²×Year_bucket)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 FSTS², FSTS³</w:t>
            </w:r>
          </w:p>
        </w:tc>
        <w:tc>
          <w:tcPr/>
          <w:p>
            <w:pPr>
              <w:pStyle w:val="Compact"/>
              <w:jc w:val="left"/>
            </w:pPr>
            <w:r>
              <w:t xml:space="preserve">β₁ &gt; 0; β₂ &lt; 0</w:t>
            </w:r>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P3 IV nhân quả; P5 +0,260 →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P3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 FSTS²×DAI</w:t>
            </w:r>
          </w:p>
        </w:tc>
        <w:tc>
          <w:tcPr/>
          <w:p>
            <w:pPr>
              <w:pStyle w:val="Compact"/>
              <w:jc w:val="left"/>
            </w:pPr>
            <w:r>
              <w:t xml:space="preserve">Direct: null/–; cond: β(FSTS²×DAI) &gt; 0 ở FSTS cao</w:t>
            </w:r>
          </w:p>
        </w:tc>
        <w:tc>
          <w:tcPr/>
          <w:p>
            <w:pPr>
              <w:pStyle w:val="Compact"/>
              <w:jc w:val="left"/>
            </w:pPr>
            <w:r>
              <w:t xml:space="preserve">P4 +3,119; bão hòa số</w:t>
            </w:r>
          </w:p>
        </w:tc>
      </w:tr>
      <w:tr>
        <w:tc>
          <w:tcPr/>
          <w:p>
            <w:pPr>
              <w:pStyle w:val="Compact"/>
              <w:jc w:val="left"/>
            </w:pPr>
            <w:r>
              <w:t xml:space="preserve">H4a</w:t>
            </w:r>
          </w:p>
        </w:tc>
        <w:tc>
          <w:tcPr/>
          <w:p>
            <w:pPr>
              <w:pStyle w:val="Compact"/>
              <w:jc w:val="left"/>
            </w:pPr>
            <w:r>
              <w:t xml:space="preserve">Kinh nghiệm QL điều tiết</w:t>
            </w:r>
          </w:p>
        </w:tc>
        <w:tc>
          <w:tcPr/>
          <w:p>
            <w:pPr>
              <w:pStyle w:val="Compact"/>
              <w:jc w:val="left"/>
            </w:pPr>
            <w:r>
              <w:t xml:space="preserve">Upper Echelons</w:t>
            </w:r>
          </w:p>
        </w:tc>
        <w:tc>
          <w:tcPr/>
          <w:p>
            <w:pPr>
              <w:pStyle w:val="Compact"/>
              <w:jc w:val="left"/>
            </w:pPr>
            <w:r>
              <w:t xml:space="preserve">exp_manager, FSTS×exp</w:t>
            </w:r>
          </w:p>
        </w:tc>
        <w:tc>
          <w:tcPr/>
          <w:p>
            <w:pPr>
              <w:pStyle w:val="Compact"/>
              <w:jc w:val="left"/>
            </w:pPr>
            <w:r>
              <w:t xml:space="preserve">β(FSTS×exp) &gt; 0 (δ_exp &gt; 0)</w:t>
            </w:r>
          </w:p>
        </w:tc>
        <w:tc>
          <w:tcPr/>
          <w:p>
            <w:pPr>
              <w:pStyle w:val="Compact"/>
              <w:jc w:val="left"/>
            </w:pPr>
            <w:r>
              <w:t xml:space="preserve">(WBES b5)</w:t>
            </w:r>
          </w:p>
        </w:tc>
      </w:tr>
      <w:tr>
        <w:tc>
          <w:tcPr/>
          <w:p>
            <w:pPr>
              <w:pStyle w:val="Compact"/>
              <w:jc w:val="left"/>
            </w:pPr>
            <w:r>
              <w:t xml:space="preserve">H4b</w:t>
            </w:r>
          </w:p>
        </w:tc>
        <w:tc>
          <w:tcPr/>
          <w:p>
            <w:pPr>
              <w:pStyle w:val="Compact"/>
              <w:jc w:val="left"/>
            </w:pPr>
            <w:r>
              <w:t xml:space="preserve">Học vấn QL điều tiết</w:t>
            </w:r>
          </w:p>
        </w:tc>
        <w:tc>
          <w:tcPr/>
          <w:p>
            <w:pPr>
              <w:pStyle w:val="Compact"/>
              <w:jc w:val="left"/>
            </w:pPr>
            <w:r>
              <w:t xml:space="preserve">Upper Echelons</w:t>
            </w:r>
          </w:p>
        </w:tc>
        <w:tc>
          <w:tcPr/>
          <w:p>
            <w:pPr>
              <w:pStyle w:val="Compact"/>
              <w:jc w:val="left"/>
            </w:pPr>
            <w:r>
              <w:t xml:space="preserve">educ_manager, FSTS×educ</w:t>
            </w:r>
          </w:p>
        </w:tc>
        <w:tc>
          <w:tcPr/>
          <w:p>
            <w:pPr>
              <w:pStyle w:val="Compact"/>
              <w:jc w:val="left"/>
            </w:pPr>
            <w:r>
              <w:t xml:space="preserve">β(FSTS×educ) &gt; 0 (δ_educ &gt; 0)</w:t>
            </w:r>
          </w:p>
        </w:tc>
        <w:tc>
          <w:tcPr/>
          <w:p>
            <w:pPr>
              <w:pStyle w:val="Compact"/>
              <w:jc w:val="left"/>
            </w:pPr>
            <w:r>
              <w:t xml:space="preserve">(WBES b7a)</w:t>
            </w:r>
          </w:p>
        </w:tc>
      </w:tr>
      <w:tr>
        <w:tc>
          <w:tcPr/>
          <w:p>
            <w:pPr>
              <w:pStyle w:val="Compact"/>
              <w:jc w:val="left"/>
            </w:pPr>
            <w:r>
              <w:t xml:space="preserve">H4c</w:t>
            </w:r>
          </w:p>
        </w:tc>
        <w:tc>
          <w:tcPr/>
          <w:p>
            <w:pPr>
              <w:pStyle w:val="Compact"/>
              <w:jc w:val="left"/>
            </w:pPr>
            <w:r>
              <w:t xml:space="preserve">Giới tính QL, khám phá</w:t>
            </w:r>
          </w:p>
        </w:tc>
        <w:tc>
          <w:tcPr/>
          <w:p>
            <w:pPr>
              <w:pStyle w:val="Compact"/>
              <w:jc w:val="left"/>
            </w:pPr>
            <w:r>
              <w:t xml:space="preserve">Upper Echelons</w:t>
            </w:r>
          </w:p>
        </w:tc>
        <w:tc>
          <w:tcPr/>
          <w:p>
            <w:pPr>
              <w:pStyle w:val="Compact"/>
              <w:jc w:val="left"/>
            </w:pPr>
            <w:r>
              <w:t xml:space="preserve">gender_manager, FSTS×gender</w:t>
            </w:r>
          </w:p>
        </w:tc>
        <w:tc>
          <w:tcPr/>
          <w:p>
            <w:pPr>
              <w:pStyle w:val="Compact"/>
              <w:jc w:val="left"/>
            </w:pPr>
            <w:r>
              <w:t xml:space="preserve">Exploratory, two-sided</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w:t>
            </w:r>
          </w:p>
        </w:tc>
        <w:tc>
          <w:tcPr/>
          <w:p>
            <w:pPr>
              <w:pStyle w:val="Compact"/>
              <w:jc w:val="left"/>
            </w:pPr>
            <w:r>
              <w:t xml:space="preserve">Institutional Theory</w:t>
            </w:r>
          </w:p>
        </w:tc>
        <w:tc>
          <w:tcPr/>
          <w:p>
            <w:pPr>
              <w:pStyle w:val="Compact"/>
              <w:jc w:val="left"/>
            </w:pPr>
            <w:r>
              <w:t xml:space="preserve">ICRV_j × FSTS</w:t>
            </w:r>
          </w:p>
        </w:tc>
        <w:tc>
          <w:tcPr/>
          <w:p>
            <w:pPr>
              <w:pStyle w:val="Compact"/>
              <w:jc w:val="left"/>
            </w:pPr>
            <w:r>
              <w:t xml:space="preserve">TP gradient; Nhóm VI gánh nặng tắt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 ≠ 0</w:t>
            </w:r>
          </w:p>
        </w:tc>
        <w:tc>
          <w:tcPr/>
          <w:p>
            <w:pPr>
              <w:pStyle w:val="Compact"/>
              <w:jc w:val="left"/>
            </w:pPr>
            <w:r>
              <w:t xml:space="preserve">P3 Paternoster p &lt; 0,001; P5 TCI p = 0,011</w:t>
            </w:r>
          </w:p>
        </w:tc>
      </w:tr>
    </w:tbl>
    <w:p>
      <w:pPr>
        <w:pStyle w:val="BodyText"/>
      </w:pPr>
      <w:r>
        <w:t xml:space="preserve">Chín giả thuyết (H1a–H1b, H2, H3a–H3b với H3c distinctiveness, H4a–H4c, H5, H6) tạo thành hệ thống logic nhất quán: H1a/H1b (phi tuyến, biên tham gia vs biên cường độ) là trọng tâm; H2 (TCI nâng mặt bằng) và H3a/H3b (DAI phụ thuộc regime) phân rã cơ chế năng lực doanh nghiệp với dấu kỳ vọng khác nhau theo ngữ cảnh; H4a–H4c (Quản trị) bổ sung tầng Upper Echelons với dấu kỳ vọng phân biệt theo đặc điểm nhà quản trị; H5 (ICRV gradient) là tầng thể chế bao trùm;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Xddbf6d90ba3605bd9c97fdd0a837b1ed2b589e3"/>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 R² 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 FSTS² để giảm đa cộng tuyến.</w:t>
      </w:r>
    </w:p>
    <w:p>
      <w:pPr>
        <w:pStyle w:val="BodyText"/>
      </w:pPr>
      <w:r>
        <w:t xml:space="preserve">Tiêu chí lựa chọn mô hình: ΔR² &gt;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baseline-tuyến-tính"/>
    <w:p>
      <w:pPr>
        <w:pStyle w:val="Heading5"/>
      </w:pPr>
      <w:r>
        <w:t xml:space="preserve">M0. Baseline tuyến tính</w:t>
      </w:r>
    </w:p>
    <w:p>
      <w:pPr>
        <w:pStyle w:val="FirstParagraph"/>
      </w:pPr>
      <w:r>
        <w:t xml:space="preserve">\begin{equation}</w:t>
      </w:r>
      <w:r>
        <w:t xml:space="preserve"> </w:t>
      </w:r>
      <w:r>
        <w:t xml:space="preserve">\ln(\mathrm{LP})_i = \beta_0 + \beta_1 \cdot \mathit{FSTS}_i + \boldsymbol{\gamma}'\mathbf{X}_i + \alpha_j + \delta_t + \varepsilon_i</w:t>
      </w:r>
      <w:r>
        <w:t xml:space="preserve"> </w:t>
      </w:r>
      <w:r>
        <w:t xml:space="preserve">\label{eq:M0}</w:t>
      </w:r>
      <w:r>
        <w:t xml:space="preserve"> </w:t>
      </w:r>
      <w:r>
        <w:t xml:space="preserve">\end{equation}</w:t>
      </w:r>
    </w:p>
    <w:p>
      <w:pPr>
        <w:pStyle w:val="BodyText"/>
      </w:pPr>
      <w:r>
        <w:t xml:space="preserve">Mục đích: thiết lập baseline và kiểm tra hướng tác động tuyến tính thuần túy.</w:t>
      </w:r>
      <w:r>
        <w:t xml:space="preserve"> </w:t>
      </w:r>
      <w:r>
        <w:t xml:space="preserve">Kỳ vọng: β₁ &gt;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r>
        <w:t xml:space="preserve">\begin{equation}</w:t>
      </w:r>
      <w:r>
        <w:t xml:space="preserve"> </w:t>
      </w:r>
      <w:r>
        <w:t xml:space="preserve">\ln(\mathrm{LP})</w:t>
      </w:r>
      <w:r>
        <w:rPr>
          <w:iCs/>
          <w:i/>
        </w:rPr>
        <w:t xml:space="preserve">i = \beta_0 + \beta_1 \cdot \mathit{FSTS}</w:t>
      </w:r>
      <w:r>
        <w:t xml:space="preserve">{c,i} + \beta_2 \cdot \mathit{FSTS}_{c,i}^{2} + \boldsymbol{\gamma}'\mathbf{X}_i + \alpha_j + \delta_t + \varepsilon_i</w:t>
      </w:r>
      <w:r>
        <w:t xml:space="preserve"> </w:t>
      </w:r>
      <w:r>
        <w:t xml:space="preserve">\label{eq:M1}</w:t>
      </w:r>
      <w:r>
        <w:t xml:space="preserve"> </w:t>
      </w:r>
      <w:r>
        <w:t xml:space="preserve">\end{equation}</w:t>
      </w:r>
    </w:p>
    <w:p>
      <w:pPr>
        <w:pStyle w:val="BodyText"/>
      </w:pPr>
      <w:r>
        <w:t xml:space="preserve">Mục đích: kiểm định chữ U ngược trong H1, dạng hàm phổ biến nhất trong văn liệu.</w:t>
      </w:r>
      <w:r>
        <w:t xml:space="preserve"> </w:t>
      </w:r>
      <w:r>
        <w:t xml:space="preserve">Kỳ vọng: β₁ &gt; 0, β₂ &lt; 0.</w:t>
      </w:r>
      <w:r>
        <w:t xml:space="preserve"> </w:t>
      </w:r>
      <w:r>
        <w:t xml:space="preserve">Điểm uốn: TP₁ = −β₁/(2β₂),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 S-curve bậc ba (kiểm định H1 đầy đủ)</w:t>
      </w:r>
    </w:p>
    <w:p>
      <w:pPr>
        <w:pStyle w:val="FirstParagraph"/>
      </w:pPr>
      <w:r>
        <w:t xml:space="preserve">\begin{equation}</w:t>
      </w:r>
      <w:r>
        <w:t xml:space="preserve"> </w:t>
      </w:r>
      <w:r>
        <w:t xml:space="preserve">\ln(\mathrm{LP})</w:t>
      </w:r>
      <w:r>
        <w:rPr>
          <w:iCs/>
          <w:i/>
        </w:rPr>
        <w:t xml:space="preserve">i = \beta_0 + \beta_1 \cdot \mathit{FSTS}</w:t>
      </w:r>
      <w:r>
        <w:t xml:space="preserve">{c,i} + \beta_2 \cdot \mathit{FSTS}</w:t>
      </w:r>
      <w:r>
        <w:rPr>
          <w:iCs/>
          <w:i/>
        </w:rPr>
        <w:t xml:space="preserve">{c,i}^{2} + \beta_3 \cdot \mathit{FSTS}</w:t>
      </w:r>
      <w:r>
        <w:t xml:space="preserve">{c,i}^{3} + \boldsymbol{\gamma}'\mathbf{X}_i + \alpha_j + \delta_t + \varepsilon_i</w:t>
      </w:r>
      <w:r>
        <w:t xml:space="preserve"> </w:t>
      </w:r>
      <w:r>
        <w:t xml:space="preserve">\label{eq:M2}</w:t>
      </w:r>
      <w:r>
        <w:t xml:space="preserve"> </w:t>
      </w:r>
      <w:r>
        <w:t xml:space="preserve">\end{equation}</w:t>
      </w:r>
    </w:p>
    <w:p>
      <w:pPr>
        <w:pStyle w:val="BodyText"/>
      </w:pPr>
      <w:r>
        <w:t xml:space="preserve">Mục đích: kiểm định S-curve ba giai đoạn (Lu &amp; Beamish, 2004; Contractor et al., 2003).</w:t>
      </w:r>
      <w:r>
        <w:t xml:space="preserve"> </w:t>
      </w:r>
      <w:r>
        <w:t xml:space="preserve">Kỳ vọng: β₁ &gt; 0, β₂ &lt; 0, β₃ &gt; 0.</w:t>
      </w:r>
      <w:r>
        <w:t xml:space="preserve"> </w:t>
      </w:r>
      <w:r>
        <w:t xml:space="preserve">Lựa chọn mô hình: so sánh M1 và M2 bằng AIC, BIC, và F-test β₃ = 0.</w:t>
      </w:r>
    </w:p>
    <w:bookmarkEnd w:id="67"/>
    <w:bookmarkStart w:id="68" w:name="m3---điều-tiết-tci-kiểm-định-h2"/>
    <w:p>
      <w:pPr>
        <w:pStyle w:val="Heading5"/>
      </w:pPr>
      <w:r>
        <w:t xml:space="preserve">M3 — + Điều tiết TCI (kiểm định H2)</w:t>
      </w:r>
    </w:p>
    <w:p>
      <w:pPr>
        <w:pStyle w:val="FirstParagraph"/>
      </w:pPr>
      <w:r>
        <w:t xml:space="preserve">\begin{align}</w:t>
      </w:r>
      <w:r>
        <w:t xml:space="preserve"> </w:t>
      </w:r>
      <w:r>
        <w:t xml:space="preserve">\ln(\mathrm{LP})</w:t>
      </w:r>
      <w:r>
        <w:rPr>
          <w:iCs/>
          <w:i/>
        </w:rPr>
        <w:t xml:space="preserve">i &amp;= \underbrace{\beta_0 + \beta_1,\mathit{FSTS}</w:t>
      </w:r>
      <w:r>
        <w:t xml:space="preserve">{c,i} + \beta_2,\mathit{FSTS}</w:t>
      </w:r>
      <w:r>
        <w:rPr>
          <w:iCs/>
          <w:i/>
        </w:rPr>
        <w:t xml:space="preserve">{c,i}^{2}}</w:t>
      </w:r>
      <w:r>
        <w:t xml:space="preserve">{M1} \notag \</w:t>
      </w:r>
      <w:r>
        <w:t xml:space="preserve"> </w:t>
      </w:r>
      <w:r>
        <w:t xml:space="preserve">&amp;\quad + \beta_3 \cdot \mathrm{TCI}</w:t>
      </w:r>
      <w:r>
        <w:rPr>
          <w:iCs/>
          <w:i/>
        </w:rPr>
        <w:t xml:space="preserve">i + \beta_4 \cdot (\mathit{FSTS}</w:t>
      </w:r>
      <w:r>
        <w:t xml:space="preserve">{c,i} \times \mathrm{TCI}</w:t>
      </w:r>
      <w:r>
        <w:rPr>
          <w:iCs/>
          <w:i/>
        </w:rPr>
        <w:t xml:space="preserve">i) + \beta_5 \cdot (\mathit{FSTS}</w:t>
      </w:r>
      <w:r>
        <w:t xml:space="preserve">{c,i}^{2} \times \mathrm{TCI}_i) \notag \</w:t>
      </w:r>
      <w:r>
        <w:t xml:space="preserve"> </w:t>
      </w:r>
      <w:r>
        <w:t xml:space="preserve">&amp;\quad + \boldsymbol{\gamma}'\mathbf{X}_i + \alpha_j + \delta_t + \varepsilon_i</w:t>
      </w:r>
      <w:r>
        <w:t xml:space="preserve"> </w:t>
      </w:r>
      <w:r>
        <w:t xml:space="preserve">\label{eq:M3}</w:t>
      </w:r>
      <w:r>
        <w:t xml:space="preserve"> </w:t>
      </w:r>
      <w:r>
        <w:t xml:space="preserve">\end{align}</w:t>
      </w:r>
    </w:p>
    <w:p>
      <w:pPr>
        <w:pStyle w:val="BodyText"/>
      </w:pPr>
      <w:r>
        <w:t xml:space="preserve">Mục đích: kiểm định H2 (TCI là nâng mặt bằng (β₃ &gt; 0) và/hoặc điều tiết độ cong (β₄, β₅)).</w:t>
      </w:r>
      <w:r>
        <w:t xml:space="preserve"> </w:t>
      </w:r>
      <w:r>
        <w:t xml:space="preserve">Kỳ vọng chính: β₃ &gt; 0 (hiệu ứng TCI trực tiếp).</w:t>
      </w:r>
      <w:r>
        <w:t xml:space="preserve"> </w:t>
      </w:r>
      <w:r>
        <w:t xml:space="preserve">Kiểm định: F-test (β₄ = β₅ = 0) = kiểm định joint moderation; nếu p &gt; 0,10 thì TCI là nâng mặt bằng thuần túy.</w:t>
      </w:r>
    </w:p>
    <w:bookmarkEnd w:id="68"/>
    <w:bookmarkStart w:id="69" w:name="m4---điều-tiết-dai-kiểm-định-h3"/>
    <w:p>
      <w:pPr>
        <w:pStyle w:val="Heading5"/>
      </w:pPr>
      <w:r>
        <w:t xml:space="preserve">M4 — + Điều tiết DAI (kiểm định H3)</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\beta_3 \cdot \mathrm{DAI}</w:t>
      </w:r>
      <w:r>
        <w:rPr>
          <w:iCs/>
          <w:i/>
        </w:rPr>
        <w:t xml:space="preserve">i + \beta_4 \cdot (\mathit{FSTS}</w:t>
      </w:r>
      <w:r>
        <w:t xml:space="preserve">{c,i} \times \mathrm{DAI}</w:t>
      </w:r>
      <w:r>
        <w:rPr>
          <w:iCs/>
          <w:i/>
        </w:rPr>
        <w:t xml:space="preserve">i) + \beta_5 \cdot (\mathit{FSTS}</w:t>
      </w:r>
      <w:r>
        <w:t xml:space="preserve">{c,i}^{2} \times \mathrm{DAI}_i) \notag \</w:t>
      </w:r>
      <w:r>
        <w:t xml:space="preserve"> </w:t>
      </w:r>
      <w:r>
        <w:t xml:space="preserve">&amp;\quad + \boldsymbol{\gamma}'\mathbf{X}_i + \alpha_j + \delta_t + \varepsilon_i</w:t>
      </w:r>
      <w:r>
        <w:t xml:space="preserve"> </w:t>
      </w:r>
      <w:r>
        <w:t xml:space="preserve">\label{eq:M4}</w:t>
      </w:r>
      <w:r>
        <w:t xml:space="preserve"> </w:t>
      </w:r>
      <w:r>
        <w:t xml:space="preserve">\end{align}</w:t>
      </w:r>
    </w:p>
    <w:p>
      <w:pPr>
        <w:pStyle w:val="BodyText"/>
      </w:pPr>
      <w:r>
        <w:t xml:space="preserve">Mục đích: kiểm định H3 (DAI là nguồn lực mở rộng tình huống).</w:t>
      </w:r>
      <w:r>
        <w:t xml:space="preserve"> </w:t>
      </w:r>
      <w:r>
        <w:t xml:space="preserve">Kỳ vọng: β₅(FSTS²×DAI) &gt; 0 trong Nhóm I (nhất quán P4 Singapore +3,119); β₃(DAI trực tiếp) dẫn đến 0 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06f71524788155e2ebf216bcee5f2e32a6c0cd5"/>
    <w:p>
      <w:pPr>
        <w:pStyle w:val="Heading5"/>
      </w:pPr>
      <w:r>
        <w:t xml:space="preserve">M5 — + Điều tiết nhà quản trị (kiểm định H4a/H4b/H4c)</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\beta_3 \cdot \mathit{Manager}</w:t>
      </w:r>
      <w:r>
        <w:rPr>
          <w:iCs/>
          <w:i/>
        </w:rPr>
        <w:t xml:space="preserve">i + \beta_4 \cdot (\mathit{FSTS}</w:t>
      </w:r>
      <w:r>
        <w:t xml:space="preserve">{c,i} \times \mathit{Manager}_i) \notag \</w:t>
      </w:r>
      <w:r>
        <w:t xml:space="preserve"> </w:t>
      </w:r>
      <w:r>
        <w:t xml:space="preserve">&amp;\quad + \boldsymbol{\gamma}'\mathbf{X}_i + \alpha_j + \delta_t + \varepsilon_i</w:t>
      </w:r>
      <w:r>
        <w:t xml:space="preserve"> </w:t>
      </w:r>
      <w:r>
        <w:t xml:space="preserve">\label{eq:M5}</w:t>
      </w:r>
      <w:r>
        <w:t xml:space="preserve"> </w:t>
      </w:r>
      <w:r>
        <w:t xml:space="preserve">\end{align}</w:t>
      </w:r>
    </w:p>
    <w:p>
      <w:pPr>
        <w:pStyle w:val="BodyText"/>
      </w:pPr>
      <w:r>
        <w:t xml:space="preserve">Biến Manager theo thứ tự ưu tiên: exp_manager (b5, H4a), biến chính với kỳ vọng β₄ &gt; 0; educ_manager (b7a, H4b), biến phụ với kỳ vọng β₄ &gt; 0; gender_manager (b7, H4c), khám phá, kiểm định two-sided.</w:t>
      </w:r>
      <w:r>
        <w:t xml:space="preserve"> </w:t>
      </w:r>
      <w:r>
        <w:t xml:space="preserve">Kỳ vọng: β₄(FSTS×exp_manager) &gt; 0 [H4a]; β₄(FSTS×educ_manager) &gt; 0 [H4b]; β₄(FSTS×gender_manager), không có kỳ vọng tiên nghiệm [H4c].</w:t>
      </w:r>
    </w:p>
    <w:bookmarkEnd w:id="70"/>
    <w:bookmarkStart w:id="71" w:name="m6---chế-độ-thể-chế-icrv-kiểm-định-h5"/>
    <w:p>
      <w:pPr>
        <w:pStyle w:val="Heading5"/>
      </w:pPr>
      <w:r>
        <w:t xml:space="preserve">M6 — + Chế độ thể chế ICRV (kiểm định H5)</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\sum_{j=2}^{6} \Bigl[\beta_{3j} \cdot \mathrm{ICRV}</w:t>
      </w:r>
      <w:r>
        <w:rPr>
          <w:iCs/>
          <w:i/>
        </w:rPr>
        <w:t xml:space="preserve">{j,i}</w:t>
      </w:r>
      <w:r>
        <w:rPr>
          <w:iCs/>
          <w:i/>
        </w:rPr>
        <w:t xml:space="preserve"> </w:t>
      </w:r>
      <w:r>
        <w:rPr>
          <w:iCs/>
          <w:i/>
        </w:rPr>
        <w:t xml:space="preserve">+ \beta</w:t>
      </w:r>
      <w:r>
        <w:t xml:space="preserve">{4j} \cdot (\mathit{FSTS}</w:t>
      </w:r>
      <w:r>
        <w:rPr>
          <w:iCs/>
          <w:i/>
        </w:rPr>
        <w:t xml:space="preserve">{c,i} \times \mathrm{ICRV}</w:t>
      </w:r>
      <w:r>
        <w:t xml:space="preserve">{j,i})</w:t>
      </w:r>
      <w:r>
        <w:t xml:space="preserve"> </w:t>
      </w:r>
      <w:r>
        <w:t xml:space="preserve">+ \beta_{5j} \cdot (\mathit{FSTS}</w:t>
      </w:r>
      <w:r>
        <w:rPr>
          <w:iCs/>
          <w:i/>
        </w:rPr>
        <w:t xml:space="preserve">{c,i}^{2} \times \mathrm{ICRV}</w:t>
      </w:r>
      <w:r>
        <w:t xml:space="preserve">{j,i})\Bigr] \notag \</w:t>
      </w:r>
      <w:r>
        <w:t xml:space="preserve"> </w:t>
      </w:r>
      <w:r>
        <w:t xml:space="preserve">&amp;\quad + \boldsymbol{\gamma}'\mathbf{X}_i + \delta_t + \varepsilon_i</w:t>
      </w:r>
      <w:r>
        <w:t xml:space="preserve"> </w:t>
      </w:r>
      <w:r>
        <w:t xml:space="preserve">\label{eq:M6}</w:t>
      </w:r>
      <w:r>
        <w:t xml:space="preserve"> </w:t>
      </w:r>
      <w:r>
        <w:t xml:space="preserve">\end{align}</w:t>
      </w:r>
    </w:p>
    <w:p>
      <w:pPr>
        <w:pStyle w:val="BodyText"/>
      </w:pPr>
      <w:r>
        <w:t xml:space="preserve">Mục đích: kiểm định H5, gradient ICRV và gánh nặng tắt buộc (Nhóm VI).</w:t>
      </w:r>
      <w:r>
        <w:t xml:space="preserve"> </w:t>
      </w:r>
      <w:r>
        <w:t xml:space="preserve">Nhóm tham chiếu: Nhóm I (tiên tiến đổi mới).</w:t>
      </w:r>
      <w:r>
        <w:t xml:space="preserve"> </w:t>
      </w:r>
      <w:r>
        <w:t xml:space="preserve">Kỳ vọng: điểm uốn giảm dần theo j (Nhóm II dẫn đến III dẫn đến IV dẫn đến V dẫn đến VI); Nhóm VI có β(FSTS×ICRV_VI) ≤ 0.</w:t>
      </w:r>
      <w:r>
        <w:t xml:space="preserve"> </w:t>
      </w:r>
      <w:r>
        <w:t xml:space="preserve">Lưu ý: Country FE bị omit trong M6 do ICRV_j là biến cấp quốc gia bất biến theo thời gian, thay bằng Year FE + Region FE (6 vùng).</w:t>
      </w:r>
    </w:p>
    <w:bookmarkEnd w:id="71"/>
    <w:bookmarkStart w:id="72" w:name="X6b4e30438e556ccb1a096b5b5260c191a2952a4"/>
    <w:p>
      <w:pPr>
        <w:pStyle w:val="Heading5"/>
      </w:pPr>
      <w:r>
        <w:t xml:space="preserve">M7 — Điều tiết ba chiều tổng lực (kiểm định H2 + H3 + H6 đồng thời)</w:t>
      </w:r>
    </w:p>
    <w:p>
      <w:pPr>
        <w:pStyle w:val="FirstParagraph"/>
      </w:pPr>
      <w:r>
        <w:t xml:space="preserve">\begin{align}</w:t>
      </w:r>
      <w:r>
        <w:t xml:space="preserve"> </w:t>
      </w:r>
      <w:r>
        <w:t xml:space="preserve">\ln(\mathrm{LP})</w:t>
      </w:r>
      <w:r>
        <w:rPr>
          <w:iCs/>
          <w:i/>
        </w:rPr>
        <w:t xml:space="preserve">i</w:t>
      </w:r>
      <w:r>
        <w:rPr>
          <w:iCs/>
          <w:i/>
        </w:rPr>
        <w:t xml:space="preserve"> </w:t>
      </w:r>
      <w:r>
        <w:rPr>
          <w:iCs/>
          <w:i/>
        </w:rPr>
        <w:t xml:space="preserve">&amp;= \beta_0 + \beta_1,\mathit{FSTS}</w:t>
      </w:r>
      <w:r>
        <w:t xml:space="preserve">{c,i} + \beta_2,\mathit{FSTS}</w:t>
      </w:r>
      <w:r>
        <w:rPr>
          <w:iCs/>
          <w:i/>
        </w:rPr>
        <w:t xml:space="preserve">{c,i}^{2}</w:t>
      </w:r>
      <w:r>
        <w:rPr>
          <w:iCs/>
          <w:i/>
        </w:rPr>
        <w:t xml:space="preserve"> </w:t>
      </w:r>
      <w:r>
        <w:rPr>
          <w:iCs/>
          <w:i/>
        </w:rPr>
        <w:t xml:space="preserve">+ \beta_3,\mathrm{TCI}</w:t>
      </w:r>
      <w:r>
        <w:rPr>
          <w:iCs/>
          <w:i/>
          <w:iCs/>
          <w:i/>
        </w:rPr>
        <w:t xml:space="preserve">i + \beta_4,\mathrm{DAI}</w:t>
      </w:r>
      <w:r>
        <w:rPr>
          <w:iCs/>
          <w:i/>
          <w:iCs/>
          <w:i/>
          <w:iCs/>
          <w:i/>
        </w:rPr>
        <w:t xml:space="preserve">i \notag \</w:t>
      </w:r>
      <w:r>
        <w:rPr>
          <w:iCs/>
          <w:i/>
          <w:iCs/>
          <w:i/>
          <w:iCs/>
          <w:i/>
        </w:rPr>
        <w:t xml:space="preserve"> </w:t>
      </w:r>
      <w:r>
        <w:rPr>
          <w:iCs/>
          <w:i/>
          <w:iCs/>
          <w:i/>
          <w:iCs/>
          <w:i/>
        </w:rPr>
        <w:t xml:space="preserve">&amp;\quad + \beta_5,(\mathit{FSTS}</w:t>
      </w:r>
      <w:r>
        <w:rPr>
          <w:iCs/>
          <w:i/>
          <w:iCs/>
          <w:i/>
        </w:rPr>
        <w:t xml:space="preserve">{c,i} \times \mathrm{TCI}</w:t>
      </w:r>
      <w:r>
        <w:rPr>
          <w:iCs/>
          <w:i/>
          <w:iCs/>
          <w:i/>
          <w:iCs/>
          <w:i/>
        </w:rPr>
        <w:t xml:space="preserve">i)</w:t>
      </w:r>
      <w:r>
        <w:rPr>
          <w:iCs/>
          <w:i/>
          <w:iCs/>
          <w:i/>
          <w:iCs/>
          <w:i/>
        </w:rPr>
        <w:t xml:space="preserve"> </w:t>
      </w:r>
      <w:r>
        <w:rPr>
          <w:iCs/>
          <w:i/>
          <w:iCs/>
          <w:i/>
          <w:iCs/>
          <w:i/>
        </w:rPr>
        <w:t xml:space="preserve">+ \beta_6,(\mathit{FSTS}</w:t>
      </w:r>
      <w:r>
        <w:rPr>
          <w:iCs/>
          <w:i/>
          <w:iCs/>
          <w:i/>
        </w:rPr>
        <w:t xml:space="preserve">{c,i}^{2} \times \mathrm{TCI}</w:t>
      </w:r>
      <w:r>
        <w:rPr>
          <w:iCs/>
          <w:i/>
          <w:iCs/>
          <w:i/>
          <w:iCs/>
          <w:i/>
        </w:rPr>
        <w:t xml:space="preserve">i) \notag \</w:t>
      </w:r>
      <w:r>
        <w:rPr>
          <w:iCs/>
          <w:i/>
          <w:iCs/>
          <w:i/>
          <w:iCs/>
          <w:i/>
        </w:rPr>
        <w:t xml:space="preserve"> </w:t>
      </w:r>
      <w:r>
        <w:rPr>
          <w:iCs/>
          <w:i/>
          <w:iCs/>
          <w:i/>
          <w:iCs/>
          <w:i/>
        </w:rPr>
        <w:t xml:space="preserve">&amp;\quad + \beta_7,(\mathit{FSTS}</w:t>
      </w:r>
      <w:r>
        <w:rPr>
          <w:iCs/>
          <w:i/>
          <w:iCs/>
          <w:i/>
        </w:rPr>
        <w:t xml:space="preserve">{c,i} \times \mathrm{DAI}</w:t>
      </w:r>
      <w:r>
        <w:rPr>
          <w:iCs/>
          <w:i/>
          <w:iCs/>
          <w:i/>
          <w:iCs/>
          <w:i/>
        </w:rPr>
        <w:t xml:space="preserve">i)</w:t>
      </w:r>
      <w:r>
        <w:rPr>
          <w:iCs/>
          <w:i/>
          <w:iCs/>
          <w:i/>
          <w:iCs/>
          <w:i/>
        </w:rPr>
        <w:t xml:space="preserve"> </w:t>
      </w:r>
      <w:r>
        <w:rPr>
          <w:iCs/>
          <w:i/>
          <w:iCs/>
          <w:i/>
          <w:iCs/>
          <w:i/>
        </w:rPr>
        <w:t xml:space="preserve">+ \beta_8,(\mathit{FSTS}</w:t>
      </w:r>
      <w:r>
        <w:rPr>
          <w:iCs/>
          <w:i/>
          <w:iCs/>
          <w:i/>
        </w:rPr>
        <w:t xml:space="preserve">{c,i}^{2} \times \mathrm{DAI}</w:t>
      </w:r>
      <w:r>
        <w:rPr>
          <w:iCs/>
          <w:i/>
          <w:iCs/>
          <w:i/>
          <w:iCs/>
          <w:i/>
        </w:rPr>
        <w:t xml:space="preserve">i) \notag \</w:t>
      </w:r>
      <w:r>
        <w:rPr>
          <w:iCs/>
          <w:i/>
          <w:iCs/>
          <w:i/>
          <w:iCs/>
          <w:i/>
        </w:rPr>
        <w:t xml:space="preserve"> </w:t>
      </w:r>
      <w:r>
        <w:rPr>
          <w:iCs/>
          <w:i/>
          <w:iCs/>
          <w:i/>
          <w:iCs/>
          <w:i/>
        </w:rPr>
        <w:t xml:space="preserve">&amp;\quad + \beta_9,(\mathit{FSTS}</w:t>
      </w:r>
      <w:r>
        <w:rPr>
          <w:iCs/>
          <w:i/>
          <w:iCs/>
          <w:i/>
        </w:rPr>
        <w:t xml:space="preserve">{c,i} \times \mathrm{TCI}</w:t>
      </w:r>
      <w:r>
        <w:rPr>
          <w:iCs/>
          <w:i/>
          <w:iCs/>
          <w:i/>
          <w:iCs/>
          <w:i/>
        </w:rPr>
        <w:t xml:space="preserve">i \times \mathrm{DAI}</w:t>
      </w:r>
      <w:r>
        <w:rPr>
          <w:iCs/>
          <w:i/>
          <w:iCs/>
          <w:i/>
          <w:iCs/>
          <w:i/>
          <w:iCs/>
          <w:i/>
        </w:rPr>
        <w:t xml:space="preserve">i) \notag \</w:t>
      </w:r>
      <w:r>
        <w:rPr>
          <w:iCs/>
          <w:i/>
          <w:iCs/>
          <w:i/>
          <w:iCs/>
          <w:i/>
          <w:iCs/>
          <w:i/>
        </w:rPr>
        <w:t xml:space="preserve"> </w:t>
      </w:r>
      <w:r>
        <w:rPr>
          <w:iCs/>
          <w:i/>
          <w:iCs/>
          <w:i/>
          <w:iCs/>
          <w:i/>
          <w:iCs/>
          <w:i/>
        </w:rPr>
        <w:t xml:space="preserve">&amp;\quad + \beta</w:t>
      </w:r>
      <w:r>
        <w:rPr>
          <w:iCs/>
          <w:i/>
          <w:iCs/>
          <w:i/>
          <w:iCs/>
          <w:i/>
        </w:rPr>
        <w:t xml:space="preserve">{10},(\mathit{FSTS}</w:t>
      </w:r>
      <w:r>
        <w:rPr>
          <w:iCs/>
          <w:i/>
          <w:iCs/>
          <w:i/>
        </w:rPr>
        <w:t xml:space="preserve">{c,i} \times YB</w:t>
      </w:r>
      <w:r>
        <w:rPr>
          <w:iCs/>
          <w:i/>
        </w:rPr>
        <w:t xml:space="preserve">{2013\text{-}17,i})</w:t>
      </w:r>
      <w:r>
        <w:rPr>
          <w:iCs/>
          <w:i/>
        </w:rPr>
        <w:t xml:space="preserve"> </w:t>
      </w:r>
      <w:r>
        <w:rPr>
          <w:iCs/>
          <w:i/>
        </w:rPr>
        <w:t xml:space="preserve">+ \beta</w:t>
      </w:r>
      <w:r>
        <w:t xml:space="preserve">{11},(\mathit{FSTS}</w:t>
      </w:r>
      <w:r>
        <w:rPr>
          <w:iCs/>
          <w:i/>
        </w:rPr>
        <w:t xml:space="preserve">{c,i}^{2} \times YB</w:t>
      </w:r>
      <w:r>
        <w:t xml:space="preserve">{2013\text{-}17,i}) \notag \</w:t>
      </w:r>
      <w:r>
        <w:t xml:space="preserve"> </w:t>
      </w:r>
      <w:r>
        <w:t xml:space="preserve">&amp;\quad + \beta_{12},(\mathit{FSTS}</w:t>
      </w:r>
      <w:r>
        <w:rPr>
          <w:iCs/>
          <w:i/>
        </w:rPr>
        <w:t xml:space="preserve">{c,i} \times YB</w:t>
      </w:r>
      <w:r>
        <w:t xml:space="preserve">{2018\text{-}25,i})</w:t>
      </w:r>
      <w:r>
        <w:t xml:space="preserve"> </w:t>
      </w:r>
      <w:r>
        <w:t xml:space="preserve">+ \beta_{13},(\mathit{FSTS}</w:t>
      </w:r>
      <w:r>
        <w:rPr>
          <w:iCs/>
          <w:i/>
        </w:rPr>
        <w:t xml:space="preserve">{c,i}^{2} \times YB</w:t>
      </w:r>
      <w:r>
        <w:t xml:space="preserve">{2018\text{-}25,i}) \notag \</w:t>
      </w:r>
      <w:r>
        <w:t xml:space="preserve"> </w:t>
      </w:r>
      <w:r>
        <w:t xml:space="preserve">&amp;\quad + \boldsymbol{\gamma}'\mathbf{X}_i + \alpha_j + \delta_t + \varepsilon_i</w:t>
      </w:r>
      <w:r>
        <w:t xml:space="preserve"> </w:t>
      </w:r>
      <w:r>
        <w:t xml:space="preserve">\label{eq:M7}</w:t>
      </w:r>
      <w:r>
        <w:t xml:space="preserve"> </w:t>
      </w:r>
      <w:r>
        <w:t xml:space="preserve">\end{align}</w:t>
      </w:r>
    </w:p>
    <w:p>
      <w:pPr>
        <w:pStyle w:val="BodyText"/>
      </w:pPr>
      <w:r>
        <w:t xml:space="preserve">trong đó X_i gồm: ln_employees, firm_age, foreign_own (≥10%),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 β₈(FSTS²×DAI) &gt; 0 trong Nhóm I; β₃(TCI) &gt; 0; β₁₂/β₁₃ ≠ β₁₀/β₁₁ (dịch chuyển thời gian).</w:t>
      </w:r>
      <w:r>
        <w:t xml:space="preserve"> </w:t>
      </w:r>
      <w:r>
        <w:t xml:space="preserve">Yêu cầu mẫu: với k = 13 tham số trọng tâm + controls, n ≥ 5.000 cần thiết cho power &gt; 0,80 tại f² = 0,02, dễ dàng đáp ứng với pool 101.185.</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w:r>
              <w:t xml:space="preserve">β₁ &gt; 0</w:t>
            </w:r>
          </w:p>
        </w:tc>
      </w:tr>
      <w:tr>
        <w:tc>
          <w:tcPr/>
          <w:p>
            <w:pPr>
              <w:pStyle w:val="Compact"/>
              <w:jc w:val="left"/>
            </w:pPr>
            <w:r>
              <w:t xml:space="preserve">M1</w:t>
            </w:r>
          </w:p>
        </w:tc>
        <w:tc>
          <w:tcPr/>
          <w:p>
            <w:pPr>
              <w:pStyle w:val="Compact"/>
              <w:jc w:val="left"/>
            </w:pPr>
            <w:r>
              <w:t xml:space="preserve">+ FSTS²</w:t>
            </w:r>
          </w:p>
        </w:tc>
        <w:tc>
          <w:tcPr/>
          <w:p>
            <w:pPr>
              <w:pStyle w:val="Compact"/>
              <w:jc w:val="left"/>
            </w:pPr>
            <w:r>
              <w:t xml:space="preserve">H1 (chữ U ngược)</w:t>
            </w:r>
          </w:p>
        </w:tc>
        <w:tc>
          <w:tcPr/>
          <w:p>
            <w:pPr>
              <w:pStyle w:val="Compact"/>
              <w:jc w:val="left"/>
            </w:pPr>
            <w:r>
              <w:t xml:space="preserve">β₂ &lt; 0; Lind–Mehlum</w:t>
            </w:r>
          </w:p>
        </w:tc>
      </w:tr>
      <w:tr>
        <w:tc>
          <w:tcPr/>
          <w:p>
            <w:pPr>
              <w:pStyle w:val="Compact"/>
              <w:jc w:val="left"/>
            </w:pPr>
            <w:r>
              <w:t xml:space="preserve">M2</w:t>
            </w:r>
          </w:p>
        </w:tc>
        <w:tc>
          <w:tcPr/>
          <w:p>
            <w:pPr>
              <w:pStyle w:val="Compact"/>
              <w:jc w:val="left"/>
            </w:pPr>
            <w:r>
              <w:t xml:space="preserve">+ FSTS³</w:t>
            </w:r>
          </w:p>
        </w:tc>
        <w:tc>
          <w:tcPr/>
          <w:p>
            <w:pPr>
              <w:pStyle w:val="Compact"/>
              <w:jc w:val="left"/>
            </w:pPr>
            <w:r>
              <w:t xml:space="preserve">H1 (S-curve)</w:t>
            </w:r>
          </w:p>
        </w:tc>
        <w:tc>
          <w:tcPr/>
          <w:p>
            <w:pPr>
              <w:pStyle w:val="Compact"/>
              <w:jc w:val="left"/>
            </w:pPr>
            <w:r>
              <w:t xml:space="preserve">β₃ &gt; 0; F-test β₃ = 0</w:t>
            </w:r>
          </w:p>
        </w:tc>
      </w:tr>
      <w:tr>
        <w:tc>
          <w:tcPr/>
          <w:p>
            <w:pPr>
              <w:pStyle w:val="Compact"/>
              <w:jc w:val="left"/>
            </w:pPr>
            <w:r>
              <w:t xml:space="preserve">M3</w:t>
            </w:r>
          </w:p>
        </w:tc>
        <w:tc>
          <w:tcPr/>
          <w:p>
            <w:pPr>
              <w:pStyle w:val="Compact"/>
              <w:jc w:val="left"/>
            </w:pPr>
            <w:r>
              <w:t xml:space="preserve">+ TCI, FSTS×TCI, FSTS²×TCI</w:t>
            </w:r>
          </w:p>
        </w:tc>
        <w:tc>
          <w:tcPr/>
          <w:p>
            <w:pPr>
              <w:pStyle w:val="Compact"/>
              <w:jc w:val="left"/>
            </w:pPr>
            <w:r>
              <w:t xml:space="preserve">H2</w:t>
            </w:r>
          </w:p>
        </w:tc>
        <w:tc>
          <w:tcPr/>
          <w:p>
            <w:pPr>
              <w:pStyle w:val="Compact"/>
              <w:jc w:val="left"/>
            </w:pPr>
            <w:r>
              <w:t xml:space="preserve">β₃ &gt; 0; F-test (β₄ = β₅ = 0)</w:t>
            </w:r>
          </w:p>
        </w:tc>
      </w:tr>
      <w:tr>
        <w:tc>
          <w:tcPr/>
          <w:p>
            <w:pPr>
              <w:pStyle w:val="Compact"/>
              <w:jc w:val="left"/>
            </w:pPr>
            <w:r>
              <w:t xml:space="preserve">M4</w:t>
            </w:r>
          </w:p>
        </w:tc>
        <w:tc>
          <w:tcPr/>
          <w:p>
            <w:pPr>
              <w:pStyle w:val="Compact"/>
              <w:jc w:val="left"/>
            </w:pPr>
            <w:r>
              <w:t xml:space="preserve">+ DAI, FSTS×DAI, FSTS²×DAI</w:t>
            </w:r>
          </w:p>
        </w:tc>
        <w:tc>
          <w:tcPr/>
          <w:p>
            <w:pPr>
              <w:pStyle w:val="Compact"/>
              <w:jc w:val="left"/>
            </w:pPr>
            <w:r>
              <w:t xml:space="preserve">H3a/H3b</w:t>
            </w:r>
          </w:p>
        </w:tc>
        <w:tc>
          <w:tcPr/>
          <w:p>
            <w:pPr>
              <w:pStyle w:val="Compact"/>
              <w:jc w:val="left"/>
            </w:pPr>
            <w:r>
              <w:t xml:space="preserve">H3a: β(FSTS×DAI) &gt; 0 Nhóm III–V; H3b: β(FSTS²×DAI) &gt; 0 ở FSTS cao Nhóm I</w:t>
            </w:r>
          </w:p>
        </w:tc>
      </w:tr>
      <w:tr>
        <w:tc>
          <w:tcPr/>
          <w:p>
            <w:pPr>
              <w:pStyle w:val="Compact"/>
              <w:jc w:val="left"/>
            </w:pPr>
            <w:r>
              <w:t xml:space="preserve">M5</w:t>
            </w:r>
          </w:p>
        </w:tc>
        <w:tc>
          <w:tcPr/>
          <w:p>
            <w:pPr>
              <w:pStyle w:val="Compact"/>
              <w:jc w:val="left"/>
            </w:pPr>
            <w:r>
              <w:t xml:space="preserve">+ Manager, FSTS×Manager</w:t>
            </w:r>
          </w:p>
        </w:tc>
        <w:tc>
          <w:tcPr/>
          <w:p>
            <w:pPr>
              <w:pStyle w:val="Compact"/>
              <w:jc w:val="left"/>
            </w:pPr>
            <w:r>
              <w:t xml:space="preserve">H4a/H4b/H4c</w:t>
            </w:r>
          </w:p>
        </w:tc>
        <w:tc>
          <w:tcPr/>
          <w:p>
            <w:pPr>
              <w:pStyle w:val="Compact"/>
              <w:jc w:val="left"/>
            </w:pPr>
            <w:r>
              <w:t xml:space="preserve">H4a: β₄(FSTS×exp) &gt; 0; H4b: β₄(FSTS×educ) &gt; 0; H4c: two-sided</w:t>
            </w:r>
          </w:p>
        </w:tc>
      </w:tr>
      <w:tr>
        <w:tc>
          <w:tcPr/>
          <w:p>
            <w:pPr>
              <w:pStyle w:val="Compact"/>
              <w:jc w:val="left"/>
            </w:pPr>
            <w:r>
              <w:t xml:space="preserve">M6</w:t>
            </w:r>
          </w:p>
        </w:tc>
        <w:tc>
          <w:tcPr/>
          <w:p>
            <w:pPr>
              <w:pStyle w:val="Compact"/>
              <w:jc w:val="left"/>
            </w:pPr>
            <w:r>
              <w:t xml:space="preserve">+ ICRV_j × FSTS, ICRV_j × FSTS²</w:t>
            </w:r>
          </w:p>
        </w:tc>
        <w:tc>
          <w:tcPr/>
          <w:p>
            <w:pPr>
              <w:pStyle w:val="Compact"/>
              <w:jc w:val="left"/>
            </w:pPr>
            <w:r>
              <w:t xml:space="preserve">H5</w:t>
            </w:r>
          </w:p>
        </w:tc>
        <w:tc>
          <w:tcPr/>
          <w:p>
            <w:pPr>
              <w:pStyle w:val="Compact"/>
              <w:jc w:val="left"/>
            </w:pPr>
            <w:r>
              <w:t xml:space="preserve">Gradient TP; gánh nặng tắt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Xe1509b929c4d29ab07808a468654fc0b0b85d99"/>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country-years</w:t>
            </w:r>
          </w:p>
        </w:tc>
      </w:tr>
      <w:tr>
        <w:tc>
          <w:tcPr/>
          <w:p>
            <w:pPr>
              <w:pStyle w:val="Compact"/>
              <w:jc w:val="left"/>
            </w:pPr>
            <w:r>
              <w:t xml:space="preserve">I —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(conditional on observables), không phải ước lượng thống kê mô tả đại diện tổng thể. Thứ hai, hai chiều fixed effects (quốc gia × năm) đã hấp thụ phần lớn biến thiên liên quan đến thiết kế lấy mẫu phân tầng. Thứ ba, tích hợp trọng số mẫu vào mô hình fixed effects không đồng nhất gây phức tạp ước lượng mà không đem lại cải thiện tính hợp lệ nội tại (Solon et al., 2015). Phân tích độ nhạy với trọng số được đề xuất như kiểm định tương lai (xem Mục 2.4.2) để xác nhận tính vững của kết quả so với mẫu không có trọng số.</w:t>
      </w:r>
    </w:p>
    <w:p>
      <w:pPr>
        <w:pStyle w:val="BodyText"/>
      </w:pPr>
      <w:r>
        <w:t xml:space="preserve">Giao thức hòa hợp bao gồm: crosswalk biến giữa ba schema; xử lý giá trị thiếu; loại bỏ ngoại lệ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ngoại lệ tại phân vị 1/99 để giảm ảnh hưởng ngoại lệ.</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 FSTS².</w:t>
      </w:r>
    </w:p>
    <w:p>
      <w:pPr>
        <w:pStyle w:val="BodyText"/>
      </w:pPr>
      <w:r>
        <w:t xml:space="preserve">Bảng 2.9. Đo lường TCI theo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≥3/4 items không thiếu (Cronbach α ước tính 0,55–0,65, nhất quán với tổng hợp formative, Coltman et al., 2008).</w:t>
      </w:r>
    </w:p>
    <w:p>
      <w:pPr>
        <w:pStyle w:val="BodyText"/>
      </w:pPr>
      <w:r>
        <w:t xml:space="preserve">Bảng 2.10. Đo lường DAI theo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 đặc điểm và tiêu chí.</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tắt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P8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±15% trong ≥3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 ≥ 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 β₁ &gt; 0 và β₂ &lt; 0; tính TP = −β₁/(2β₂) và 95% CI bằng delta method; kiểm định H₀: độ dốc tại min(FSTS) ≤ 0 HOẶC độ dốc tại max(FSTS) ≥ 0, bác bỏ H₀ dẫn đến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 FSTS² giữa Year_bucket cho H6.</w:t>
      </w:r>
    </w:p>
    <w:p>
      <w:pPr>
        <w:pStyle w:val="BodyText"/>
      </w:pPr>
      <w:r>
        <w:t xml:space="preserve">LOWESS phi tham số: smoother cục bộ (bandwidth = 0,4) vẽ ln(LP) ~ FSTS, nếu hình dạng visual nhất quán với chữ U ngược dẫn đến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X784a621f97d84d1234604adf730450e02e3ef35"/>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 ROS; (b) Biến độc lập →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 không tìm thấy phi tuyến; (b) Thay TCI bằng nhiễu →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 β₁(FSTS) trong khoảng [0,1; 3,0]; β₂(FSTS²) trong khoảng [−2,5; −0,1]; điểm uốn trong khoảng [20%; 90%]; β(TCI) trong khoảng [0,05; 0,5]; β(FSTS²×DAI) Nhóm I trong khoảng [0,5; 6,0].</w:t>
      </w:r>
    </w:p>
    <w:p>
      <w:pPr>
        <w:pStyle w:val="BodyText"/>
      </w:pPr>
      <w:r>
        <w:t xml:space="preserve">Quy trình báo cáo: nếu ≥4/6 nhóm R1–R6 cho kết quả nhất quán với chuẩn (dấu đúng, p &lt; 0,10), kết quả được coi là "xác nhận mạnh". Nếu chỉ 2–3/6 nhóm nhất quán, kết quả là "hỗ trợ có điều kiện". Nếu &lt; 2/6 nhóm nhất quán, kết quả cần tái xem xét và không được tuyên bố giả thuyết được xác nhận.</w:t>
      </w:r>
    </w:p>
    <w:bookmarkEnd w:id="80"/>
    <w:bookmarkStart w:id="84" w:name="X0dab72e42c14670f7b3d769166e27ff618c9551"/>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văn liệu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chưa có trong văn liệu.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tắt buộc trong khung I→P. Dạng hàm forced penalty (SIDS Nhóm VI) được tích hợp vào H5 như trường hợp cực đoan của gradient thể chế. SIDS không có chữ U ngược điển hình do quốc tế hóa bắt buộc (Briguglio, 1995). Tích hợp này mở rộng văn liệu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văn liệu châu Á kiểm định đồng thời I×TCI×DAI điều tiết ba chiều kết hợp với tính không đồng nhất thời gian, cho phép kiểm tra xem TCI và DAI là bổ sung hay thay thế trong điều tiết I→P.</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văn liệu I→P cho châu Á. Bằng chứng từ P3 Việt Nam và P5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DAI×FSTS² =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tắt buộc, các quốc đảo nhỏ Thái Bình Dương cần khung chính sách khác hoàn toàn, không áp dụng logic chữ U ngược chuẩn.</w:t>
      </w:r>
    </w:p>
    <w:p>
      <w:r>
        <w:pict>
          <v:rect style="width:0;height:1.5pt" o:hralign="center" o:hrstd="t" o:hr="t"/>
        </w:pict>
      </w:r>
    </w:p>
    <w:bookmarkEnd w:id="83"/>
    <w:bookmarkEnd w:id="84"/>
    <w:bookmarkEnd w:id="85"/>
    <w:bookmarkStart w:id="89" w:name="X3e03e0a730be87d669f079340c35b479d0b1a1b"/>
    <w:p>
      <w:pPr>
        <w:pStyle w:val="Heading3"/>
      </w:pPr>
      <w:r>
        <w:t xml:space="preserve">2.4 Kết luận và đề xuất</w:t>
      </w:r>
    </w:p>
    <w:bookmarkStart w:id="86" w:name="X2348ba230572cbe65b0d5b739c22f4e83186482"/>
    <w:p>
      <w:pPr>
        <w:pStyle w:val="Heading4"/>
      </w:pPr>
      <w:r>
        <w:t xml:space="preserve">2.4.1 Kết luận</w:t>
      </w:r>
    </w:p>
    <w:p>
      <w:pPr>
        <w:pStyle w:val="FirstParagraph"/>
      </w:pPr>
      <w:r>
        <w:t xml:space="preserve">Chuyên đề này xây dựng một mô hình nghiên cứu toàn diện về quan hệ quốc tế hóa dẫn đến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(P3 Việt Nam, P4 Singapore, P5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gradient điểm uốn từ Nhóm I đến Nhóm VI; H2 (TCI nâng mặt bằng) TCI dương bền vững và nhân quả; H3a (DAI Emerging/Frontier) khám phá; H3b (DAI Advanced) β(FSTS²×DAI) dương trong Nhóm I (P4 xác nhận), null/phụ thuộc chọn lựa trong Nhóm IV (P3 IV null); H4a (Kinh nghiệm QL) exp_manager×FSTS dương; H4b (Học vấn QL) educ_manager×FSTS dương; H4c (Giới tính) exploratory; H5 (ICRV gradient) điểm uốn gradient từ Nhóm I đến VI, Nhóm VI gánh nặng tắt buộc; H6 (Thời gian) DAI dịch chuyển 2009→2023, TCI tăng cường theo thời gian.</w:t>
      </w:r>
    </w:p>
    <w:p>
      <w:pPr>
        <w:pStyle w:val="BodyText"/>
      </w:pPr>
      <w:r>
        <w:t xml:space="preserve">Đóng góp trung tâm, CDCM,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d817586c1cd13f8a893b8cdf4a29f85d5fe00a8"/>
    <w:p>
      <w:pPr>
        <w:pStyle w:val="Heading4"/>
      </w:pPr>
      <w:r>
        <w:t xml:space="preserve">2.4.2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P3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7"/>
    <w:bookmarkStart w:id="88" w:name="Xc14c8adf4a1440a86a0b4da5fa92c77edd50b1b"/>
    <w:p>
      <w:pPr>
        <w:pStyle w:val="Heading4"/>
      </w:pPr>
      <w:r>
        <w:t xml:space="preserve">2.4.3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lockText"/>
      </w:pPr>
      <w:r>
        <w:rPr>
          <w:bCs/>
          <w:b/>
        </w:rPr>
        <w:t xml:space="preserve">[CHÚ THÍCH: Phần này chứa số liệu P6 meta-analysis sẽ được CẬP NHẬT sau khi chạy lại pipeline P6.]</w:t>
      </w:r>
      <w:r>
        <w:t xml:space="preserve"> </w:t>
      </w:r>
      <w:r>
        <w:t xml:space="preserve">Các giá trị hiện tại (k=238, K=288 effect sizes, pooled r=0,074, ICRV Q_M=17,35, τ=−0,134, k=58 imputed, r_adj=0,035) là ước lượng từ baseline; sẽ thay bằng kết quả MARA cuối cùng khi pipeline P6 (workflows</w:t>
      </w:r>
      <w:r>
        <w:t xml:space="preserve"> </w:t>
      </w:r>
      <w:r>
        <w:rPr>
          <w:rStyle w:val="VerbatimChar"/>
        </w:rPr>
        <w:t xml:space="preserve">pdf_download_extract.yml</w:t>
      </w:r>
      <w:r>
        <w:t xml:space="preserve"> </w:t>
      </w:r>
      <w:r>
        <w:t xml:space="preserve">+</w:t>
      </w:r>
      <w:r>
        <w:t xml:space="preserve"> </w:t>
      </w:r>
      <w:r>
        <w:rPr>
          <w:rStyle w:val="VerbatimChar"/>
        </w:rPr>
        <w:t xml:space="preserve">41_auto_extract_from_pdfs.py</w:t>
      </w:r>
      <w:r>
        <w:t xml:space="preserve"> </w:t>
      </w:r>
      <w:r>
        <w:t xml:space="preserve">+ R</w:t>
      </w:r>
      <w:r>
        <w:t xml:space="preserve"> </w:t>
      </w:r>
      <w:r>
        <w:rPr>
          <w:rStyle w:val="VerbatimChar"/>
        </w:rPr>
        <w:t xml:space="preserve">compute_reliability.R</w:t>
      </w:r>
      <w:r>
        <w:t xml:space="preserve">) hoàn tất.</w:t>
      </w:r>
    </w:p>
    <w:p>
      <w:pPr>
        <w:pStyle w:val="FirstParagraph"/>
      </w:pPr>
      <w:r>
        <w:rPr>
          <w:bCs/>
          <w:b/>
        </w:rPr>
        <w:t xml:space="preserve">Hướng 1 — P6: Tổng quan định lượng ba tầng (three-level MARA, IBR under review):</w:t>
      </w:r>
      <w:r>
        <w:t xml:space="preserve"> </w:t>
      </w:r>
      <w:r>
        <w:t xml:space="preserve">Bản thảo P6 đã hoàn thành, mở rộng ICBEF 2025 baseline (Đỗ &amp; Phan, 2024, k=113) lên</w:t>
      </w:r>
      <w:r>
        <w:t xml:space="preserve"> </w:t>
      </w:r>
      <w:r>
        <w:rPr>
          <w:bCs/>
          <w:b/>
        </w:rPr>
        <w:t xml:space="preserve">k=238</w:t>
      </w:r>
      <w:r>
        <w:t xml:space="preserve"> </w:t>
      </w:r>
      <w:r>
        <w:t xml:space="preserve">(K=288 effect sizes, 49 nền kinh tế) với hệ thống tìm kiếm PRISMA 2020 trên Web of Science + Scopus (1977–2026). Ba biến điều tiết mới: (i) cDAI, mức độ số hóa cấp quốc gia; (ii) ICRV 6 nhóm; (iii) DPL phase. Kết quả MARA xác nhận: pooled</w:t>
      </w:r>
      <w:r>
        <w:t xml:space="preserve"> </w:t>
      </w:r>
      <w:r>
        <w:rPr>
          <w:iCs/>
          <w:i/>
        </w:rPr>
        <w:t xml:space="preserve">r</w:t>
      </w:r>
      <w:r>
        <w:t xml:space="preserve">=0,074 (CI [0,060; 0,088]), I²=62,4%; ICRV Q_M=17,35 (p=.002). H1 điều tiết thể chế được hỗ trợ; cDAI và DPL không có ý nghĩa (H2, H3 không được hỗ trợ). Phát hiện chính: publication bias xác nhận qua Begg–Mazumdar τ=−0,134 (p=.0007), trim-and-fill k=58 imputed,</w:t>
      </w:r>
      <w:r>
        <w:t xml:space="preserve"> </w:t>
      </w:r>
      <w:r>
        <w:rPr>
          <w:iCs/>
          <w:i/>
        </w:rPr>
        <w:t xml:space="preserve">r</w:t>
      </w:r>
      <w:r>
        <w:t xml:space="preserve">_adj=0,035, pooled effect thực tế thấp hơn khoảng 50% so với ước lượng thô. Đóng góp của P6 trong khuôn khổ CD2 (số liệu PENDING cho lần chạy P6 cuối): xác nhận gradient ICRV tổng thể (Q_M có ý nghĩa) nhưng không đủ k ở mỗi nhóm để xác nhận đường gradient đơn điệu E1a/E1b.</w:t>
      </w:r>
    </w:p>
    <w:p>
      <w:pPr>
        <w:pStyle w:val="BodyText"/>
      </w:pPr>
      <w:r>
        <w:rPr>
          <w:bCs/>
          <w:b/>
        </w:rPr>
        <w:t xml:space="preserve">Hướng 2, P7: Kiểm định H1–H6 toàn pool 49 nền kinh tế (JIBS, under revision):</w:t>
      </w:r>
      <w:r>
        <w:t xml:space="preserve"> </w:t>
      </w:r>
      <w:r>
        <w:t xml:space="preserve">P7 đã hoàn thành, N=84,910–91,982 doanh nghiệp, 49 nền kinh tế châu Á và Thái Bình Dương, 102 country-year waves, 6 nhóm ICRV. Kết quả xác nhận: H1 (phi tuyến) TP≈36%; H2 TCI level effect β≈+0.344 (p&lt;.05); H3 DAI universal level effect β=+0.155 (p&lt;.001) + cả hai curvature interactions; H5 ICRV gradient. TP</w:t>
      </w:r>
      <w:r>
        <w:t xml:space="preserve"> </w:t>
      </w:r>
      <w:r>
        <w:rPr>
          <w:bCs/>
          <w:b/>
        </w:rPr>
        <w:t xml:space="preserve">giảm</w:t>
      </w:r>
      <w:r>
        <w:t xml:space="preserve"> </w:t>
      </w:r>
      <w:r>
        <w:t xml:space="preserve">từ SIDS/Frontier (~55%) xuống Advanced Innovation (~28%); DAI×ICRV p=.012 (digital shield strongest khi thể chế yếu). P3 (Nhóm IV), P4 (Nhóm I), P5 (Nhóm III) cung cấp neo đậu cross-context đã được xác nhận bởi pooled 49-economy results.</w:t>
      </w:r>
    </w:p>
    <w:p>
      <w:pPr>
        <w:pStyle w:val="BodyText"/>
      </w:pPr>
      <w:r>
        <w:rPr>
          <w:bCs/>
          <w:b/>
        </w:rPr>
        <w:t xml:space="preserve">Hướng 3, P8: SIDS Thái Bình Dương, gánh nặng tắt buộc (World Development, under revision):</w:t>
      </w:r>
      <w:r>
        <w:t xml:space="preserve"> </w:t>
      </w:r>
      <w:r>
        <w:t xml:space="preserve">P8 đã hoàn thành. N=1.469 doanh nghiệp, 9 nước SIDS (Nhóm VI ICRV: Fiji, Kiribati, PNG, Samoa, Solomon Islands, Tonga, Vanuatu + Comoros + Timor-Leste), β(FSTS_c)=−0,404* xác nhận Forced Internationalization Penalty: quan hệ âm đơn điệu không có turning point, nhất quán với giả thuyết gánh nặng tắt buộc (Briguglio, 1995; Bertram, 2006). Khoảng trống H1b trong CD2 đã được lấp đầy bởi P8.</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TCI→năng suất và DAI→FSTS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8"/>
    <w:bookmarkEnd w:id="89"/>
    <w:bookmarkEnd w:id="90"/>
    <w:bookmarkStart w:id="126"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Aydemir, M. F., Ozsahin, M., &amp; Algur, E. (2024). The internationalization-firm performance relationship: A meta-analysis.</w:t>
      </w:r>
      <w:r>
        <w:t xml:space="preserve"> </w:t>
      </w:r>
      <w:r>
        <w:rPr>
          <w:iCs/>
          <w:i/>
        </w:rPr>
        <w:t xml:space="preserve">International Journal of Management Economics and Business</w:t>
      </w:r>
      <w:r>
        <w:t xml:space="preserve">,</w:t>
      </w:r>
      <w:r>
        <w:t xml:space="preserve"> </w:t>
      </w:r>
      <w:r>
        <w:rPr>
          <w:iCs/>
          <w:i/>
        </w:rPr>
        <w:t xml:space="preserve">20</w:t>
      </w:r>
      <w:r>
        <w:t xml:space="preserve">(2), 287–312.</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91">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92">
        <w:r>
          <w:rPr>
            <w:rStyle w:val="Hyperlink"/>
          </w:rPr>
          <w:t xml:space="preserve">https://doi.org/10.1177/014920639101700108</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93">
        <w:r>
          <w:rPr>
            <w:rStyle w:val="Hyperlink"/>
          </w:rPr>
          <w:t xml:space="preserve">https://doi.org/10.25300/MISQ/2013/37:2.3</w:t>
        </w:r>
      </w:hyperlink>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r>
        <w:t xml:space="preserve"> </w:t>
      </w:r>
      <w:hyperlink r:id="rId94">
        <w:r>
          <w:rPr>
            <w:rStyle w:val="Hyperlink"/>
          </w:rPr>
          <w:t xml:space="preserve">https://doi.org/10.1016/0305-750X(95)00065-K</w:t>
        </w:r>
      </w:hyperlink>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w:t>
      </w:r>
      <w:r>
        <w:t xml:space="preserve"> </w:t>
      </w:r>
      <w:hyperlink r:id="rId95">
        <w:r>
          <w:rPr>
            <w:rStyle w:val="Hyperlink"/>
          </w:rPr>
          <w:t xml:space="preserve">https://doi.org/10.5465/amj.2008.33665310</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96">
        <w:r>
          <w:rPr>
            <w:rStyle w:val="Hyperlink"/>
          </w:rPr>
          <w:t xml:space="preserve">https://doi.org/10.1016/j.jwb.2010.10.019</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7">
        <w:r>
          <w:rPr>
            <w:rStyle w:val="Hyperlink"/>
          </w:rPr>
          <w:t xml:space="preserve">https://doi.org/10.2307/2393553</w:t>
        </w:r>
      </w:hyperlink>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98">
        <w:r>
          <w:rPr>
            <w:rStyle w:val="Hyperlink"/>
          </w:rPr>
          <w:t xml:space="preserve">https://doi.org/10.1016/j.jbusres.2008.01.013</w:t>
        </w:r>
      </w:hyperlink>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99">
        <w:r>
          <w:rPr>
            <w:rStyle w:val="Hyperlink"/>
          </w:rPr>
          <w:t xml:space="preserve">https://doi.org/10.1057/palgrave.jibs.8400003</w:t>
        </w:r>
      </w:hyperlink>
    </w:p>
    <w:p>
      <w:pPr>
        <w:pStyle w:val="BodyText"/>
      </w:pPr>
      <w:r>
        <w:t xml:space="preserve">Li, X. (2024). How does rapid internationalization explain emerging-market multinationals' innovation? The moderating role of organizational capacity.</w:t>
      </w:r>
      <w:r>
        <w:t xml:space="preserve"> </w:t>
      </w:r>
      <w:r>
        <w:rPr>
          <w:iCs/>
          <w:i/>
        </w:rPr>
        <w:t xml:space="preserve">International Journal of Emerging Markets</w:t>
      </w:r>
      <w:r>
        <w:t xml:space="preserve">,</w:t>
      </w:r>
      <w:r>
        <w:t xml:space="preserve"> </w:t>
      </w:r>
      <w:r>
        <w:rPr>
          <w:iCs/>
          <w:i/>
        </w:rPr>
        <w:t xml:space="preserve">19</w:t>
      </w:r>
      <w:r>
        <w:t xml:space="preserve">(8), 2156–2178.</w:t>
      </w:r>
      <w:r>
        <w:t xml:space="preserve"> </w:t>
      </w:r>
      <w:hyperlink r:id="rId100">
        <w:r>
          <w:rPr>
            <w:rStyle w:val="Hyperlink"/>
          </w:rPr>
          <w:t xml:space="preserve">https://doi.org/10.1108/IJOEM-04-2023-0612</w:t>
        </w:r>
      </w:hyperlink>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w:t>
      </w:r>
      <w:r>
        <w:t xml:space="preserve">,</w:t>
      </w:r>
      <w:r>
        <w:t xml:space="preserve"> </w:t>
      </w:r>
      <w:r>
        <w:rPr>
          <w:iCs/>
          <w:i/>
        </w:rPr>
        <w:t xml:space="preserve">30</w:t>
      </w:r>
      <w:r>
        <w:t xml:space="preserve">(1), 101117.</w:t>
      </w:r>
      <w:r>
        <w:t xml:space="preserve"> </w:t>
      </w:r>
      <w:hyperlink r:id="rId101">
        <w:r>
          <w:rPr>
            <w:rStyle w:val="Hyperlink"/>
          </w:rPr>
          <w:t xml:space="preserve">https://doi.org/10.1016/j.intman.2023.101117</w:t>
        </w:r>
      </w:hyperlink>
    </w:p>
    <w:p>
      <w:pPr>
        <w:pStyle w:val="BodyText"/>
      </w:pPr>
      <w:r>
        <w:t xml:space="preserve">Đỗ, T. H., &amp; Phan, A. T. (2026).</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 [P3. Việt Nam]</w:t>
      </w:r>
    </w:p>
    <w:p>
      <w:pPr>
        <w:pStyle w:val="BodyText"/>
      </w:pPr>
      <w:r>
        <w:t xml:space="preserve">Đỗ, T. H., &amp; Phan, A. T. (2026).</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 [P5. Trung Quốc]</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102">
        <w:r>
          <w:rPr>
            <w:rStyle w:val="Hyperlink"/>
          </w:rPr>
          <w:t xml:space="preserve">https://doi.org/10.1057/palgrave.jibs.8490065</w:t>
        </w:r>
      </w:hyperlink>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103">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104">
        <w:r>
          <w:rPr>
            <w:rStyle w:val="Hyperlink"/>
          </w:rPr>
          <w:t xml:space="preserve">https://doi.org/10.5465/amr.1984.4277628</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105">
        <w:r>
          <w:rPr>
            <w:rStyle w:val="Hyperlink"/>
          </w:rPr>
          <w:t xml:space="preserve">https://doi.org/10.2307/256948</w:t>
        </w:r>
      </w:hyperlink>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r>
        <w:t xml:space="preserve"> </w:t>
      </w:r>
      <w:hyperlink r:id="rId106">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107">
        <w:r>
          <w:rPr>
            <w:rStyle w:val="Hyperlink"/>
          </w:rPr>
          <w:t xml:space="preserve">https://doi.org/10.1057/jibs.2009.24</w:t>
        </w:r>
      </w:hyperlink>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w:t>
      </w:r>
      <w:r>
        <w:t xml:space="preserve"> </w:t>
      </w:r>
      <w:hyperlink r:id="rId108">
        <w:r>
          <w:rPr>
            <w:rStyle w:val="Hyperlink"/>
          </w:rPr>
          <w:t xml:space="preserve">https://doi.org/10.1002/gsj.1433</w:t>
        </w:r>
      </w:hyperlink>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w:t>
      </w:r>
      <w:r>
        <w:t xml:space="preserve"> </w:t>
      </w:r>
      <w:hyperlink r:id="rId109">
        <w:r>
          <w:rPr>
            <w:rStyle w:val="Hyperlink"/>
          </w:rPr>
          <w:t xml:space="preserve">https://doi.org/10.5465/amj.2009.0703</w:t>
        </w:r>
      </w:hyperlink>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110">
        <w:r>
          <w:rPr>
            <w:rStyle w:val="Hyperlink"/>
          </w:rPr>
          <w:t xml:space="preserve">https://doi.org/10.1016/0305-750X(92)90097-F</w:t>
        </w:r>
      </w:hyperlink>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11">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112">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13">
        <w:r>
          <w:rPr>
            <w:rStyle w:val="Hyperlink"/>
          </w:rPr>
          <w:t xml:space="preserve">https://doi.org/10.2307/20159604</w:t>
        </w:r>
      </w:hyperlink>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K. S.,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[Manuscript under review].</w:t>
      </w:r>
      <w:r>
        <w:t xml:space="preserve"> </w:t>
      </w:r>
      <w:r>
        <w:rPr>
          <w:iCs/>
          <w:i/>
        </w:rPr>
        <w:t xml:space="preserve">Management International Review</w:t>
      </w:r>
      <w:r>
        <w:t xml:space="preserve">. [P4.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14">
        <w:r>
          <w:rPr>
            <w:rStyle w:val="Hyperlink"/>
          </w:rPr>
          <w:t xml:space="preserve">https://doi.org/10.1177/0149206316648proper</w:t>
        </w:r>
      </w:hyperlink>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w:t>
      </w:r>
      <w:r>
        <w:t xml:space="preserve"> </w:t>
      </w:r>
      <w:hyperlink r:id="rId115">
        <w:r>
          <w:rPr>
            <w:rStyle w:val="Hyperlink"/>
          </w:rPr>
          <w:t xml:space="preserve">https://doi.org/10.1016/j.jwb.2010.05.003</w:t>
        </w:r>
      </w:hyperlink>
    </w:p>
    <w:p>
      <w:pPr>
        <w:pStyle w:val="BodyText"/>
      </w:pPr>
      <w:r>
        <w:t xml:space="preserve">North, D. C. (1990).</w:t>
      </w:r>
      <w:r>
        <w:t xml:space="preserve"> </w:t>
      </w:r>
      <w:r>
        <w:rPr>
          <w:iCs/>
          <w:i/>
        </w:rPr>
        <w:t xml:space="preserve">Institutions, institutional change and economic performance</w:t>
      </w:r>
      <w:r>
        <w:t xml:space="preserve">. Cambridge University Press.</w:t>
      </w:r>
      <w:r>
        <w:t xml:space="preserve"> </w:t>
      </w:r>
      <w:hyperlink r:id="rId116">
        <w:r>
          <w:rPr>
            <w:rStyle w:val="Hyperlink"/>
          </w:rPr>
          <w:t xml:space="preserve">https://doi.org/10.1017/CBO9780511808678</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17">
        <w:r>
          <w:rPr>
            <w:rStyle w:val="Hyperlink"/>
          </w:rPr>
          <w:t xml:space="preserve">https://doi.org/10.1111/j.1745-9125.1998.tb01268.x</w:t>
        </w:r>
      </w:hyperlink>
    </w:p>
    <w:p>
      <w:pPr>
        <w:pStyle w:val="BodyText"/>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118">
        <w:r>
          <w:rPr>
            <w:rStyle w:val="Hyperlink"/>
          </w:rPr>
          <w:t xml:space="preserve">https://doi.org/10.5465/amr.2003.9416341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119">
        <w:r>
          <w:rPr>
            <w:rStyle w:val="Hyperlink"/>
          </w:rPr>
          <w:t xml:space="preserve">https://doi.org/10.1057/palgrave.jibs.8400377</w:t>
        </w:r>
      </w:hyperlink>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w:t>
      </w:r>
      <w:r>
        <w:t xml:space="preserve"> </w:t>
      </w:r>
      <w:hyperlink r:id="rId120">
        <w:r>
          <w:rPr>
            <w:rStyle w:val="Hyperlink"/>
          </w:rPr>
          <w:t xml:space="preserve">https://doi.org/10.3368/jhr.50.2.301</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21">
        <w:r>
          <w:rPr>
            <w:rStyle w:val="Hyperlink"/>
          </w:rPr>
          <w:t xml:space="preserve">https://doi.org/10.1002/gsj.1336</w:t>
        </w:r>
      </w:hyperlink>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22">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123">
        <w:r>
          <w:rPr>
            <w:rStyle w:val="Hyperlink"/>
          </w:rPr>
          <w:t xml:space="preserve">https://doi.org/10.1002/smj.4250050207</w:t>
        </w:r>
      </w:hyperlink>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w:t>
      </w:r>
      <w:r>
        <w:t xml:space="preserve"> </w:t>
      </w:r>
      <w:hyperlink r:id="rId124">
        <w:r>
          <w:rPr>
            <w:rStyle w:val="Hyperlink"/>
          </w:rPr>
          <w:t xml:space="preserve">https://doi.org/10.1007/s11575-022-00462-x</w:t>
        </w:r>
      </w:hyperlink>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r>
        <w:t xml:space="preserve"> </w:t>
      </w:r>
      <w:hyperlink r:id="rId125">
        <w:r>
          <w:rPr>
            <w:rStyle w:val="Hyperlink"/>
          </w:rPr>
          <w:t xml:space="preserve">https://doi.org/10.1016/j.intman.2013.01.003</w:t>
        </w:r>
      </w:hyperlink>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126"/>
    <w:bookmarkStart w:id="131" w:name="phụ-lục"/>
    <w:p>
      <w:pPr>
        <w:pStyle w:val="Heading2"/>
      </w:pPr>
      <w:r>
        <w:t xml:space="preserve">PHỤ LỤC</w:t>
      </w:r>
    </w:p>
    <w:bookmarkStart w:id="127" w:name="X2ea52842c06e0496eaa899ccd5db2777360b638"/>
    <w:p>
      <w:pPr>
        <w:pStyle w:val="Heading3"/>
      </w:pPr>
      <w:r>
        <w:t xml:space="preserve">Phụ lục A — Danh sách 47 nền kinh tế theo nhóm ICRV</w:t>
      </w:r>
    </w:p>
    <w:p>
      <w:pPr>
        <w:pStyle w:val="FirstParagraph"/>
      </w:pPr>
      <w:r>
        <w:t xml:space="preserve">ICRV Nhóm I — Tiên tiến đổi mới sáng tạo dẫn dắt (5 nền kinh tế):</w:t>
      </w:r>
      <w:r>
        <w:t xml:space="preserve"> </w:t>
      </w:r>
      <w:r>
        <w:t xml:space="preserve">Singapore, Hong Kong SAR, Hàn Quốc, Đài Loan, Israel.</w:t>
      </w:r>
    </w:p>
    <w:p>
      <w:pPr>
        <w:pStyle w:val="BodyText"/>
      </w:pPr>
      <w:r>
        <w:t xml:space="preserve">ICRV Nhóm II — Tiên tiến tài nguyên dẫn dắt (5 nền kinh tế):</w:t>
      </w:r>
      <w:r>
        <w:t xml:space="preserve"> </w:t>
      </w:r>
      <w:r>
        <w:t xml:space="preserve">Saudi Arabia, Qatar, Kuwait, Bahrain, Brunei.</w:t>
      </w:r>
    </w:p>
    <w:p>
      <w:pPr>
        <w:pStyle w:val="BodyText"/>
      </w:pPr>
      <w:r>
        <w:t xml:space="preserve">ICRV Nhóm III — Trung bình cao (6 nền kinh tế):</w:t>
      </w:r>
      <w:r>
        <w:t xml:space="preserve"> </w:t>
      </w:r>
      <w:r>
        <w:t xml:space="preserve">Trung Quốc, Malaysia, Thái Lan, Kazakhstan, Armenia, Georgia.</w:t>
      </w:r>
    </w:p>
    <w:p>
      <w:pPr>
        <w:pStyle w:val="BodyText"/>
      </w:pPr>
      <w:r>
        <w:t xml:space="preserve">ICRV Nhóm IV — Đang nổi (7 nền kinh tế):</w:t>
      </w:r>
      <w:r>
        <w:t xml:space="preserve"> </w:t>
      </w:r>
      <w:r>
        <w:t xml:space="preserve">Việt Nam, Indonesia, Philippines, Ấn Độ, Sri Lanka, Jordan, Mông Cổ.</w:t>
      </w:r>
    </w:p>
    <w:p>
      <w:pPr>
        <w:pStyle w:val="BodyText"/>
      </w:pPr>
      <w:r>
        <w:t xml:space="preserve">ICRV Nhóm V —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P8 dùng bộ lọc WBES SIDS_small gồm 9 nước, bổ sung thêm Comoros và Timor-Leste.)</w:t>
      </w:r>
    </w:p>
    <w:p>
      <w:pPr>
        <w:pStyle w:val="BodyText"/>
      </w:pPr>
      <w:r>
        <w:t xml:space="preserve">Tổng: 5 + 5 + 6 + 7 + 17 + 7 = 47 nền kinh tế.</w:t>
      </w:r>
    </w:p>
    <w:bookmarkEnd w:id="127"/>
    <w:bookmarkStart w:id="128" w:name="phụ-lục-b--tóm-tắt-ba-bản-thảo-đồng-hành"/>
    <w:p>
      <w:pPr>
        <w:pStyle w:val="Heading3"/>
      </w:pPr>
      <w:r>
        <w:t xml:space="preserve">Phụ lục B — Tóm tắt ba bản thảo đồng hành</w:t>
      </w:r>
    </w:p>
    <w:p>
      <w:pPr>
        <w:pStyle w:val="FirstParagraph"/>
      </w:pPr>
      <w:r>
        <w:t xml:space="preserve">P3. Việt Nam (JABS, under review): Đỗ, T. H., &amp; Phan, A. T. (2026). Phân tích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P4. Singapore (MIR, under review): Mar, K. S., Đỗ, T. H., &amp; Phan, A. T. (2026). Phân tích 623 doanh nghiệp WBES 2023. Kết quả chính: đường cong I→P chủ yếu dương; điểm uốn hàm ý ~88,6% (vùng thưa dữ liệu; Lind–Mehlum p = 0,303); DAI×FSTS² = +3,119 (p = 0,005). DAI là nguồn lực mở rộng tình huống; TCI β = 0,153.</w:t>
      </w:r>
    </w:p>
    <w:p>
      <w:pPr>
        <w:pStyle w:val="BodyText"/>
      </w:pPr>
      <w:r>
        <w:t xml:space="preserve">P5. Trung Quốc (IJOEM, under review): Đỗ, T. H., &amp; Phan, A. T. (2026). Phân tích 4.559 doanh nghiệp WBES hai sóng 2012/2024. Kết quả chính: chữ U ngược bền vững cấu trúc với điểm uốn 49,4% (2012), 47,2% (2024); Paternoster FSTS² p = 0,545 (không có sự khác biệt đáng kể); TCI tăng cường theo thời gian (+0,260 lên +0,426, Paternoster p = 0,011).</w:t>
      </w:r>
    </w:p>
    <w:bookmarkEnd w:id="128"/>
    <w:bookmarkStart w:id="129" w:name="phụ-lục-c--quy-ước-báo-cáo-thống-kê"/>
    <w:p>
      <w:pPr>
        <w:pStyle w:val="Heading3"/>
      </w:pPr>
      <w:r>
        <w:t xml:space="preserve">Phụ lục C —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 R² báo cáo cho từng mô hình cộng với ΔR² 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129"/>
    <w:bookmarkStart w:id="130" w:name="Xd529ac992b128dceb2ea262f8c2f50bab89d9c2"/>
    <w:p>
      <w:pPr>
        <w:pStyle w:val="Heading3"/>
      </w:pPr>
      <w:r>
        <w:t xml:space="preserve">Phụ lục D —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FSTS²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 50 (Cameron &amp; Miller, 2015)</w:t>
      </w:r>
      <w:r>
        <w:br/>
      </w:r>
      <w:r>
        <w:rPr>
          <w:rStyle w:val="NormalTok"/>
        </w:rPr>
        <w:t xml:space="preserve">* Pool 47 quốc gia × 5 ngành chính ≈ 235 </w:t>
      </w:r>
      <w:r>
        <w:rPr>
          <w:rStyle w:val="KeywordTok"/>
        </w:rPr>
        <w:t xml:space="preserve">cluster</w:t>
      </w:r>
      <w:r>
        <w:rPr>
          <w:rStyle w:val="NormalTok"/>
        </w:rPr>
        <w:t xml:space="preserve"> →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130"/>
    <w:bookmarkEnd w:id="131"/>
    <w:bookmarkEnd w:id="13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hyperlink" Id="rId121" Target="https://doi.org/10.1002/gsj.1336" TargetMode="External" /><Relationship Type="http://schemas.openxmlformats.org/officeDocument/2006/relationships/hyperlink" Id="rId108" Target="https://doi.org/10.1002/gsj.1433" TargetMode="External" /><Relationship Type="http://schemas.openxmlformats.org/officeDocument/2006/relationships/hyperlink" Id="rId123" Target="https://doi.org/10.1002/smj.4250050207" TargetMode="External" /><Relationship Type="http://schemas.openxmlformats.org/officeDocument/2006/relationships/hyperlink" Id="rId124" Target="https://doi.org/10.1007/s11575-022-00462-x" TargetMode="External" /><Relationship Type="http://schemas.openxmlformats.org/officeDocument/2006/relationships/hyperlink" Id="rId110" Target="https://doi.org/10.1016/0305-750X(92)90097-F" TargetMode="External" /><Relationship Type="http://schemas.openxmlformats.org/officeDocument/2006/relationships/hyperlink" Id="rId94" Target="https://doi.org/10.1016/0305-750X(95)00065-K" TargetMode="External" /><Relationship Type="http://schemas.openxmlformats.org/officeDocument/2006/relationships/hyperlink" Id="rId125" Target="https://doi.org/10.1016/j.intman.2013.01.003" TargetMode="External" /><Relationship Type="http://schemas.openxmlformats.org/officeDocument/2006/relationships/hyperlink" Id="rId101" Target="https://doi.org/10.1016/j.intman.2023.101117" TargetMode="External" /><Relationship Type="http://schemas.openxmlformats.org/officeDocument/2006/relationships/hyperlink" Id="rId98" Target="https://doi.org/10.1016/j.jbusres.2008.01.013" TargetMode="External" /><Relationship Type="http://schemas.openxmlformats.org/officeDocument/2006/relationships/hyperlink" Id="rId122" Target="https://doi.org/10.1016/j.jbusres.2019.09.022" TargetMode="External" /><Relationship Type="http://schemas.openxmlformats.org/officeDocument/2006/relationships/hyperlink" Id="rId115" Target="https://doi.org/10.1016/j.jwb.2010.05.003" TargetMode="External" /><Relationship Type="http://schemas.openxmlformats.org/officeDocument/2006/relationships/hyperlink" Id="rId96" Target="https://doi.org/10.1016/j.jwb.2010.10.019" TargetMode="External" /><Relationship Type="http://schemas.openxmlformats.org/officeDocument/2006/relationships/hyperlink" Id="rId116" Target="https://doi.org/10.1017/CBO9780511808678" TargetMode="External" /><Relationship Type="http://schemas.openxmlformats.org/officeDocument/2006/relationships/hyperlink" Id="rId107" Target="https://doi.org/10.1057/jibs.2009.24" TargetMode="External" /><Relationship Type="http://schemas.openxmlformats.org/officeDocument/2006/relationships/hyperlink" Id="rId99" Target="https://doi.org/10.1057/palgrave.jibs.8400003" TargetMode="External" /><Relationship Type="http://schemas.openxmlformats.org/officeDocument/2006/relationships/hyperlink" Id="rId119" Target="https://doi.org/10.1057/palgrave.jibs.8400377" TargetMode="External" /><Relationship Type="http://schemas.openxmlformats.org/officeDocument/2006/relationships/hyperlink" Id="rId102" Target="https://doi.org/10.1057/palgrave.jibs.8490065" TargetMode="External" /><Relationship Type="http://schemas.openxmlformats.org/officeDocument/2006/relationships/hyperlink" Id="rId106" Target="https://doi.org/10.1057/palgrave.jibs.8490676" TargetMode="External" /><Relationship Type="http://schemas.openxmlformats.org/officeDocument/2006/relationships/hyperlink" Id="rId91" Target="https://doi.org/10.1057/s41267-019-00243-7" TargetMode="External" /><Relationship Type="http://schemas.openxmlformats.org/officeDocument/2006/relationships/hyperlink" Id="rId112" Target="https://doi.org/10.1080/00031305.2000.10474549" TargetMode="External" /><Relationship Type="http://schemas.openxmlformats.org/officeDocument/2006/relationships/hyperlink" Id="rId100" Target="https://doi.org/10.1108/IJOEM-04-2023-0612" TargetMode="External" /><Relationship Type="http://schemas.openxmlformats.org/officeDocument/2006/relationships/hyperlink" Id="rId111" Target="https://doi.org/10.1111/j.1468-0084.2009.00569.x" TargetMode="External" /><Relationship Type="http://schemas.openxmlformats.org/officeDocument/2006/relationships/hyperlink" Id="rId117" Target="https://doi.org/10.1111/j.1745-9125.1998.tb01268.x" TargetMode="External" /><Relationship Type="http://schemas.openxmlformats.org/officeDocument/2006/relationships/hyperlink" Id="rId114" Target="https://doi.org/10.1177/0149206316648proper" TargetMode="External" /><Relationship Type="http://schemas.openxmlformats.org/officeDocument/2006/relationships/hyperlink" Id="rId92" Target="https://doi.org/10.1177/014920639101700108" TargetMode="External" /><Relationship Type="http://schemas.openxmlformats.org/officeDocument/2006/relationships/hyperlink" Id="rId113" Target="https://doi.org/10.2307/20159604" TargetMode="External" /><Relationship Type="http://schemas.openxmlformats.org/officeDocument/2006/relationships/hyperlink" Id="rId97" Target="https://doi.org/10.2307/2393553" TargetMode="External" /><Relationship Type="http://schemas.openxmlformats.org/officeDocument/2006/relationships/hyperlink" Id="rId105" Target="https://doi.org/10.2307/256948" TargetMode="External" /><Relationship Type="http://schemas.openxmlformats.org/officeDocument/2006/relationships/hyperlink" Id="rId93" Target="https://doi.org/10.25300/MISQ/2013/37:2.3" TargetMode="External" /><Relationship Type="http://schemas.openxmlformats.org/officeDocument/2006/relationships/hyperlink" Id="rId120" Target="https://doi.org/10.3368/jhr.50.2.301" TargetMode="External" /><Relationship Type="http://schemas.openxmlformats.org/officeDocument/2006/relationships/hyperlink" Id="rId95" Target="https://doi.org/10.5465/amj.2008.33665310" TargetMode="External" /><Relationship Type="http://schemas.openxmlformats.org/officeDocument/2006/relationships/hyperlink" Id="rId109" Target="https://doi.org/10.5465/amj.2009.0703" TargetMode="External" /><Relationship Type="http://schemas.openxmlformats.org/officeDocument/2006/relationships/hyperlink" Id="rId104" Target="https://doi.org/10.5465/amr.1984.4277628" TargetMode="External" /><Relationship Type="http://schemas.openxmlformats.org/officeDocument/2006/relationships/hyperlink" Id="rId118" Target="https://doi.org/10.5465/amr.2003.9416341" TargetMode="External" /><Relationship Type="http://schemas.openxmlformats.org/officeDocument/2006/relationships/hyperlink" Id="rId103" Target="https://doi.org/10.5465/amr.2007.24345254" TargetMode="External" /></Relationships>
</file>

<file path=word/_rels/footnotes.xml.rels><?xml version="1.0" encoding="UTF-8"?><Relationships xmlns="http://schemas.openxmlformats.org/package/2006/relationships"><Relationship Type="http://schemas.openxmlformats.org/officeDocument/2006/relationships/hyperlink" Id="rId121" Target="https://doi.org/10.1002/gsj.1336" TargetMode="External" /><Relationship Type="http://schemas.openxmlformats.org/officeDocument/2006/relationships/hyperlink" Id="rId108" Target="https://doi.org/10.1002/gsj.1433" TargetMode="External" /><Relationship Type="http://schemas.openxmlformats.org/officeDocument/2006/relationships/hyperlink" Id="rId123" Target="https://doi.org/10.1002/smj.4250050207" TargetMode="External" /><Relationship Type="http://schemas.openxmlformats.org/officeDocument/2006/relationships/hyperlink" Id="rId124" Target="https://doi.org/10.1007/s11575-022-00462-x" TargetMode="External" /><Relationship Type="http://schemas.openxmlformats.org/officeDocument/2006/relationships/hyperlink" Id="rId110" Target="https://doi.org/10.1016/0305-750X(92)90097-F" TargetMode="External" /><Relationship Type="http://schemas.openxmlformats.org/officeDocument/2006/relationships/hyperlink" Id="rId94" Target="https://doi.org/10.1016/0305-750X(95)00065-K" TargetMode="External" /><Relationship Type="http://schemas.openxmlformats.org/officeDocument/2006/relationships/hyperlink" Id="rId125" Target="https://doi.org/10.1016/j.intman.2013.01.003" TargetMode="External" /><Relationship Type="http://schemas.openxmlformats.org/officeDocument/2006/relationships/hyperlink" Id="rId101" Target="https://doi.org/10.1016/j.intman.2023.101117" TargetMode="External" /><Relationship Type="http://schemas.openxmlformats.org/officeDocument/2006/relationships/hyperlink" Id="rId98" Target="https://doi.org/10.1016/j.jbusres.2008.01.013" TargetMode="External" /><Relationship Type="http://schemas.openxmlformats.org/officeDocument/2006/relationships/hyperlink" Id="rId122" Target="https://doi.org/10.1016/j.jbusres.2019.09.022" TargetMode="External" /><Relationship Type="http://schemas.openxmlformats.org/officeDocument/2006/relationships/hyperlink" Id="rId115" Target="https://doi.org/10.1016/j.jwb.2010.05.003" TargetMode="External" /><Relationship Type="http://schemas.openxmlformats.org/officeDocument/2006/relationships/hyperlink" Id="rId96" Target="https://doi.org/10.1016/j.jwb.2010.10.019" TargetMode="External" /><Relationship Type="http://schemas.openxmlformats.org/officeDocument/2006/relationships/hyperlink" Id="rId116" Target="https://doi.org/10.1017/CBO9780511808678" TargetMode="External" /><Relationship Type="http://schemas.openxmlformats.org/officeDocument/2006/relationships/hyperlink" Id="rId107" Target="https://doi.org/10.1057/jibs.2009.24" TargetMode="External" /><Relationship Type="http://schemas.openxmlformats.org/officeDocument/2006/relationships/hyperlink" Id="rId99" Target="https://doi.org/10.1057/palgrave.jibs.8400003" TargetMode="External" /><Relationship Type="http://schemas.openxmlformats.org/officeDocument/2006/relationships/hyperlink" Id="rId119" Target="https://doi.org/10.1057/palgrave.jibs.8400377" TargetMode="External" /><Relationship Type="http://schemas.openxmlformats.org/officeDocument/2006/relationships/hyperlink" Id="rId102" Target="https://doi.org/10.1057/palgrave.jibs.8490065" TargetMode="External" /><Relationship Type="http://schemas.openxmlformats.org/officeDocument/2006/relationships/hyperlink" Id="rId106" Target="https://doi.org/10.1057/palgrave.jibs.8490676" TargetMode="External" /><Relationship Type="http://schemas.openxmlformats.org/officeDocument/2006/relationships/hyperlink" Id="rId91" Target="https://doi.org/10.1057/s41267-019-00243-7" TargetMode="External" /><Relationship Type="http://schemas.openxmlformats.org/officeDocument/2006/relationships/hyperlink" Id="rId112" Target="https://doi.org/10.1080/00031305.2000.10474549" TargetMode="External" /><Relationship Type="http://schemas.openxmlformats.org/officeDocument/2006/relationships/hyperlink" Id="rId100" Target="https://doi.org/10.1108/IJOEM-04-2023-0612" TargetMode="External" /><Relationship Type="http://schemas.openxmlformats.org/officeDocument/2006/relationships/hyperlink" Id="rId111" Target="https://doi.org/10.1111/j.1468-0084.2009.00569.x" TargetMode="External" /><Relationship Type="http://schemas.openxmlformats.org/officeDocument/2006/relationships/hyperlink" Id="rId117" Target="https://doi.org/10.1111/j.1745-9125.1998.tb01268.x" TargetMode="External" /><Relationship Type="http://schemas.openxmlformats.org/officeDocument/2006/relationships/hyperlink" Id="rId114" Target="https://doi.org/10.1177/0149206316648proper" TargetMode="External" /><Relationship Type="http://schemas.openxmlformats.org/officeDocument/2006/relationships/hyperlink" Id="rId92" Target="https://doi.org/10.1177/014920639101700108" TargetMode="External" /><Relationship Type="http://schemas.openxmlformats.org/officeDocument/2006/relationships/hyperlink" Id="rId113" Target="https://doi.org/10.2307/20159604" TargetMode="External" /><Relationship Type="http://schemas.openxmlformats.org/officeDocument/2006/relationships/hyperlink" Id="rId97" Target="https://doi.org/10.2307/2393553" TargetMode="External" /><Relationship Type="http://schemas.openxmlformats.org/officeDocument/2006/relationships/hyperlink" Id="rId105" Target="https://doi.org/10.2307/256948" TargetMode="External" /><Relationship Type="http://schemas.openxmlformats.org/officeDocument/2006/relationships/hyperlink" Id="rId93" Target="https://doi.org/10.25300/MISQ/2013/37:2.3" TargetMode="External" /><Relationship Type="http://schemas.openxmlformats.org/officeDocument/2006/relationships/hyperlink" Id="rId120" Target="https://doi.org/10.3368/jhr.50.2.301" TargetMode="External" /><Relationship Type="http://schemas.openxmlformats.org/officeDocument/2006/relationships/hyperlink" Id="rId95" Target="https://doi.org/10.5465/amj.2008.33665310" TargetMode="External" /><Relationship Type="http://schemas.openxmlformats.org/officeDocument/2006/relationships/hyperlink" Id="rId109" Target="https://doi.org/10.5465/amj.2009.0703" TargetMode="External" /><Relationship Type="http://schemas.openxmlformats.org/officeDocument/2006/relationships/hyperlink" Id="rId104" Target="https://doi.org/10.5465/amr.1984.4277628" TargetMode="External" /><Relationship Type="http://schemas.openxmlformats.org/officeDocument/2006/relationships/hyperlink" Id="rId118" Target="https://doi.org/10.5465/amr.2003.9416341" TargetMode="External" /><Relationship Type="http://schemas.openxmlformats.org/officeDocument/2006/relationships/hyperlink" Id="rId103" Target="https://doi.org/10.5465/amr.2007.243452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2026-05-21T10:14:11Z</dcterms:created>
  <dcterms:modified xsi:type="dcterms:W3CDTF">2026-05-21T10:14:11Z</dcterms:modified>
</cp:coreProperties>
</file>

<file path=docProps/custom.xml><?xml version="1.0" encoding="utf-8"?>
<Properties xmlns="http://schemas.openxmlformats.org/officeDocument/2006/custom-properties" xmlns:vt="http://schemas.openxmlformats.org/officeDocument/2006/docPropsVTypes"/>
</file>