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6 May 2026</w:t>
      </w:r>
    </w:p>
    <w:p>
      <w:pPr>
        <w:pStyle w:val="BodyText"/>
      </w:pPr>
      <w:r>
        <w:rPr>
          <w:iCs/>
          <w:i/>
        </w:rPr>
        <w:t xml:space="preserve">Target journal: Asia Pacific Journal of Management (APJM)</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4 (Table 1 descriptives; Table 2 focal coefficient summary; Table 3 robustness panels; Table 4 turning points).</w:t>
      </w:r>
    </w:p>
    <w:p>
      <w:pPr>
        <w:pStyle w:val="BodyText"/>
      </w:pPr>
      <w:r>
        <w:rPr>
          <w:bCs/>
          <w:b/>
        </w:rPr>
        <w:t xml:space="preserve">Figures:</w:t>
      </w:r>
      <w:r>
        <w:t xml:space="preserve"> </w:t>
      </w:r>
      <w:r>
        <w:t xml:space="preserve">6 (Figure 1 conceptual model; Figures 2a–2d wave-specific FSTS curves; Figure 3 moderation curves at p25 vs p75 of moderator).</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revisits the internationalisation-performance relationship in an emerging market and examines how foreign-technology capability and foundational digital adoption are associated with firm productivity under conditions of institutional and digital transition. Focusing on Vietnam, the study asks whether export intensity is nonlinearly associated with labour productivity and whether the two capability constructs play distinct, wave-specific roles.</w:t>
      </w:r>
    </w:p>
    <w:p>
      <w:pPr>
        <w:pStyle w:val="BodyText"/>
      </w:pPr>
      <w:r>
        <w:rPr>
          <w:bCs/>
          <w:b/>
        </w:rPr>
        <w:t xml:space="preserve">Design/methodology/approach.</w:t>
      </w:r>
      <w:r>
        <w:t xml:space="preserve"> </w:t>
      </w:r>
      <w:r>
        <w:t xml:space="preserve">The study uses three waves of World Bank Enterprise Survey microdata for Vietnam (2009, 2015 and 2023; pooled N = 2,958) and estimates wave-specific and pooled ordinary least squares (OLS) models with HC1 robust standard errors, a quadratic export-intensity term, and interaction specifications. A Technological Capability Index (TCI) built from internationally recognised quality certification and foreign-licensed technology is distinguished from a foundational Digital Adoption Index (DAI) based on website presence, with no shared items between the two constructs.</w:t>
      </w:r>
    </w:p>
    <w:p>
      <w:pPr>
        <w:pStyle w:val="BodyText"/>
      </w:pPr>
      <w:r>
        <w:rPr>
          <w:bCs/>
          <w:b/>
        </w:rPr>
        <w:t xml:space="preserve">Findings.</w:t>
      </w:r>
      <w:r>
        <w:t xml:space="preserve"> </w:t>
      </w:r>
      <w:r>
        <w:t xml:space="preserve">The productivity returns of internationalisation concentrate at the participation margin, the step from non-exporting to exporting, while within-exporter intensity yields diminishing to null marginal returns. The pooled inverted-U pattern (turning points 39-46% of foreign sales to total sales) is identified mainly through this participation step rather than through dense curvature within the exporter subsample. Technological capability shows a positive productivity association in all three waves; foundational digital adoption is positive in 2009 and 2023 but null in 2015, and instrumental-variable estimation indicates that the OLS-estimated positive digital-adoption association is likely selection-driven rather than causal.</w:t>
      </w:r>
    </w:p>
    <w:p>
      <w:pPr>
        <w:pStyle w:val="BodyText"/>
      </w:pPr>
      <w:r>
        <w:rPr>
          <w:bCs/>
          <w:b/>
        </w:rPr>
        <w:t xml:space="preserve">Originality/value.</w:t>
      </w:r>
      <w:r>
        <w:t xml:space="preserve"> </w:t>
      </w:r>
      <w:r>
        <w:t xml:space="preserve">The study contributes to emerging-market international business research by distinguishing foreign-technology capability from foundational digital adoption and by showing that pooled digital effects can mask substantial temporal heterogeneity. The findings suggest that the productivity relevance of basic digital adoption is context-sensitive and wave-specific rather than uniformly stable across stages of internationalisation.</w:t>
      </w:r>
    </w:p>
    <w:p>
      <w:pPr>
        <w:pStyle w:val="BodyText"/>
      </w:pPr>
      <w:r>
        <w:rPr>
          <w:bCs/>
          <w:b/>
        </w:rPr>
        <w:t xml:space="preserve">Keywords:</w:t>
      </w:r>
      <w:r>
        <w:t xml:space="preserve"> </w:t>
      </w:r>
      <w:r>
        <w:t xml:space="preserve">internationalisation-performance; emerging markets; digital adoption; technological capability; Vietnam; firm productivity.</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Research paper.</w:t>
      </w:r>
    </w:p>
    <w:bookmarkEnd w:id="20"/>
    <w:bookmarkStart w:id="21" w:name="highlights"/>
    <w:p>
      <w:pPr>
        <w:pStyle w:val="Heading2"/>
      </w:pPr>
      <w:r>
        <w:t xml:space="preserve">Highlights</w:t>
      </w:r>
    </w:p>
    <w:p>
      <w:pPr>
        <w:pStyle w:val="FirstParagraph"/>
      </w:pPr>
      <w:r>
        <w:t xml:space="preserve">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Technological capability and digital adoption are separated as non-overlapping primary</w:t>
      </w:r>
      <w:r>
        <w:t xml:space="preserve"> </w:t>
      </w:r>
      <w:r>
        <w:t xml:space="preserve">measures:</w:t>
      </w:r>
      <w:r>
        <w:t xml:space="preserve"> </w:t>
      </w:r>
      <m:oMath>
        <m:acc>
          <m:accPr>
            <m:chr m:val="̃"/>
          </m:accPr>
          <m:e>
            <m:r>
              <m:rPr>
                <m:sty m:val="p"/>
              </m:rPr>
              <m:t>T</m:t>
            </m:r>
            <m:r>
              <m:rPr>
                <m:sty m:val="p"/>
              </m:rPr>
              <m:t>C</m:t>
            </m:r>
            <m:r>
              <m:rPr>
                <m:sty m:val="p"/>
              </m:rPr>
              <m:t>I</m:t>
            </m:r>
          </m:e>
        </m:acc>
      </m:oMath>
      <w:r>
        <w:t xml:space="preserve"> </w:t>
      </w:r>
      <w:r>
        <w:t xml:space="preserve">is the within-wave standardised mean of quality certification and foreignlicensed technology, whereas</w:t>
      </w:r>
      <w:r>
        <w:t xml:space="preserve"> </w:t>
      </w:r>
      <m:oMath>
        <m:acc>
          <m:accPr>
            <m:chr m:val="̃"/>
          </m:accPr>
          <m:e>
            <m:r>
              <m:rPr>
                <m:sty m:val="p"/>
              </m:rPr>
              <m:t>D</m:t>
            </m:r>
            <m:r>
              <m:rPr>
                <m:sty m:val="p"/>
              </m:rPr>
              <m:t>A</m:t>
            </m:r>
            <m:r>
              <m:rPr>
                <m:sty m:val="p"/>
              </m:rPr>
              <m:t>I</m:t>
            </m:r>
          </m:e>
        </m:acc>
      </m:oMath>
      <w:r>
        <w:t xml:space="preserve"> </w:t>
      </w:r>
      <w:r>
        <w:t xml:space="preserve">is the within-wave standardised website-based digitalpresence indicator.</w:t>
      </w:r>
    </w:p>
    <w:p>
      <w:pPr>
        <w:pStyle w:val="BodyText"/>
      </w:pPr>
      <m:oMath>
        <m:acc>
          <m:accPr>
            <m:chr m:val="̃"/>
          </m:accPr>
          <m:e>
            <m:r>
              <m:rPr>
                <m:sty m:val="p"/>
              </m:rPr>
              <m:t>T</m:t>
            </m:r>
            <m:r>
              <m:rPr>
                <m:sty m:val="p"/>
              </m:rPr>
              <m:t>C</m:t>
            </m:r>
            <m:r>
              <m:rPr>
                <m:sty m:val="p"/>
              </m:rPr>
              <m:t>I</m:t>
            </m:r>
          </m:e>
        </m:acc>
      </m:oMath>
      <w:r>
        <w:t xml:space="preserve"> </w:t>
      </w:r>
      <w:r>
        <w:t xml:space="preserve">is positively associated with productivity in all three waves (β = 0.215, 0.128,</w:t>
      </w:r>
      <w:r>
        <w:t xml:space="preserve"> </w:t>
      </w:r>
      <w:r>
        <w:t xml:space="preserve">0.123) and pooled (β = 0.179, p &lt; .001), and moderates the curvature in three of four</w:t>
      </w:r>
      <w:r>
        <w:t xml:space="preserve"> </w:t>
      </w:r>
      <w:r>
        <w:t xml:space="preserve">panels (M3 joint p = .040, .713, .027 and .003).</w:t>
      </w:r>
    </w:p>
    <w:p>
      <w:pPr>
        <w:pStyle w:val="BodyText"/>
      </w:pPr>
      <m:oMath>
        <m:acc>
          <m:accPr>
            <m:chr m:val="̃"/>
          </m:accPr>
          <m:e>
            <m:r>
              <m:rPr>
                <m:sty m:val="p"/>
              </m:rPr>
              <m:t>D</m:t>
            </m:r>
            <m:r>
              <m:rPr>
                <m:sty m:val="p"/>
              </m:rPr>
              <m:t>A</m:t>
            </m:r>
            <m:r>
              <m:rPr>
                <m:sty m:val="p"/>
              </m:rPr>
              <m:t>I</m:t>
            </m:r>
          </m:e>
        </m:acc>
      </m:oMath>
      <w:r>
        <w:t xml:space="preserve"> </w:t>
      </w:r>
      <w:r>
        <w:t xml:space="preserve">is strongest in 2009 (β = 0.175, p &lt; .001), null in 2015 (β = -0.044, p = .377),</w:t>
      </w:r>
      <w:r>
        <w:t xml:space="preserve"> </w:t>
      </w:r>
      <w:r>
        <w:t xml:space="preserve">positive in 2023 (β = 0.095, p = .038) and pooled (β = 0.078, p = .004); the cross-wave</w:t>
      </w:r>
      <w:r>
        <w:t xml:space="preserve"> </w:t>
      </w:r>
      <w:r>
        <w:t xml:space="preserve">shifts are statistically distinguishable (Paternoster z = 3.353 between 2009 and 2015; z =</w:t>
      </w:r>
      <w:r>
        <w:t xml:space="preserve"> </w:t>
      </w:r>
      <w:r>
        <w:t xml:space="preserve">-2.051 between 2015 and 2023).</w:t>
      </w:r>
    </w:p>
    <w:p>
      <w:pPr>
        <w:pStyle w:val="BodyText"/>
      </w:pPr>
      <w:r>
        <w:t xml:space="preserve">DAI moderation is concentrated in 2023, where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w:t>
      </w:r>
      <w:r>
        <w:t xml:space="preserve"> </w:t>
      </w:r>
      <w:r>
        <w:t xml:space="preserve">and the M8 joint test is marginal (p = .062); the pooled M8 joint test is also marginal (p</w:t>
      </w:r>
      <w:r>
        <w:t xml:space="preserve"> </w:t>
      </w:r>
      <w:r>
        <w:t xml:space="preserve">= .083), driven by 2023 rather than by a stable cross-period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w:t>
      </w:r>
    </w:p>
    <w:p>
      <w:pPr>
        <w:pStyle w:val="BodyText"/>
      </w:pPr>
      <w:r>
        <w:t xml:space="preserve">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 Recent firm-level evidence from Vietnam confirms the bidirectional productivity-export learning loop in SMEs (Nguyen et al., 2025; Dang et al., 2024) and highlights digital transformation as a strong predictor of export performance under intensifying global competition (Tran et al., 2025; Ngo et al., 2024).</w:t>
      </w:r>
      <w:r>
        <w:t xml:space="preserve"> </w:t>
      </w:r>
      <w:r>
        <w:t xml:space="preserve">Digitalisation adds a further layer of complexity to this debate.</w:t>
      </w:r>
    </w:p>
    <w:p>
      <w:pPr>
        <w:pStyle w:val="BodyText"/>
      </w:pPr>
      <w:r>
        <w:t xml:space="preserve">Digital tools can reduce</w:t>
      </w:r>
    </w:p>
    <w:p>
      <w:pPr>
        <w:pStyle w:val="BodyText"/>
      </w:pPr>
      <w:r>
        <w:t xml:space="preserve">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bookmarkEnd w:id="22"/>
    <w:bookmarkStart w:id="23"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demonstrate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w:t>
      </w:r>
    </w:p>
    <w:bookmarkEnd w:id="23"/>
    <w:bookmarkStart w:id="24"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shows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lifecycle interpretation of digital internationalisation.</w:t>
      </w:r>
    </w:p>
    <w:p>
      <w:pPr>
        <w:pStyle w:val="BodyText"/>
      </w:pPr>
      <w:r>
        <w:t xml:space="preserve">The</w:t>
      </w:r>
    </w:p>
    <w:p>
      <w:pPr>
        <w:pStyle w:val="BodyText"/>
      </w:pPr>
      <w:r>
        <w:t xml:space="preserve">evidence suggests that digital capability is neither a universally stable premium nor a uniformly</w:t>
      </w:r>
      <w:r>
        <w:t xml:space="preserve"> </w:t>
      </w:r>
      <w:r>
        <w:t xml:space="preserve">ineffective resource. Instead, it is an uneven and stage-dependent source of performance heterogeneity. This perspective helps explain why pooled average effects may coexist with substantial</w:t>
      </w:r>
      <w:r>
        <w:t xml:space="preserve"> </w:t>
      </w:r>
      <w:r>
        <w:t xml:space="preserve">wave-specific differences.</w:t>
      </w:r>
    </w:p>
    <w:p>
      <w:pPr>
        <w:pStyle w:val="BodyText"/>
      </w:pPr>
      <w:r>
        <w:t xml:space="preserve">A fourth contribution is contextual: Vietnam's empirical pattern provides a participation-and-intensity decomposition showing that the robustly identified inverted-U (turning point 39–46 % FSTS) is driven primarily by the participation margin: within the exporter subsample, intensity variation yields flat to diminishing returns (Panel H), qualifying the conventional reading of the inverted-U pattern. The divergence between this pattern and those documented in digitally advanced economies, where the coordination-cost mechanism is attenuated by comprehensive digital infrastructure, points toward institution-level mechanisms as candidate moderators of I–P curve location. This within-context evidence anchors the digitally transitional end of the institutional spectrum.</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The internationalisation–performance relationship in Vietnam is non-monotonic</w:t>
      </w:r>
      <w:r>
        <w:t xml:space="preserve"> </w:t>
      </w:r>
      <w:r>
        <w:t xml:space="preserve">in the full sample and is best understood through a participation-and-intensity structure in a zero-inflated export setting. (H1a, participation margin) Crossing from</w:t>
      </w:r>
      <w:r>
        <w:t xml:space="preserve"> </w:t>
      </w:r>
      <w:r>
        <w:t xml:space="preserve">non-exporting (FSTS = 0) to exporting (FSTS &gt; 0) is positively associated with</w:t>
      </w:r>
      <w:r>
        <w:t xml:space="preserve"> </w:t>
      </w:r>
      <w:r>
        <w:t xml:space="preserve">labour productivity, capturing the learning-and-scale jump at entry. (H1b, intensity</w:t>
      </w:r>
      <w:r>
        <w:t xml:space="preserve"> </w:t>
      </w:r>
      <w:r>
        <w:t xml:space="preserve">margin) Within the exporter subsample, additional direct-export intensity is expected</w:t>
      </w:r>
      <w:r>
        <w:t xml:space="preserve"> </w:t>
      </w:r>
      <w:r>
        <w:t xml:space="preserve">to exhibit weaker, diminishing, or non-significant marginal returns relative to the</w:t>
      </w:r>
      <w:r>
        <w:t xml:space="preserve"> </w:t>
      </w:r>
      <w:r>
        <w:t xml:space="preserve">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w:t>
      </w:r>
      <w:r>
        <w:t xml:space="preserve"> </w:t>
      </w:r>
      <m:oMath>
        <m:acc>
          <m:accPr>
            <m:chr m:val="̃"/>
          </m:accPr>
          <m:e>
            <m:r>
              <m:rPr>
                <m:sty m:val="p"/>
              </m:rPr>
              <m:t>T</m:t>
            </m:r>
            <m:r>
              <m:rPr>
                <m:sty m:val="p"/>
              </m:rPr>
              <m:t>C</m:t>
            </m:r>
            <m:r>
              <m:rPr>
                <m:sty m:val="p"/>
              </m:rPr>
              <m:t>I</m:t>
            </m:r>
          </m:e>
        </m:acc>
      </m:oMath>
      <w:r>
        <w:t xml:space="preserve"> </w:t>
      </w:r>
      <w:r>
        <w:t xml:space="preserve">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w:t>
      </w:r>
      <m:oMath>
        <m:sSub>
          <m:e>
            <m:r>
              <m:rPr>
                <m:sty m:val="p"/>
              </m:rPr>
              <m:t>T</m:t>
            </m:r>
            <m:r>
              <m:rPr>
                <m:sty m:val="p"/>
              </m:rPr>
              <m:t>C</m:t>
            </m:r>
            <m:r>
              <m:rPr>
                <m:sty m:val="p"/>
              </m:rPr>
              <m:t>I</m:t>
            </m:r>
          </m:e>
          <m:sub>
            <m:r>
              <m:rPr>
                <m:nor/>
                <m:sty m:val="p"/>
              </m:rPr>
              <m:t>full</m:t>
            </m:r>
          </m:sub>
        </m:sSub>
      </m:oMath>
      <w:r>
        <w:t xml:space="preserve">,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Foreign-technology / standards capability (</w:t>
      </w:r>
      <m:oMath>
        <m:acc>
          <m:accPr>
            <m:chr m:val="̃"/>
          </m:accPr>
          <m:e>
            <m:r>
              <m:rPr>
                <m:sty m:val="p"/>
              </m:rPr>
              <m:t>T</m:t>
            </m:r>
            <m:r>
              <m:rPr>
                <m:sty m:val="p"/>
              </m:rPr>
              <m:t>C</m:t>
            </m:r>
            <m:r>
              <m:rPr>
                <m:sty m:val="p"/>
              </m:rPr>
              <m:t>I</m:t>
            </m:r>
          </m:e>
        </m:acc>
      </m:oMath>
      <w:r>
        <w:t xml:space="preserve">) is positively associated with</w:t>
      </w:r>
      <w:r>
        <w:t xml:space="preserve"> </w:t>
      </w:r>
      <w:r>
        <w:t xml:space="preserve">firm performance in Vietnam.</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w:t>
      </w:r>
      <w:r>
        <w:t xml:space="preserve"> </w:t>
      </w:r>
      <m:oMath>
        <m:acc>
          <m:accPr>
            <m:chr m:val="̃"/>
          </m:accPr>
          <m:e>
            <m:r>
              <m:rPr>
                <m:sty m:val="p"/>
              </m:rPr>
              <m:t>D</m:t>
            </m:r>
            <m:r>
              <m:rPr>
                <m:sty m:val="p"/>
              </m:rPr>
              <m:t>A</m:t>
            </m:r>
            <m:r>
              <m:rPr>
                <m:sty m:val="p"/>
              </m:rPr>
              <m:t>I</m:t>
            </m:r>
          </m:e>
        </m:acc>
      </m:oMath>
      <w:r>
        <w:t xml:space="preserve"> </w:t>
      </w:r>
      <w:r>
        <w:t xml:space="preserve">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dynamic digital capability (data-driven decision-making, AI integration). The primary</w:t>
      </w:r>
      <w:r>
        <w:t xml:space="preserve"> </w:t>
      </w:r>
      <m:oMath>
        <m:acc>
          <m:accPr>
            <m:chr m:val="̃"/>
          </m:accPr>
          <m:e>
            <m:r>
              <m:rPr>
                <m:sty m:val="p"/>
              </m:rPr>
              <m:t>D</m:t>
            </m:r>
            <m:r>
              <m:rPr>
                <m:sty m:val="p"/>
              </m:rPr>
              <m:t>A</m:t>
            </m:r>
            <m:r>
              <m:rPr>
                <m:sty m:val="p"/>
              </m:rPr>
              <m:t>I</m:t>
            </m:r>
          </m:e>
        </m:acc>
      </m:oMath>
    </w:p>
    <w:p>
      <w:pPr>
        <w:pStyle w:val="BodyText"/>
      </w:pPr>
      <w:r>
        <w:t xml:space="preserve">anchors at Tier 1 only. A Tier 3-style extension (</w:t>
      </w:r>
      <m:oMath>
        <m:sSub>
          <m:e>
            <m:r>
              <m:rPr>
                <m:sty m:val="p"/>
              </m:rPr>
              <m:t>D</m:t>
            </m:r>
            <m:r>
              <m:rPr>
                <m:sty m:val="p"/>
              </m:rPr>
              <m:t>A</m:t>
            </m:r>
            <m:r>
              <m:rPr>
                <m:sty m:val="p"/>
              </m:rPr>
              <m:t>I</m:t>
            </m:r>
          </m:e>
          <m:sub>
            <m:r>
              <m:rPr>
                <m:nor/>
                <m:sty m:val="p"/>
              </m:rPr>
              <m:t>rich</m:t>
            </m:r>
          </m:sub>
        </m:sSub>
      </m:oMath>
      <w:r>
        <w:t xml:space="preserve">)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w:t>
      </w:r>
      <w:r>
        <w:t xml:space="preserve"> </w:t>
      </w:r>
      <m:oMath>
        <m:acc>
          <m:accPr>
            <m:chr m:val="̃"/>
          </m:accPr>
          <m:e>
            <m:r>
              <m:rPr>
                <m:sty m:val="p"/>
              </m:rPr>
              <m:t>D</m:t>
            </m:r>
            <m:r>
              <m:rPr>
                <m:sty m:val="p"/>
              </m:rPr>
              <m:t>A</m:t>
            </m:r>
            <m:r>
              <m:rPr>
                <m:sty m:val="p"/>
              </m:rPr>
              <m:t>I</m:t>
            </m:r>
          </m:e>
        </m:acc>
      </m:oMath>
      <w:r>
        <w:t xml:space="preserve"> </w:t>
      </w:r>
      <w:r>
        <w:t xml:space="preserve">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H3. Website-based digital presence (</w:t>
      </w:r>
      <m:oMath>
        <m:acc>
          <m:accPr>
            <m:chr m:val="̃"/>
          </m:accPr>
          <m:e>
            <m:r>
              <m:rPr>
                <m:sty m:val="p"/>
              </m:rPr>
              <m:t>D</m:t>
            </m:r>
            <m:r>
              <m:rPr>
                <m:sty m:val="p"/>
              </m:rPr>
              <m:t>A</m:t>
            </m:r>
            <m:r>
              <m:rPr>
                <m:sty m:val="p"/>
              </m:rPr>
              <m:t>I</m:t>
            </m:r>
          </m:e>
        </m:acc>
      </m:oMath>
      <w:r>
        <w:t xml:space="preserve">) is positively associated with firm performance in Vietnam on average.</w:t>
      </w:r>
    </w:p>
    <w:bookmarkEnd w:id="29"/>
    <w:bookmarkStart w:id="33" w:name="Xa301591a4bdc42129e76c2a2b73514232150381"/>
    <w:p>
      <w:pPr>
        <w:pStyle w:val="Heading3"/>
      </w:pPr>
      <w:r>
        <w:t xml:space="preserve">2.4 Stage-contingent digital value</w:t>
      </w:r>
    </w:p>
    <w:p>
      <w:pPr>
        <w:pStyle w:val="FirstParagraph"/>
      </w:pPr>
      <w:r>
        <w:t xml:space="preserve">The core theoretical claim of this study is that foundational digital adoption is stage contingent.</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t xml:space="preserve">H4 (exploratory). The productivity relevance of foundational digital adoption (</w:t>
      </w:r>
      <m:oMath>
        <m:acc>
          <m:accPr>
            <m:chr m:val="̃"/>
          </m:accPr>
          <m:e>
            <m:r>
              <m:rPr>
                <m:sty m:val="p"/>
              </m:rPr>
              <m:t>D</m:t>
            </m:r>
            <m:r>
              <m:rPr>
                <m:sty m:val="p"/>
              </m:rPr>
              <m:t>A</m:t>
            </m:r>
            <m:r>
              <m:rPr>
                <m:sty m:val="p"/>
              </m:rPr>
              <m:t>I</m:t>
            </m:r>
          </m:e>
        </m:acc>
      </m:oMath>
      <w:r>
        <w:t xml:space="preserve">)</w:t>
      </w:r>
      <w:r>
        <w:t xml:space="preserve"> </w:t>
      </w:r>
      <w:r>
        <w:t xml:space="preserve">varies across phases of internationalisation and institutional transition. Any moderation of the export-intensity curve by foundational digital adoption is therefore</w:t>
      </w:r>
      <w:r>
        <w:t xml:space="preserve"> </w:t>
      </w:r>
      <w:r>
        <w:t xml:space="preserve">expected to be wave-specific rather than uniformly present across periods, with the</w:t>
      </w:r>
      <w:r>
        <w:t xml:space="preserve"> </w:t>
      </w:r>
      <w:r>
        <w:t xml:space="preserve">strongest within-sample detectability anticipated in 2023.</w:t>
      </w:r>
    </w:p>
    <w:p>
      <w:pPr>
        <w:pStyle w:val="BodyText"/>
      </w:pPr>
      <w:r>
        <w:t xml:space="preserve">Technological</w:t>
      </w:r>
      <w:r>
        <w:t xml:space="preserve"> </w:t>
      </w:r>
      <w:r>
        <w:t xml:space="preserve">Capability (</w:t>
      </w:r>
      <m:oMath>
        <m:acc>
          <m:accPr>
            <m:chr m:val="̃"/>
          </m:accPr>
          <m:e>
            <m:r>
              <m:rPr>
                <m:sty m:val="p"/>
              </m:rPr>
              <m:t>T</m:t>
            </m:r>
            <m:r>
              <m:rPr>
                <m:sty m:val="p"/>
              </m:rPr>
              <m:t>C</m:t>
            </m:r>
            <m:r>
              <m:rPr>
                <m:sty m:val="p"/>
              </m:rPr>
              <m:t>I</m:t>
            </m:r>
          </m:e>
        </m:acc>
      </m:oMath>
      <w:r>
        <w:t xml:space="preserve">)</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w:r>
        <w:t xml:space="preserve">(ln labour productivity)</w:t>
      </w:r>
      <w:r>
        <w:t xml:space="preserve"> </w:t>
      </w:r>
      <w:r>
        <w:t xml:space="preserve">H4 (mod., exploratory)</w:t>
      </w:r>
      <w:r>
        <w:t xml:space="preserve"> </w:t>
      </w:r>
      <w:r>
        <w:t xml:space="preserve">H3</w:t>
      </w:r>
    </w:p>
    <w:p>
      <w:pPr>
        <w:pStyle w:val="BodyText"/>
      </w:pPr>
      <w:r>
        <w:t xml:space="preserve">Foundational</w:t>
      </w:r>
      <w:r>
        <w:t xml:space="preserve"> </w:t>
      </w:r>
      <w:r>
        <w:t xml:space="preserve">Digital Adoption (</w:t>
      </w:r>
      <m:oMath>
        <m:acc>
          <m:accPr>
            <m:chr m:val="̃"/>
          </m:accPr>
          <m:e>
            <m:r>
              <m:rPr>
                <m:sty m:val="p"/>
              </m:rPr>
              <m:t>D</m:t>
            </m:r>
            <m:r>
              <m:rPr>
                <m:sty m:val="p"/>
              </m:rPr>
              <m:t>A</m:t>
            </m:r>
            <m:r>
              <m:rPr>
                <m:sty m:val="p"/>
              </m:rPr>
              <m:t>I</m:t>
            </m:r>
          </m:e>
        </m:acc>
      </m:oMath>
      <w:r>
        <w:t xml:space="preserve">)</w:t>
      </w:r>
    </w:p>
    <w:p>
      <w:pPr>
        <w:pStyle w:val="BodyText"/>
      </w:pPr>
      <w:r>
        <w:t xml:space="preserve">Controls:</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sector FE [+ wave FE]</w:t>
      </w:r>
    </w:p>
    <w:p>
      <w:pPr>
        <w:pStyle w:val="BodyText"/>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p3_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The independent variable (internationalisation,</w:t>
      </w:r>
      <w:r>
        <w:t xml:space="preserve"> </w:t>
      </w:r>
      <m:oMath>
        <m:sSup>
          <m:e>
            <m:r>
              <m:rPr>
                <m:sty m:val="p"/>
              </m:rPr>
              <m:t>F</m:t>
            </m:r>
            <m:r>
              <m:rPr>
                <m:sty m:val="p"/>
              </m:rPr>
              <m:t>S</m:t>
            </m:r>
            <m:r>
              <m:rPr>
                <m:sty m:val="p"/>
              </m:rPr>
              <m:t>T</m:t>
            </m:r>
            <m:r>
              <m:rPr>
                <m:sty m:val="p"/>
              </m:rPr>
              <m:t>S</m:t>
            </m:r>
          </m:e>
          <m:sup>
            <m:r>
              <m:t>c</m:t>
            </m:r>
          </m:sup>
        </m:sSup>
      </m:oMath>
      <w:r>
        <w:t xml:space="preserve"> </w:t>
      </w:r>
      <w:r>
        <w:t xml:space="preserve">and</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and the dependent variable (firm performance, ln labour productivity) anchor the IV–DV spine. Technological capability (</w:t>
      </w:r>
      <m:oMath>
        <m:acc>
          <m:accPr>
            <m:chr m:val="̃"/>
          </m:accPr>
          <m:e>
            <m:r>
              <m:rPr>
                <m:sty m:val="p"/>
              </m:rPr>
              <m:t>T</m:t>
            </m:r>
            <m:r>
              <m:rPr>
                <m:sty m:val="p"/>
              </m:rPr>
              <m:t>C</m:t>
            </m:r>
            <m:r>
              <m:rPr>
                <m:sty m:val="p"/>
              </m:rPr>
              <m:t>I</m:t>
            </m:r>
          </m:e>
        </m:acc>
      </m:oMath>
      <w:r>
        <w:t xml:space="preserve">) and foundational digital adoption (</w:t>
      </w:r>
      <m:oMath>
        <m:acc>
          <m:accPr>
            <m:chr m:val="̃"/>
          </m:accPr>
          <m:e>
            <m:r>
              <m:rPr>
                <m:sty m:val="p"/>
              </m:rPr>
              <m:t>D</m:t>
            </m:r>
            <m:r>
              <m:rPr>
                <m:sty m:val="p"/>
              </m:rPr>
              <m:t>A</m:t>
            </m:r>
            <m:r>
              <m:rPr>
                <m:sty m:val="p"/>
              </m:rPr>
              <m:t>I</m:t>
            </m:r>
          </m:e>
        </m:acc>
      </m:oMath>
      <w:r>
        <w:t xml:space="preserve">) act as direct effects (H2, H3) and as moderators of the FSTS curve (H2 moderation, H4 exploratory moderation). Controls are entered additively. Wave fixed effects apply to the pooled specification only.</w:t>
      </w:r>
    </w:p>
    <w:bookmarkEnd w:id="33"/>
    <w:bookmarkEnd w:id="34"/>
    <w:bookmarkStart w:id="39"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w:t>
      </w:r>
      <m:oMath>
        <m:r>
          <m:rPr>
            <m:sty m:val="p"/>
          </m:rPr>
          <m:t>ln</m:t>
        </m:r>
        <m:d>
          <m:dPr>
            <m:begChr m:val="("/>
            <m:endChr m:val=")"/>
            <m:sepChr m:val=""/>
            <m:grow/>
          </m:dPr>
          <m:e>
            <m:r>
              <m:rPr>
                <m:sty m:val="p"/>
              </m:rPr>
              <m:t>L</m:t>
            </m:r>
            <m:r>
              <m:rPr>
                <m:sty m:val="p"/>
              </m:rPr>
              <m:t>P</m:t>
            </m:r>
          </m:e>
        </m:d>
      </m:oMath>
      <w:r>
        <w:t xml:space="preserve">). Internationalisation is measured by direct-export intensity (FSTS), mean-centred within wave (</w:t>
      </w:r>
      <m:oMath>
        <m:sSup>
          <m:e>
            <m:r>
              <m:rPr>
                <m:sty m:val="p"/>
              </m:rPr>
              <m:t>F</m:t>
            </m:r>
            <m:r>
              <m:rPr>
                <m:sty m:val="p"/>
              </m:rPr>
              <m:t>S</m:t>
            </m:r>
            <m:r>
              <m:rPr>
                <m:sty m:val="p"/>
              </m:rPr>
              <m:t>T</m:t>
            </m:r>
            <m:r>
              <m:rPr>
                <m:sty m:val="p"/>
              </m:rPr>
              <m:t>S</m:t>
            </m:r>
          </m:e>
          <m:sup>
            <m:r>
              <m:t>c</m:t>
            </m:r>
          </m:sup>
        </m:sSup>
      </m:oMath>
      <w:r>
        <w:t xml:space="preserve">) and squared</w:t>
      </w:r>
    </w:p>
    <w:p>
      <w:pPr>
        <w:pStyle w:val="BodyText"/>
      </w:pPr>
      <w:r>
        <w:t xml:space="preserve">(</w:t>
      </w:r>
      <m:oMath>
        <m:sSup>
          <m:e>
            <m:r>
              <m:rPr>
                <m:sty m:val="p"/>
              </m:rPr>
              <m:t>F</m:t>
            </m:r>
            <m:r>
              <m:rPr>
                <m:sty m:val="p"/>
              </m:rPr>
              <m:t>S</m:t>
            </m:r>
            <m:r>
              <m:rPr>
                <m:sty m:val="p"/>
              </m:rPr>
              <m:t>T</m:t>
            </m:r>
            <m:r>
              <m:rPr>
                <m:sty m:val="p"/>
              </m:rPr>
              <m:t>S</m:t>
            </m:r>
          </m:e>
          <m:sup>
            <m:r>
              <m:t>c</m:t>
            </m:r>
          </m:sup>
        </m:sSup>
      </m:oMath>
      <w:r>
        <w:t xml:space="preserve"> </w:t>
      </w:r>
      <w:r>
        <w:t xml:space="preserve">) so that linear and quadratic terms can be entered jointly to test for nonlinearity.</w:t>
      </w:r>
      <w:r>
        <w:t xml:space="preserve"> </w:t>
      </w:r>
      <w:r>
        <w:t xml:space="preserve">The analysis uses two distinct capability constructs.</w:t>
      </w:r>
    </w:p>
    <w:p>
      <w:pPr>
        <w:pStyle w:val="BodyText"/>
      </w:pPr>
      <w:r>
        <w:t xml:space="preserve">The Technological Capability Index</w:t>
      </w:r>
    </w:p>
    <w:p>
      <w:pPr>
        <w:pStyle w:val="BodyText"/>
      </w:pPr>
      <w:r>
        <w:t xml:space="preserve">(</w:t>
      </w:r>
      <m:oMath>
        <m:acc>
          <m:accPr>
            <m:chr m:val="̃"/>
          </m:accPr>
          <m:e>
            <m:r>
              <m:rPr>
                <m:sty m:val="p"/>
              </m:rPr>
              <m:t>T</m:t>
            </m:r>
            <m:r>
              <m:rPr>
                <m:sty m:val="p"/>
              </m:rPr>
              <m:t>C</m:t>
            </m:r>
            <m:r>
              <m:rPr>
                <m:sty m:val="p"/>
              </m:rPr>
              <m:t>I</m:t>
            </m:r>
          </m:e>
        </m:acc>
      </m:oMath>
      <w:r>
        <w:t xml:space="preserve">) is interpreted narrowly as a foreign-technology and standards capability measure, 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w:t>
      </w:r>
      <m:oMath>
        <m:acc>
          <m:accPr>
            <m:chr m:val="̃"/>
          </m:accPr>
          <m:e>
            <m:r>
              <m:rPr>
                <m:sty m:val="p"/>
              </m:rPr>
              <m:t>D</m:t>
            </m:r>
            <m:r>
              <m:rPr>
                <m:sty m:val="p"/>
              </m:rPr>
              <m:t>A</m:t>
            </m:r>
            <m:r>
              <m:rPr>
                <m:sty m:val="p"/>
              </m:rPr>
              <m:t>I</m:t>
            </m:r>
          </m:e>
        </m:acc>
      </m:oMath>
      <w:r>
        <w:t xml:space="preserve">)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 so that the reported coefficients are comparable in standard-deviation units; the tilde notation</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marks the standardised variant used throughout the empirical specifications.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w:t>
      </w:r>
      <w:r>
        <w:t xml:space="preserve"> </w:t>
      </w:r>
      <w:r>
        <w:t xml:space="preserve">annual sales and l1 is permanent full-time employees. Internationalisation is FSTS = d3c / 100,</w:t>
      </w:r>
    </w:p>
    <w:p>
      <w:pPr>
        <w:pStyle w:val="BodyText"/>
      </w:pPr>
      <w:r>
        <w:t xml:space="preserve">mean-centred within wave (</w:t>
      </w:r>
      <m:oMath>
        <m:sSup>
          <m:e>
            <m:r>
              <m:rPr>
                <m:sty m:val="p"/>
              </m:rPr>
              <m:t>F</m:t>
            </m:r>
            <m:r>
              <m:rPr>
                <m:sty m:val="p"/>
              </m:rPr>
              <m:t>S</m:t>
            </m:r>
            <m:r>
              <m:rPr>
                <m:sty m:val="p"/>
              </m:rPr>
              <m:t>T</m:t>
            </m:r>
            <m:r>
              <m:rPr>
                <m:sty m:val="p"/>
              </m:rPr>
              <m:t>S</m:t>
            </m:r>
          </m:e>
          <m:sup>
            <m:r>
              <m:t>c</m:t>
            </m:r>
          </m:sup>
        </m:sSup>
      </m:oMath>
      <w:r>
        <w:t xml:space="preserve">) and squared (</w:t>
      </w:r>
      <m:oMath>
        <m:sSup>
          <m:e>
            <m:r>
              <m:rPr>
                <m:sty m:val="p"/>
              </m:rPr>
              <m:t>F</m:t>
            </m:r>
            <m:r>
              <m:rPr>
                <m:sty m:val="p"/>
              </m:rPr>
              <m:t>S</m:t>
            </m:r>
            <m:r>
              <m:rPr>
                <m:sty m:val="p"/>
              </m:rPr>
              <m:t>T</m:t>
            </m:r>
            <m:r>
              <m:rPr>
                <m:sty m:val="p"/>
              </m:rPr>
              <m:t>S</m:t>
            </m:r>
          </m:e>
          <m:sup>
            <m:r>
              <m:t>c</m:t>
            </m:r>
          </m:sup>
        </m:sSup>
      </m:oMath>
      <w:r>
        <w:t xml:space="preserve"> </w:t>
      </w:r>
      <w:r>
        <w:t xml:space="preserve">). The primary Technological Capability Index (</w:t>
      </w:r>
      <m:oMath>
        <m:acc>
          <m:accPr>
            <m:chr m:val="̃"/>
          </m:accPr>
          <m:e>
            <m:r>
              <m:rPr>
                <m:sty m:val="p"/>
              </m:rPr>
              <m:t>T</m:t>
            </m:r>
            <m:r>
              <m:rPr>
                <m:sty m:val="p"/>
              </m:rPr>
              <m:t>C</m:t>
            </m:r>
            <m:r>
              <m:rPr>
                <m:sty m:val="p"/>
              </m:rPr>
              <m:t>I</m:t>
            </m:r>
          </m:e>
        </m:acc>
      </m:oMath>
      <w:r>
        <w:t xml:space="preserve">)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w:t>
      </w:r>
      <m:oMath>
        <m:acc>
          <m:accPr>
            <m:chr m:val="̃"/>
          </m:accPr>
          <m:e>
            <m:r>
              <m:rPr>
                <m:sty m:val="p"/>
              </m:rPr>
              <m:t>D</m:t>
            </m:r>
            <m:r>
              <m:rPr>
                <m:sty m:val="p"/>
              </m:rPr>
              <m:t>A</m:t>
            </m:r>
            <m:r>
              <m:rPr>
                <m:sty m:val="p"/>
              </m:rPr>
              <m:t>I</m:t>
            </m:r>
          </m:e>
        </m:acc>
      </m:oMath>
      <w:r>
        <w:t xml:space="preserve">) is the within-wave standardised</w:t>
      </w:r>
    </w:p>
    <w:p>
      <w:pPr>
        <w:pStyle w:val="BodyText"/>
      </w:pPr>
      <w:r>
        <w:t xml:space="preserve">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w:t>
      </w:r>
      <w:r>
        <w:t xml:space="preserve"> </w:t>
      </w:r>
      <m:oMath>
        <m:acc>
          <m:accPr>
            <m:chr m:val="̃"/>
          </m:accPr>
          <m:e>
            <m:r>
              <m:rPr>
                <m:sty m:val="p"/>
              </m:rPr>
              <m:t>D</m:t>
            </m:r>
            <m:r>
              <m:rPr>
                <m:sty m:val="p"/>
              </m:rPr>
              <m:t>A</m:t>
            </m:r>
            <m:r>
              <m:rPr>
                <m:sty m:val="p"/>
              </m:rPr>
              <m:t>I</m:t>
            </m:r>
          </m:e>
        </m:acc>
      </m:oMath>
      <w:r>
        <w:t xml:space="preserve"> </w:t>
      </w:r>
      <w:r>
        <w:t xml:space="preserve">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m:oMath>
        <m:sSub>
          <m:e>
            <m:r>
              <m:rPr>
                <m:sty m:val="p"/>
              </m:rPr>
              <m:t>T</m:t>
            </m:r>
            <m:r>
              <m:rPr>
                <m:sty m:val="p"/>
              </m:rPr>
              <m:t>C</m:t>
            </m:r>
            <m:r>
              <m:rPr>
                <m:sty m:val="p"/>
              </m:rPr>
              <m:t>I</m:t>
            </m:r>
          </m:e>
          <m:sub>
            <m:r>
              <m:rPr>
                <m:nor/>
                <m:sty m:val="p"/>
              </m:rPr>
              <m:t>full</m:t>
            </m:r>
          </m:sub>
        </m:sSub>
      </m:oMath>
      <w:r>
        <w:t xml:space="preserve"> </w:t>
      </w:r>
      <w:r>
        <w:t xml:space="preserve">adds h1 (introduced new or significantly improved product) and h8 (R&amp;D expenditure</w:t>
      </w:r>
      <w:r>
        <w:t xml:space="preserve"> </w:t>
      </w:r>
      <w:r>
        <w:t xml:space="preserve">indicator) to the TCI items in 2015 and 2023, where h1 and h8 are present.</w:t>
      </w:r>
      <w:r>
        <w:t xml:space="preserve"> </w:t>
      </w:r>
      <m:oMath>
        <m:sSub>
          <m:e>
            <m:r>
              <m:rPr>
                <m:sty m:val="p"/>
              </m:rPr>
              <m:t>D</m:t>
            </m:r>
            <m:r>
              <m:rPr>
                <m:sty m:val="p"/>
              </m:rPr>
              <m:t>A</m:t>
            </m:r>
            <m:r>
              <m:rPr>
                <m:sty m:val="p"/>
              </m:rPr>
              <m:t>I</m:t>
            </m:r>
          </m:e>
          <m:sub>
            <m:r>
              <m:rPr>
                <m:nor/>
                <m:sty m:val="p"/>
              </m:rPr>
              <m:t>rich</m:t>
            </m:r>
          </m:sub>
        </m:sSub>
      </m:oMath>
      <w:r>
        <w:t xml:space="preserve">,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w:t>
      </w:r>
      <w:r>
        <w:t xml:space="preserve"> </w:t>
      </w:r>
      <m:oMath>
        <m:sSub>
          <m:e>
            <m:r>
              <m:rPr>
                <m:sty m:val="p"/>
              </m:rPr>
              <m:t>D</m:t>
            </m:r>
            <m:r>
              <m:rPr>
                <m:sty m:val="p"/>
              </m:rPr>
              <m:t>A</m:t>
            </m:r>
            <m:r>
              <m:rPr>
                <m:sty m:val="p"/>
              </m:rPr>
              <m:t>I</m:t>
            </m:r>
          </m:e>
          <m:sub>
            <m:r>
              <m:rPr>
                <m:nor/>
                <m:sty m:val="p"/>
              </m:rPr>
              <m:t>rich</m:t>
            </m:r>
          </m:sub>
        </m:sSub>
      </m:oMath>
      <w:r>
        <w:t xml:space="preserve"> </w:t>
      </w:r>
      <w:r>
        <w:t xml:space="preserve">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comparability note.</w:t>
      </w:r>
      <w:r>
        <w:t xml:space="preserve"> </w:t>
      </w:r>
      <w:r>
        <w:t xml:space="preserve">The</w:t>
      </w:r>
      <w:r>
        <w:t xml:space="preserve"> </w:t>
      </w:r>
      <m:oMath>
        <m:acc>
          <m:accPr>
            <m:chr m:val="̃"/>
          </m:accPr>
          <m:e>
            <m:r>
              <m:rPr>
                <m:sty m:val="p"/>
              </m:rPr>
              <m:t>D</m:t>
            </m:r>
            <m:r>
              <m:rPr>
                <m:sty m:val="p"/>
              </m:rPr>
              <m:t>A</m:t>
            </m:r>
            <m:r>
              <m:rPr>
                <m:sty m:val="p"/>
              </m:rPr>
              <m:t>I</m:t>
            </m:r>
          </m:e>
        </m:acc>
      </m:oMath>
      <w:r>
        <w:t xml:space="preserve"> </w:t>
      </w:r>
      <w:r>
        <w:t xml:space="preserve">construct in this paper is a Tier 1-only indicator (website binary c22b). A richer Tier 1+2 composite, combining website presence with electronic payment intensity (k33/k38), would in principle capture transaction-enabling mechanisms that scale with cross-border coordination demands, but k33 and k38 are unavailable in the 2009 and 2015 waves of WBES Vietnam, precluding a cross-wave Tier 1+2 specification. The negative Tier 1-only interaction documented here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is therefore interpreted as construct-tier obsolescence: Tier 1 website presence has become a minimum-threshold credential in Vietnam's maturing digital environment and no longer differentiates firms' cross-border coordination capacity at high export intensity. The</w:t>
      </w:r>
      <w:r>
        <w:t xml:space="preserve"> </w:t>
      </w:r>
      <m:oMath>
        <m:sSub>
          <m:e>
            <m:r>
              <m:rPr>
                <m:sty m:val="p"/>
              </m:rPr>
              <m:t>D</m:t>
            </m:r>
            <m:r>
              <m:rPr>
                <m:sty m:val="p"/>
              </m:rPr>
              <m:t>A</m:t>
            </m:r>
            <m:r>
              <m:rPr>
                <m:sty m:val="p"/>
              </m:rPr>
              <m:t>I</m:t>
            </m:r>
          </m:e>
          <m:sub>
            <m:r>
              <m:rPr>
                <m:nor/>
                <m:sty m:val="p"/>
              </m:rPr>
              <m:t>rich</m:t>
            </m:r>
          </m:sub>
        </m:sSub>
      </m:oMath>
      <w:r>
        <w:t xml:space="preserve"> </w:t>
      </w:r>
      <w:r>
        <w:t xml:space="preserve">robustness composite available in the 2023 wave partially bridges this gap for within-wave sensitivity analysis, but cross-wave comparability limits its use as the primary measure.</w:t>
      </w:r>
    </w:p>
    <w:p>
      <w:pPr>
        <w:pStyle w:val="BodyText"/>
      </w:pPr>
      <w:r>
        <w:t xml:space="preserve">Controls are standard. Firm size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ln(l1). Firm age FirmAge = survey year minus</w:t>
      </w:r>
      <w:r>
        <w:t xml:space="preserve"> </w:t>
      </w:r>
      <w:r>
        <w:t xml:space="preserve">b5 (year established). Foreign ownership ForeignOwned = 1 if b2b (percentage of equity owned</w:t>
      </w:r>
      <w:r>
        <w:t xml:space="preserve"> </w:t>
      </w:r>
      <w:r>
        <w:t xml:space="preserve">by private foreign individuals or firms) &gt; 0. Sector fixed effects use the first digit of a4b (broad</w:t>
      </w:r>
      <w:r>
        <w:t xml:space="preserve"> </w:t>
      </w:r>
      <w:r>
        <w:t xml:space="preserve">ISIC code) for the 2009 and 2015 waves and the first digit of a4a for the 2023 wave, where a4b</w:t>
      </w:r>
      <w:r>
        <w:t xml:space="preserve"> </w:t>
      </w:r>
      <w:r>
        <w:t xml:space="preserve">is not in the public release. Pooled specifications add wave fixed effects to absorb broad period</w:t>
      </w:r>
      <w:r>
        <w:t xml:space="preserve"> </w:t>
      </w:r>
      <w:r>
        <w:t xml:space="preserve">differences in the productivity baseline.</w:t>
      </w:r>
      <w:r>
        <w:t xml:space="preserve"> </w:t>
      </w:r>
      <w:r>
        <w:t xml:space="preserve">A note on missing-code handling.</w:t>
      </w:r>
    </w:p>
    <w:p>
      <w:pPr>
        <w:pStyle w:val="BodyText"/>
      </w:pPr>
      <w:r>
        <w:t xml:space="preserve">The WBES instrument codes don't-know and refused</w:t>
      </w:r>
    </w:p>
    <w:p>
      <w:pPr>
        <w:pStyle w:val="BodyText"/>
      </w:pPr>
      <w:r>
        <w:t xml:space="preserve">responses as -9. We treat -9 as missing before any composite is built and apply listwise deletion</w:t>
      </w:r>
      <w:r>
        <w:t xml:space="preserve"> </w:t>
      </w:r>
      <w:r>
        <w:t xml:space="preserve">on the focal variable set (</w:t>
      </w:r>
      <m:oMath>
        <m:r>
          <m:rPr>
            <m:sty m:val="p"/>
          </m:rPr>
          <m:t>ln</m:t>
        </m:r>
        <m:d>
          <m:dPr>
            <m:begChr m:val="("/>
            <m:endChr m:val=")"/>
            <m:sepChr m:val=""/>
            <m:grow/>
          </m:dPr>
          <m:e>
            <m:r>
              <m:rPr>
                <m:sty m:val="p"/>
              </m:rPr>
              <m:t>L</m:t>
            </m:r>
            <m:r>
              <m:rPr>
                <m:sty m:val="p"/>
              </m:rPr>
              <m:t>P</m:t>
            </m:r>
          </m:e>
        </m:d>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FSTS,</w:t>
      </w:r>
      <w:r>
        <w:t xml:space="preserve"> </w:t>
      </w:r>
      <m:oMath>
        <m:sSub>
          <m:e>
            <m:r>
              <m:rPr>
                <m:sty m:val="p"/>
              </m:rPr>
              <m:t>T</m:t>
            </m:r>
            <m:r>
              <m:rPr>
                <m:sty m:val="p"/>
              </m:rPr>
              <m:t>C</m:t>
            </m:r>
            <m:r>
              <m:rPr>
                <m:sty m:val="p"/>
              </m:rPr>
              <m:t>I</m:t>
            </m:r>
          </m:e>
          <m:sub>
            <m:r>
              <m:rPr>
                <m:nor/>
                <m:sty m:val="p"/>
              </m:rPr>
              <m:t>thin</m:t>
            </m:r>
          </m:sub>
        </m:sSub>
      </m:oMath>
      <w:r>
        <w:t xml:space="preserve">,</w:t>
      </w:r>
      <w:r>
        <w:t xml:space="preserve"> </w:t>
      </w:r>
      <m:oMath>
        <m:sSub>
          <m:e>
            <m:r>
              <m:rPr>
                <m:sty m:val="p"/>
              </m:rPr>
              <m:t>D</m:t>
            </m:r>
            <m:r>
              <m:rPr>
                <m:sty m:val="p"/>
              </m:rPr>
              <m:t>A</m:t>
            </m:r>
            <m:r>
              <m:rPr>
                <m:sty m:val="p"/>
              </m:rPr>
              <m:t>I</m:t>
            </m:r>
          </m:e>
          <m:sub>
            <m:r>
              <m:rPr>
                <m:nor/>
                <m:sty m:val="p"/>
              </m:rPr>
              <m:t>thin</m:t>
            </m:r>
          </m:sub>
        </m:sSub>
      </m:oMath>
      <w:r>
        <w:t xml:space="preserve">,</w:t>
      </w:r>
      <w:r>
        <w:t xml:space="preserve"> </w:t>
      </w:r>
      <w:r>
        <w:t xml:space="preserve">sector1). The resulting analytic samples are 989, 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OLS models estimated with HC1 heteroscedasticity-robust standard errors (MacKinnon &amp; White, 1985). The full specification of interest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e>
            </m:mr>
            <m:mr>
              <m:e/>
              <m:e>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acc>
                          <m:accPr>
                            <m:chr m:val="̃"/>
                          </m:accPr>
                          <m:e>
                            <m:r>
                              <m:rPr>
                                <m:sty m:val="p"/>
                              </m:rPr>
                              <m:t>D</m:t>
                            </m:r>
                            <m:r>
                              <m:rPr>
                                <m:sty m:val="p"/>
                              </m:rPr>
                              <m:t>A</m:t>
                            </m:r>
                            <m:r>
                              <m:rPr>
                                <m:sty m:val="p"/>
                              </m:rPr>
                              <m:t>I</m:t>
                            </m:r>
                          </m:e>
                        </m:acc>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acc>
                          <m:accPr>
                            <m:chr m:val="̃"/>
                          </m:accPr>
                          <m:e>
                            <m:r>
                              <m:rPr>
                                <m:sty m:val="p"/>
                              </m:rPr>
                              <m:t>D</m:t>
                            </m:r>
                            <m:r>
                              <m:rPr>
                                <m:sty m:val="p"/>
                              </m:rPr>
                              <m:t>A</m:t>
                            </m:r>
                            <m:r>
                              <m:rPr>
                                <m:sty m:val="p"/>
                              </m:rPr>
                              <m:t>I</m:t>
                            </m:r>
                          </m:e>
                        </m:acc>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r>
                  <m:rPr>
                    <m:sty m:val="p"/>
                  </m:rPr>
                  <m:t>,</m:t>
                </m:r>
              </m:e>
            </m:mr>
          </m:m>
        </m:oMath>
      </m:oMathPara>
    </w:p>
    <w:p>
      <w:pPr>
        <w:pStyle w:val="FirstParagraph"/>
      </w:pPr>
      <w:r>
        <w:t xml:space="preserve">where</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is wave-centred export intensity,</w:t>
      </w:r>
      <w:r>
        <w:t xml:space="preserve"> </w:t>
      </w:r>
      <m:oMath>
        <m:sSub>
          <m:e>
            <m:r>
              <m:rPr>
                <m:sty m:val="b"/>
              </m:rPr>
              <m:t>x</m:t>
            </m:r>
          </m:e>
          <m:sub>
            <m:r>
              <m:t>i</m:t>
            </m:r>
          </m:sub>
        </m:sSub>
      </m:oMath>
      <w:r>
        <w:t xml:space="preserve"> </w:t>
      </w:r>
      <w:r>
        <w:t xml:space="preserve">collects firm-level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O</m:t>
            </m:r>
            <m:r>
              <m:rPr>
                <m:sty m:val="p"/>
              </m:rPr>
              <m:t>w</m:t>
            </m:r>
            <m:r>
              <m:rPr>
                <m:sty m:val="p"/>
              </m:rPr>
              <m:t>n</m:t>
            </m:r>
            <m:r>
              <m:rPr>
                <m:sty m:val="p"/>
              </m:rPr>
              <m:t>e</m:t>
            </m:r>
            <m:r>
              <m:rPr>
                <m:sty m:val="p"/>
              </m:rPr>
              <m:t>d</m:t>
            </m:r>
          </m:e>
          <m:sub>
            <m:r>
              <m:t>i</m:t>
            </m:r>
          </m:sub>
        </m:sSub>
        <m:r>
          <m:rPr>
            <m:sty m:val="p"/>
          </m:rPr>
          <m:t>}</m:t>
        </m:r>
      </m:oMath>
      <w:r>
        <w:t xml:space="preserve">,</w:t>
      </w:r>
      <w:r>
        <w:t xml:space="preserve"> </w:t>
      </w:r>
      <m:oMath>
        <m:sSub>
          <m:e>
            <m:r>
              <m:t>δ</m:t>
            </m:r>
          </m:e>
          <m:sub>
            <m:r>
              <m:t>s</m:t>
            </m:r>
          </m:sub>
        </m:sSub>
      </m:oMath>
      <w:r>
        <w:t xml:space="preserve"> </w:t>
      </w:r>
      <w:r>
        <w:t xml:space="preserve">is a one-digit ISIC sector fixed effect, and</w:t>
      </w:r>
      <w:r>
        <w:t xml:space="preserve"> </w:t>
      </w:r>
      <m:oMath>
        <m:sSub>
          <m:e>
            <m:r>
              <m:t>λ</m:t>
            </m:r>
          </m:e>
          <m:sub>
            <m:r>
              <m:t>w</m:t>
            </m:r>
          </m:sub>
        </m:sSub>
      </m:oMath>
      <w:r>
        <w:t xml:space="preserve"> </w:t>
      </w:r>
      <w:r>
        <w:t xml:space="preserve">is a wave fixed effect applied only in the pooled specification. The implied turning point of the inverted-U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when</w:t>
      </w:r>
      <w:r>
        <w:t xml:space="preserve"> </w:t>
      </w:r>
      <m:oMath>
        <m:sSub>
          <m:e>
            <m:acc>
              <m:accPr>
                <m:chr m:val="̂"/>
              </m:accPr>
              <m:e>
                <m:r>
                  <m:t>β</m:t>
                </m:r>
              </m:e>
            </m:acc>
          </m:e>
          <m:sub>
            <m:r>
              <m:t>2</m:t>
            </m:r>
          </m:sub>
        </m:sSub>
        <m:r>
          <m:rPr>
            <m:sty m:val="p"/>
          </m:rPr>
          <m:t>&lt;</m:t>
        </m:r>
        <m:r>
          <m:t>0</m:t>
        </m:r>
      </m:oMath>
      <w:r>
        <w:t xml:space="preserve"> </w:t>
      </w:r>
      <w:r>
        <w:t xml:space="preserve">(Haans, Pieters, &amp; He, 2016).</w:t>
      </w:r>
    </w:p>
    <w:p>
      <w:pPr>
        <w:pStyle w:val="BodyText"/>
      </w:pPr>
      <w:r>
        <w:t xml:space="preserve">Nested specifications are estimated to disentangle direct from contingent associations:</w:t>
      </w:r>
    </w:p>
    <w:p>
      <w:pPr>
        <w:numPr>
          <w:ilvl w:val="0"/>
          <w:numId w:val="1001"/>
        </w:numPr>
        <w:pStyle w:val="Compact"/>
      </w:pPr>
      <w:r>
        <w:rPr>
          <w:bCs/>
          <w:b/>
        </w:rPr>
        <w:t xml:space="preserve">M0</w:t>
      </w:r>
      <w:r>
        <w:t xml:space="preserve"> </w:t>
      </w:r>
      <w:r>
        <w:t xml:space="preserve">(controls only):</w:t>
      </w:r>
      <w:r>
        <w:t xml:space="preserve"> </w:t>
      </w: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oMath>
      <w:r>
        <w:t xml:space="preserve">;</w:t>
      </w:r>
    </w:p>
    <w:p>
      <w:pPr>
        <w:numPr>
          <w:ilvl w:val="0"/>
          <w:numId w:val="1001"/>
        </w:numPr>
        <w:pStyle w:val="Compact"/>
      </w:pPr>
      <w:r>
        <w:rPr>
          <w:bCs/>
          <w:b/>
        </w:rPr>
        <w:t xml:space="preserve">M1</w:t>
      </w:r>
      <w:r>
        <w:t xml:space="preserve"> </w:t>
      </w:r>
      <w:r>
        <w:t xml:space="preserve">(linear FSTS): adds</w:t>
      </w:r>
      <w:r>
        <w:t xml:space="preserve"> </w:t>
      </w:r>
      <m:oMath>
        <m:sSub>
          <m:e>
            <m:r>
              <m:t>β</m:t>
            </m:r>
          </m:e>
          <m:sub>
            <m:r>
              <m:t>1</m:t>
            </m:r>
          </m:sub>
        </m:sSub>
        <m:r>
          <m:t> </m:t>
        </m:r>
        <m:sSubSup>
          <m:e>
            <m:r>
              <m:rPr>
                <m:sty m:val="p"/>
              </m:rPr>
              <m:t>F</m:t>
            </m:r>
            <m:r>
              <m:rPr>
                <m:sty m:val="p"/>
              </m:rPr>
              <m:t>S</m:t>
            </m:r>
            <m:r>
              <m:rPr>
                <m:sty m:val="p"/>
              </m:rPr>
              <m:t>T</m:t>
            </m:r>
            <m:r>
              <m:rPr>
                <m:sty m:val="p"/>
              </m:rPr>
              <m:t>S</m:t>
            </m:r>
          </m:e>
          <m:sub>
            <m:r>
              <m:t>i</m:t>
            </m:r>
          </m:sub>
          <m:sup>
            <m:r>
              <m:t>c</m:t>
            </m:r>
          </m:sup>
        </m:sSubSup>
      </m:oMath>
      <w:r>
        <w:t xml:space="preserve">;</w:t>
      </w:r>
    </w:p>
    <w:p>
      <w:pPr>
        <w:numPr>
          <w:ilvl w:val="0"/>
          <w:numId w:val="1001"/>
        </w:numPr>
        <w:pStyle w:val="Compact"/>
      </w:pPr>
      <w:r>
        <w:rPr>
          <w:bCs/>
          <w:b/>
        </w:rPr>
        <w:t xml:space="preserve">M2</w:t>
      </w:r>
      <w:r>
        <w:t xml:space="preserve"> </w:t>
      </w:r>
      <w:r>
        <w:t xml:space="preserve">(inverted-U): adds</w:t>
      </w:r>
      <w:r>
        <w:t xml:space="preserve"> </w:t>
      </w:r>
      <m:oMath>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oMath>
      <w:r>
        <w:t xml:space="preserve">;</w:t>
      </w:r>
    </w:p>
    <w:p>
      <w:pPr>
        <w:numPr>
          <w:ilvl w:val="0"/>
          <w:numId w:val="1001"/>
        </w:numPr>
        <w:pStyle w:val="Compact"/>
      </w:pPr>
      <w:r>
        <w:rPr>
          <w:bCs/>
          <w:b/>
        </w:rPr>
        <w:t xml:space="preserve">M7</w:t>
      </w:r>
      <w:r>
        <w:t xml:space="preserve"> </w:t>
      </w:r>
      <w:r>
        <w:t xml:space="preserve">(dual-direct capability): M2 plus</w:t>
      </w:r>
      <w:r>
        <w:t xml:space="preserve"> </w:t>
      </w:r>
      <m:oMath>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oMath>
      <w:r>
        <w:t xml:space="preserve">;</w:t>
      </w:r>
    </w:p>
    <w:p>
      <w:pPr>
        <w:numPr>
          <w:ilvl w:val="0"/>
          <w:numId w:val="1001"/>
        </w:numPr>
        <w:pStyle w:val="Compact"/>
      </w:pPr>
      <w:r>
        <w:rPr>
          <w:bCs/>
          <w:b/>
        </w:rPr>
        <w:t xml:space="preserve">M8</w:t>
      </w:r>
      <w:r>
        <w:t xml:space="preserve"> </w:t>
      </w:r>
      <w:r>
        <w:t xml:space="preserve">(full DAI moderation): M7 plus the two DAI interaction terms above.</w:t>
      </w:r>
    </w:p>
    <w:p>
      <w:pPr>
        <w:pStyle w:val="FirstParagraph"/>
      </w:pPr>
      <w:r>
        <w:t xml:space="preserve">Cross-wave coefficient differences are evaluated via the Paternoster et al. (1998)</w:t>
      </w:r>
      <w:r>
        <w:t xml:space="preserve"> </w:t>
      </w:r>
      <m:oMath>
        <m:r>
          <m:t>z</m:t>
        </m:r>
      </m:oMath>
      <w:r>
        <w:t xml:space="preserve">-test,</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oMath>
      <w:r>
        <w:t xml:space="preserve">, with two-sided</w:t>
      </w:r>
      <w:r>
        <w:t xml:space="preserve"> </w:t>
      </w:r>
      <m:oMath>
        <m:r>
          <m:t>p</m:t>
        </m:r>
      </m:oMath>
      <w:r>
        <w:t xml:space="preserve">-values from the standard normal distribution. The Lind and Mehlum (2010)</w:t>
      </w:r>
      <w:r>
        <w:t xml:space="preserve"> </w:t>
      </w:r>
      <m:oMath>
        <m:r>
          <m:t>U</m:t>
        </m:r>
      </m:oMath>
      <w:r>
        <w:t xml:space="preserve">-test is applied on the</w:t>
      </w:r>
      <w:r>
        <w:t xml:space="preserve"> </w:t>
      </w:r>
      <m:oMath>
        <m:d>
          <m:dPr>
            <m:begChr m:val="["/>
            <m:endChr m:val="]"/>
            <m:sepChr m:val=""/>
            <m:grow/>
          </m:dPr>
          <m:e>
            <m:r>
              <m:t>0</m:t>
            </m:r>
            <m:r>
              <m:rPr>
                <m:sty m:val="p"/>
              </m:rPr>
              <m:t>,</m:t>
            </m:r>
            <m:r>
              <m:t>1</m:t>
            </m:r>
          </m:e>
        </m:d>
      </m:oMath>
      <w:r>
        <w:t xml:space="preserve"> </w:t>
      </w:r>
      <w:r>
        <w:t xml:space="preserve">range of FSTS to verify the inverted-U formally.</w:t>
      </w:r>
      <w:r>
        <w:t xml:space="preserve"> </w:t>
      </w:r>
      <w:r>
        <w:t xml:space="preserve">This design separates three analytical questions. First, is the I–P relationship nonlinear? Second, are</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directly associated with performance? Third, does the role of foundational digital adoption become more conditional as export intensity rises? Throughout,</w:t>
      </w:r>
      <w:r>
        <w:t xml:space="preserve"> </w:t>
      </w:r>
      <w:r>
        <w:t xml:space="preserve">results are described as associations rather than effects, consistent with the inferential limits of</w:t>
      </w:r>
      <w:r>
        <w:t xml:space="preserve"> </w:t>
      </w:r>
      <w:r>
        <w:t xml:space="preserve">repeated-cross-section data (Antonakis et al., 2010; Wooldridge, 2010).</w:t>
      </w:r>
    </w:p>
    <w:bookmarkEnd w:id="37"/>
    <w:bookmarkStart w:id="38" w:name="X9c2f12e6692d10d70bc33fdcd8ef5cde146d046"/>
    <w:p>
      <w:pPr>
        <w:pStyle w:val="Heading3"/>
      </w:pPr>
      <w:r>
        <w:t xml:space="preserve">3.4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w:t>
      </w:r>
    </w:p>
    <w:p>
      <w:pPr>
        <w:pStyle w:val="BodyText"/>
      </w:pPr>
      <w:r>
        <w:t xml:space="preserve">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8"/>
    <w:bookmarkEnd w:id="39"/>
    <w:bookmarkStart w:id="61" w:name="X121719332867ee227f0a04b486098cee978c6e6"/>
    <w:p>
      <w:pPr>
        <w:pStyle w:val="Heading2"/>
      </w:pPr>
      <w:r>
        <w:t xml:space="preserve">4. Results</w:t>
      </w:r>
    </w:p>
    <w:p>
      <w:pPr>
        <w:pStyle w:val="FirstParagraph"/>
      </w:pPr>
      <w:r>
        <w:t xml:space="preserve">Table 1 reports analytic-sample summary statistics by wave. Three patterns are worth noting</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0"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w:t>
      </w:r>
      <w:r>
        <w:t xml:space="preserve"> </w:t>
      </w:r>
      <m:oMath>
        <m:acc>
          <m:accPr>
            <m:chr m:val="̃"/>
          </m:accPr>
          <m:e>
            <m:r>
              <m:rPr>
                <m:sty m:val="p"/>
              </m:rPr>
              <m:t>T</m:t>
            </m:r>
            <m:r>
              <m:rPr>
                <m:sty m:val="p"/>
              </m:rPr>
              <m:t>C</m:t>
            </m:r>
            <m:r>
              <m:rPr>
                <m:sty m:val="p"/>
              </m:rPr>
              <m:t>I</m:t>
            </m:r>
          </m:e>
        </m:acc>
      </m:oMath>
      <w:r>
        <w:t xml:space="preserve"> </w:t>
      </w:r>
      <w:r>
        <w:t xml:space="preserve">(β = 0.215, p &lt; .001) and</w:t>
      </w:r>
      <w:r>
        <w:t xml:space="preserve"> </w:t>
      </w:r>
      <m:oMath>
        <m:acc>
          <m:accPr>
            <m:chr m:val="̃"/>
          </m:accPr>
          <m:e>
            <m:r>
              <m:rPr>
                <m:sty m:val="p"/>
              </m:rPr>
              <m:t>D</m:t>
            </m:r>
            <m:r>
              <m:rPr>
                <m:sty m:val="p"/>
              </m:rPr>
              <m:t>A</m:t>
            </m:r>
            <m:r>
              <m:rPr>
                <m:sty m:val="p"/>
              </m:rPr>
              <m:t>I</m:t>
            </m:r>
          </m:e>
        </m:acc>
      </m:oMath>
      <w:r>
        <w:t xml:space="preserve"> </w:t>
      </w:r>
      <w:r>
        <w:t xml:space="preserve">(β = 0.175, p &lt; .001) are</w:t>
      </w:r>
      <w:r>
        <w:t xml:space="preserve"> </w:t>
      </w:r>
      <w:r>
        <w:t xml:space="preserve">positive and highly significant. TCI moderation is statistically distinguishable from zero (M3</w:t>
      </w:r>
      <w:r>
        <w:t xml:space="preserve"> </w:t>
      </w:r>
      <w:r>
        <w:t xml:space="preserve">joint p = .040;</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-0.579, p = .087), but DAI moderation is not (M4 joint</w:t>
      </w:r>
    </w:p>
    <w:p>
      <w:pPr>
        <w:pStyle w:val="BodyText"/>
      </w:pPr>
      <w:r>
        <w:t xml:space="preserve">Table 1: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m:oMath>
              <m:acc>
                <m:accPr>
                  <m:chr m:val="̃"/>
                </m:accPr>
                <m:e>
                  <m:r>
                    <m:rPr>
                      <m:sty m:val="p"/>
                    </m:rPr>
                    <m:t>T</m:t>
                  </m:r>
                  <m:r>
                    <m:rPr>
                      <m:sty m:val="p"/>
                    </m:rPr>
                    <m:t>C</m:t>
                  </m:r>
                  <m:r>
                    <m:rPr>
                      <m:sty m:val="p"/>
                    </m:rPr>
                    <m:t>I</m:t>
                  </m:r>
                </m:e>
              </m:acc>
            </m:oMath>
            <w:r>
              <w:t xml:space="preserve"> </w:t>
            </w:r>
            <w:r>
              <w:t xml:space="preserve">(mean)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m:oMath>
              <m:acc>
                <m:accPr>
                  <m:chr m:val="̃"/>
                </m:accPr>
                <m:e>
                  <m:r>
                    <m:rPr>
                      <m:sty m:val="p"/>
                    </m:rPr>
                    <m:t>D</m:t>
                  </m:r>
                  <m:r>
                    <m:rPr>
                      <m:sty m:val="p"/>
                    </m:rPr>
                    <m:t>A</m:t>
                  </m:r>
                  <m:r>
                    <m:rPr>
                      <m:sty m:val="p"/>
                    </m:rPr>
                    <m:t>I</m:t>
                  </m:r>
                </m:e>
              </m:acc>
            </m:oMath>
            <w:r>
              <w:t xml:space="preserve"> </w:t>
            </w:r>
            <w:r>
              <w:t xml:space="preserve">(mean)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are z-standardized formative composites. FSTS = foreign sales-to-total-sales ratio. Sample sizes: 2009 N=989; 2015 N=956; 2023 N=1,013; pooled N=2,958.</w:t>
      </w:r>
    </w:p>
    <w:p>
      <w:pPr>
        <w:pStyle w:val="BodyText"/>
      </w:pPr>
      <w:r>
        <w:t xml:space="preserve">Table 2: Focal coefficient summary by wave and pooled (M2 inverted-U, M7 dual-direct, M8 with DAI moderation).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rPr>
                <w:bCs/>
                <w:b/>
              </w:rPr>
              <w:t xml:space="preserve">M2. Inverted-U on FSTS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(linear)</w:t>
            </w:r>
          </w:p>
        </w:tc>
        <w:tc>
          <w:tcPr/>
          <w:p>
            <w:pPr>
              <w:pStyle w:val="Compact"/>
              <w:jc w:val="left"/>
            </w:pPr>
            <w:r>
              <w:t xml:space="preserve">+1.045* (p=.015)</w:t>
            </w:r>
          </w:p>
        </w:tc>
        <w:tc>
          <w:tcPr/>
          <w:p>
            <w:pPr>
              <w:pStyle w:val="Compact"/>
              <w:jc w:val="left"/>
            </w:pPr>
            <w:r>
              <w:t xml:space="preserve">+1.159* (p=.029)</w:t>
            </w:r>
          </w:p>
        </w:tc>
        <w:tc>
          <w:tcPr/>
          <w:p>
            <w:pPr>
              <w:pStyle w:val="Compact"/>
              <w:jc w:val="left"/>
            </w:pPr>
            <w:r>
              <w:t xml:space="preserve">+0.962* (p=.039)</w:t>
            </w:r>
          </w:p>
        </w:tc>
        <w:tc>
          <w:tcPr/>
          <w:p>
            <w:pPr>
              <w:pStyle w:val="Compact"/>
              <w:jc w:val="left"/>
            </w:pPr>
            <w:r>
              <w:t xml:space="preserve">+0.984*** (p&lt;.001)</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(quadratic)</w:t>
            </w:r>
          </w:p>
        </w:tc>
        <w:tc>
          <w:tcPr/>
          <w:p>
            <w:pPr>
              <w:pStyle w:val="Compact"/>
              <w:jc w:val="left"/>
            </w:pPr>
            <w:r>
              <w:t xml:space="preserve">-1.823** (p=.005)</w:t>
            </w:r>
          </w:p>
        </w:tc>
        <w:tc>
          <w:tcPr/>
          <w:p>
            <w:pPr>
              <w:pStyle w:val="Compact"/>
              <w:jc w:val="left"/>
            </w:pPr>
            <w:r>
              <w:t xml:space="preserve">-2.115** (p=.004)</w:t>
            </w:r>
          </w:p>
        </w:tc>
        <w:tc>
          <w:tcPr/>
          <w:p>
            <w:pPr>
              <w:pStyle w:val="Compact"/>
              <w:jc w:val="left"/>
            </w:pPr>
            <w:r>
              <w:t xml:space="preserve">-1.686** (p=.008)</w:t>
            </w:r>
          </w:p>
        </w:tc>
        <w:tc>
          <w:tcPr/>
          <w:p>
            <w:pPr>
              <w:pStyle w:val="Compact"/>
              <w:jc w:val="left"/>
            </w:pPr>
            <w:r>
              <w:t xml:space="preserve">-1.909*** (p&lt;.001)</w:t>
            </w:r>
          </w:p>
        </w:tc>
      </w:tr>
      <w:tr>
        <w:tc>
          <w:tcPr/>
          <w:p>
            <w:pPr>
              <w:pStyle w:val="Compact"/>
              <w:jc w:val="left"/>
            </w:pPr>
            <w:r>
              <w:t xml:space="preserve">Lind–Mehlum p</w:t>
            </w:r>
          </w:p>
        </w:tc>
        <w:tc>
          <w:tcPr/>
          <w:p>
            <w:pPr>
              <w:pStyle w:val="Compact"/>
              <w:jc w:val="left"/>
            </w:pPr>
            <w:r>
              <w:t xml:space="preserve">&lt;.05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&lt;.001</w:t>
            </w:r>
          </w:p>
        </w:tc>
      </w:tr>
      <w:tr>
        <w:tc>
          <w:tcPr/>
          <w:p>
            <w:pPr>
              <w:pStyle w:val="Compact"/>
              <w:jc w:val="left"/>
            </w:pPr>
            <w:r>
              <w:t xml:space="preserve">Turning point (FSTS)</w:t>
            </w:r>
          </w:p>
        </w:tc>
        <w:tc>
          <w:tcPr/>
          <w:p>
            <w:pPr>
              <w:pStyle w:val="Compact"/>
              <w:jc w:val="left"/>
            </w:pPr>
            <w:r>
              <w:t xml:space="preserve">0.287</w:t>
            </w:r>
          </w:p>
        </w:tc>
        <w:tc>
          <w:tcPr/>
          <w:p>
            <w:pPr>
              <w:pStyle w:val="Compact"/>
              <w:jc w:val="left"/>
            </w:pPr>
            <w:r>
              <w:t xml:space="preserve">0.274</w:t>
            </w:r>
          </w:p>
        </w:tc>
        <w:tc>
          <w:tcPr/>
          <w:p>
            <w:pPr>
              <w:pStyle w:val="Compact"/>
              <w:jc w:val="left"/>
            </w:pPr>
            <w:r>
              <w:t xml:space="preserve">0.285</w:t>
            </w:r>
          </w:p>
        </w:tc>
        <w:tc>
          <w:tcPr/>
          <w:p>
            <w:pPr>
              <w:pStyle w:val="Compact"/>
              <w:jc w:val="left"/>
            </w:pPr>
            <w:r>
              <w:t xml:space="preserve">0.397</w:t>
            </w:r>
          </w:p>
        </w:tc>
      </w:tr>
      <w:tr>
        <w:tc>
          <w:tcPr/>
          <w:p>
            <w:pPr>
              <w:pStyle w:val="Compact"/>
              <w:jc w:val="left"/>
            </w:pPr>
            <w:r>
              <w:rPr>
                <w:bCs/>
                <w:b/>
              </w:rPr>
              <w:t xml:space="preserve">M7. Dual-direct capability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+0.215*** (p&lt;.001)</w:t>
            </w:r>
          </w:p>
        </w:tc>
        <w:tc>
          <w:tcPr/>
          <w:p>
            <w:pPr>
              <w:pStyle w:val="Compact"/>
              <w:jc w:val="left"/>
            </w:pPr>
            <w:r>
              <w:t xml:space="preserve">+0.128** (p=.010)</w:t>
            </w:r>
          </w:p>
        </w:tc>
        <w:tc>
          <w:tcPr/>
          <w:p>
            <w:pPr>
              <w:pStyle w:val="Compact"/>
              <w:jc w:val="left"/>
            </w:pPr>
            <w:r>
              <w:t xml:space="preserve">+0.123** (p=.006)</w:t>
            </w:r>
          </w:p>
        </w:tc>
        <w:tc>
          <w:tcPr/>
          <w:p>
            <w:pPr>
              <w:pStyle w:val="Compact"/>
              <w:jc w:val="left"/>
            </w:pPr>
            <w:r>
              <w:t xml:space="preserve">+0.179*** (p&lt;.001)</w:t>
            </w:r>
          </w:p>
        </w:tc>
      </w:tr>
      <w:tr>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+0.175*** (p&lt;.001)</w:t>
            </w:r>
          </w:p>
        </w:tc>
        <w:tc>
          <w:tcPr/>
          <w:p>
            <w:pPr>
              <w:pStyle w:val="Compact"/>
              <w:jc w:val="left"/>
            </w:pPr>
            <w:r>
              <w:t xml:space="preserve">-0.044 (p=.377)</w:t>
            </w:r>
          </w:p>
        </w:tc>
        <w:tc>
          <w:tcPr/>
          <w:p>
            <w:pPr>
              <w:pStyle w:val="Compact"/>
              <w:jc w:val="left"/>
            </w:pPr>
            <w:r>
              <w:t xml:space="preserve">+0.095* (p=.038)</w:t>
            </w:r>
          </w:p>
        </w:tc>
        <w:tc>
          <w:tcPr/>
          <w:p>
            <w:pPr>
              <w:pStyle w:val="Compact"/>
              <w:jc w:val="left"/>
            </w:pPr>
            <w:r>
              <w:t xml:space="preserve">+0.078** (p=.004)</w:t>
            </w:r>
          </w:p>
        </w:tc>
      </w:tr>
      <w:tr>
        <w:tc>
          <w:tcPr/>
          <w:p>
            <w:pPr>
              <w:pStyle w:val="Compact"/>
              <w:jc w:val="left"/>
            </w:pPr>
            <w:r>
              <w:rPr>
                <w:bCs/>
                <w:b/>
              </w:rPr>
              <w:t xml:space="preserve">M8. With FSTS × DAI moderation (pooled M8:</w:t>
            </w:r>
            <w:r>
              <w:rPr>
                <w:bCs/>
                <w:b/>
              </w:rPr>
              <w:t xml:space="preserve"> </w:t>
            </w:r>
            <m:oMath>
              <m:sSup>
                <m:e>
                  <m:r>
                    <m:rPr>
                      <m:sty m:val="p"/>
                    </m:rPr>
                    <m:t>F</m:t>
                  </m:r>
                  <m:r>
                    <m:rPr>
                      <m:sty m:val="p"/>
                    </m:rPr>
                    <m:t>S</m:t>
                  </m:r>
                  <m:r>
                    <m:rPr>
                      <m:sty m:val="p"/>
                    </m:rPr>
                    <m:t>T</m:t>
                  </m:r>
                  <m:r>
                    <m:rPr>
                      <m:sty m:val="p"/>
                    </m:rPr>
                    <m:t>S</m:t>
                  </m:r>
                </m:e>
                <m:sup>
                  <m:r>
                    <m:t>c</m:t>
                  </m:r>
                </m:sup>
              </m:sSup>
            </m:oMath>
            <w:r>
              <w:rPr>
                <w:bCs/>
                <w:b/>
              </w:rPr>
              <w:t xml:space="preserve"> </w:t>
            </w:r>
            <w:r>
              <w:rPr>
                <w:bCs/>
                <w:b/>
              </w:rPr>
              <w:t xml:space="preserve">β=0.845, p=.006;</w:t>
            </w:r>
            <w:r>
              <w:rPr>
                <w:bCs/>
                <w:b/>
              </w:rP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rPr>
                <w:bCs/>
                <w:b/>
              </w:rPr>
              <w:t xml:space="preserve"> </w:t>
            </w:r>
            <w:r>
              <w:rPr>
                <w:bCs/>
                <w:b/>
              </w:rPr>
              <w:t xml:space="preserve">β=-1.650, p&lt;.001)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-0.912* (p=.043)</w:t>
            </w:r>
          </w:p>
        </w:tc>
        <w:tc>
          <w:tcPr/>
          <w:p>
            <w:pPr>
              <w:pStyle w:val="Compact"/>
              <w:jc w:val="left"/>
            </w:pPr>
            <w:r>
              <w:t xml:space="preserve">(mixed across waves)</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M8 joint test (curvature + moderation)</w:t>
            </w:r>
          </w:p>
        </w:tc>
        <w:tc>
          <w:tcPr/>
          <w:p>
            <w:pPr>
              <w:pStyle w:val="Compact"/>
              <w:jc w:val="left"/>
            </w:pPr>
            <w:r>
              <w:t xml:space="preserve">p=.700</w:t>
            </w:r>
          </w:p>
        </w:tc>
        <w:tc>
          <w:tcPr/>
          <w:p>
            <w:pPr>
              <w:pStyle w:val="Compact"/>
              <w:jc w:val="left"/>
            </w:pPr>
            <w:r>
              <w:t xml:space="preserve">n.s.</w:t>
            </w:r>
          </w:p>
        </w:tc>
        <w:tc>
          <w:tcPr/>
          <w:p>
            <w:pPr>
              <w:pStyle w:val="Compact"/>
              <w:jc w:val="left"/>
            </w:pPr>
            <w:r>
              <w:t xml:space="preserve">p=.062 †</w:t>
            </w:r>
          </w:p>
        </w:tc>
        <w:tc>
          <w:tcPr/>
          <w:p>
            <w:pPr>
              <w:pStyle w:val="Compact"/>
              <w:jc w:val="left"/>
            </w:pPr>
            <w:r>
              <w:t xml:space="preserve">—</w:t>
            </w:r>
          </w:p>
        </w:tc>
      </w:tr>
    </w:tbl>
    <w:p>
      <w:pPr>
        <w:pStyle w:val="BodyText"/>
      </w:pPr>
      <w:r>
        <w:rPr>
          <w:iCs/>
          <w:i/>
        </w:rPr>
        <w:t xml:space="preserve">Notes.</w:t>
      </w:r>
      <w:r>
        <w:t xml:space="preserve"> </w:t>
      </w:r>
      <w:r>
        <w:t xml:space="preserve">Coefficients from OLS with HC1 heteroscedasticity-robust standard errors. Sector fixed effects and standard firm-level controls (</w:t>
      </w:r>
      <m:oMath>
        <m:r>
          <m:rPr>
            <m:sty m:val="p"/>
          </m:rPr>
          <m:t>ln</m:t>
        </m:r>
        <m:d>
          <m:dPr>
            <m:begChr m:val="("/>
            <m:endChr m:val=")"/>
            <m:sepChr m:val=""/>
            <m:grow/>
          </m:dPr>
          <m:e>
            <m:r>
              <m:rPr>
                <m:sty m:val="p"/>
              </m:rPr>
              <m:t>E</m:t>
            </m:r>
            <m:r>
              <m:rPr>
                <m:sty m:val="p"/>
              </m:rPr>
              <m:t>m</m:t>
            </m:r>
            <m:r>
              <m:rPr>
                <m:sty m:val="p"/>
              </m:rPr>
              <m:t>p</m:t>
            </m:r>
          </m:e>
        </m:d>
      </m:oMath>
      <w:r>
        <w:t xml:space="preserve">, FirmAge, ForeignOwned) included throughout. Significance: *** p &lt; .001; ** p &lt; .01; * p &lt; .05; † p &lt; .10. M2 = quadratic FSTS only; M7 = M2 +</w:t>
      </w:r>
      <w:r>
        <w:t xml:space="preserve"> </w:t>
      </w:r>
      <m:oMath>
        <m:acc>
          <m:accPr>
            <m:chr m:val="̃"/>
          </m:accPr>
          <m:e>
            <m:r>
              <m:rPr>
                <m:sty m:val="p"/>
              </m:rPr>
              <m:t>T</m:t>
            </m:r>
            <m:r>
              <m:rPr>
                <m:sty m:val="p"/>
              </m:rPr>
              <m:t>C</m:t>
            </m:r>
            <m:r>
              <m:rPr>
                <m:sty m:val="p"/>
              </m:rPr>
              <m:t>I</m:t>
            </m:r>
          </m:e>
        </m:acc>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(dual direct); M8 = M7 +</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The 2023 wave is the only one in which the M8 DAI moderation channel is detectable at conventional thresholds, consistent with the Tier 1 proxy-obsolescence interpretation developed in Section 5.</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p>
    <w:p>
      <w:pPr>
        <w:pStyle w:val="BodyText"/>
      </w:pPr>
      <w:r>
        <w:t xml:space="preserve">2 β = -2.115 (p = .004), with Lind–Mehlum p =</w:t>
      </w:r>
    </w:p>
    <w:p>
      <w:pPr>
        <w:pStyle w:val="BodyText"/>
      </w:pPr>
      <m:oMath>
        <m:sSup>
          <m:e>
            <m:r>
              <m:rPr>
                <m:sty m:val="p"/>
              </m:rPr>
              <m:t>F</m:t>
            </m:r>
            <m:r>
              <m:rPr>
                <m:sty m:val="p"/>
              </m:rPr>
              <m:t>S</m:t>
            </m:r>
            <m:r>
              <m:rPr>
                <m:sty m:val="p"/>
              </m:rPr>
              <m:t>T</m:t>
            </m:r>
            <m:r>
              <m:rPr>
                <m:sty m:val="p"/>
              </m:rPr>
              <m:t>S</m:t>
            </m:r>
          </m:e>
          <m:sup>
            <m:r>
              <m:t>c</m:t>
            </m:r>
          </m:sup>
        </m:sSup>
      </m:oMath>
      <w:r>
        <w:t xml:space="preserve"> </w:t>
      </w:r>
      <w:r>
        <w:t xml:space="preserve">β = 1.159 (p = .029) and</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.009.</w:t>
      </w:r>
      <w:r>
        <w:t xml:space="preserve"> </w:t>
      </w:r>
      <m:oMath>
        <m:acc>
          <m:accPr>
            <m:chr m:val="̃"/>
          </m:accPr>
          <m:e>
            <m:r>
              <m:rPr>
                <m:sty m:val="p"/>
              </m:rPr>
              <m:t>T</m:t>
            </m:r>
            <m:r>
              <m:rPr>
                <m:sty m:val="p"/>
              </m:rPr>
              <m:t>C</m:t>
            </m:r>
            <m:r>
              <m:rPr>
                <m:sty m:val="p"/>
              </m:rPr>
              <m:t>I</m:t>
            </m:r>
          </m:e>
        </m:acc>
      </m:oMath>
      <w:r>
        <w:t xml:space="preserve"> </w:t>
      </w:r>
      <w:r>
        <w:t xml:space="preserve">retains a positive direct association (β = 0.128, p = .010) but at roughly 60 per</w:t>
      </w:r>
      <w:r>
        <w:t xml:space="preserve"> </w:t>
      </w:r>
      <w:r>
        <w:t xml:space="preserve">cent of the 2009 magnitude.</w:t>
      </w:r>
      <w:r>
        <w:t xml:space="preserve"> </w:t>
      </w:r>
      <m:oMath>
        <m:acc>
          <m:accPr>
            <m:chr m:val="̃"/>
          </m:accPr>
          <m:e>
            <m:r>
              <m:rPr>
                <m:sty m:val="p"/>
              </m:rPr>
              <m:t>D</m:t>
            </m:r>
            <m:r>
              <m:rPr>
                <m:sty m:val="p"/>
              </m:rPr>
              <m:t>A</m:t>
            </m:r>
            <m:r>
              <m:rPr>
                <m:sty m:val="p"/>
              </m:rPr>
              <m:t>I</m:t>
            </m:r>
          </m:e>
        </m:acc>
      </m:oMath>
      <w:r>
        <w:t xml:space="preserve"> </w:t>
      </w:r>
      <w:r>
        <w:t xml:space="preserve">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w:t>
      </w:r>
    </w:p>
    <w:p>
      <w:pPr>
        <w:pStyle w:val="BodyText"/>
      </w:pPr>
      <w:r>
        <w:t xml:space="preserve">M2 again</w:t>
      </w:r>
    </w:p>
    <w:p>
      <w:pPr>
        <w:pStyle w:val="BodyText"/>
      </w:pPr>
      <w:r>
        <w:t xml:space="preserve">indicates a clear inverted-U (</w:t>
      </w:r>
      <m:oMath>
        <m:sSup>
          <m:e>
            <m:r>
              <m:rPr>
                <m:sty m:val="p"/>
              </m:rPr>
              <m:t>F</m:t>
            </m:r>
            <m:r>
              <m:rPr>
                <m:sty m:val="p"/>
              </m:rPr>
              <m:t>S</m:t>
            </m:r>
            <m:r>
              <m:rPr>
                <m:sty m:val="p"/>
              </m:rPr>
              <m:t>T</m:t>
            </m:r>
            <m:r>
              <m:rPr>
                <m:sty m:val="p"/>
              </m:rPr>
              <m:t>S</m:t>
            </m:r>
          </m:e>
          <m:sup>
            <m:r>
              <m:t>c</m:t>
            </m:r>
          </m:sup>
        </m:sSup>
      </m:oMath>
      <w:r>
        <w:t xml:space="preserve"> </w:t>
      </w:r>
      <w:r>
        <w:t xml:space="preserve">β = 0.962, p = .039;</w:t>
      </w:r>
      <w:r>
        <w:t xml:space="preserve"> </w:t>
      </w:r>
      <m:oMath>
        <m:sSup>
          <m:e>
            <m:r>
              <m:rPr>
                <m:sty m:val="p"/>
              </m:rPr>
              <m:t>F</m:t>
            </m:r>
            <m:r>
              <m:rPr>
                <m:sty m:val="p"/>
              </m:rPr>
              <m:t>S</m:t>
            </m:r>
            <m:r>
              <m:rPr>
                <m:sty m:val="p"/>
              </m:rPr>
              <m:t>T</m:t>
            </m:r>
            <m:r>
              <m:rPr>
                <m:sty m:val="p"/>
              </m:rPr>
              <m:t>S</m:t>
            </m:r>
          </m:e>
          <m:sup>
            <m:r>
              <m:t>c</m:t>
            </m:r>
          </m:sup>
        </m:sSup>
      </m:oMath>
      <w:r>
        <w:t xml:space="preserve"> </w:t>
      </w:r>
      <w:r>
        <w:t xml:space="preserve">β = -1.686, p = .008;</w:t>
      </w:r>
      <w:r>
        <w:t xml:space="preserve"> </w:t>
      </w:r>
      <w:r>
        <w:t xml:space="preserve">Lind–Mehlum p = .013).</w:t>
      </w:r>
    </w:p>
    <w:p>
      <w:pPr>
        <w:pStyle w:val="BodyText"/>
      </w:pPr>
      <w:r>
        <w:t xml:space="preserve">In the dual-direct M7, both capability dimensions are positive and</w:t>
      </w:r>
    </w:p>
    <w:p>
      <w:pPr>
        <w:pStyle w:val="BodyText"/>
      </w:pPr>
      <w:r>
        <w:t xml:space="preserve">significant (</w:t>
      </w:r>
      <m:oMath>
        <m:acc>
          <m:accPr>
            <m:chr m:val="̃"/>
          </m:accPr>
          <m:e>
            <m:r>
              <m:rPr>
                <m:sty m:val="p"/>
              </m:rPr>
              <m:t>T</m:t>
            </m:r>
            <m:r>
              <m:rPr>
                <m:sty m:val="p"/>
              </m:rPr>
              <m:t>C</m:t>
            </m:r>
            <m:r>
              <m:rPr>
                <m:sty m:val="p"/>
              </m:rPr>
              <m:t>I</m:t>
            </m:r>
          </m:e>
        </m:acc>
      </m:oMath>
      <w:r>
        <w:t xml:space="preserve"> </w:t>
      </w:r>
      <w:r>
        <w:t xml:space="preserve">β = 0.123, p = .006;</w:t>
      </w:r>
      <w:r>
        <w:t xml:space="preserve"> </w:t>
      </w:r>
      <m:oMath>
        <m:acc>
          <m:accPr>
            <m:chr m:val="̃"/>
          </m:accPr>
          <m:e>
            <m:r>
              <m:rPr>
                <m:sty m:val="p"/>
              </m:rPr>
              <m:t>D</m:t>
            </m:r>
            <m:r>
              <m:rPr>
                <m:sty m:val="p"/>
              </m:rPr>
              <m:t>A</m:t>
            </m:r>
            <m:r>
              <m:rPr>
                <m:sty m:val="p"/>
              </m:rPr>
              <m:t>I</m:t>
            </m:r>
          </m:e>
        </m:acc>
      </m:oMath>
      <w:r>
        <w:t xml:space="preserve"> </w:t>
      </w:r>
      <w:r>
        <w:t xml:space="preserve">β = 0.095, p = .038). When the DAI interaction</w:t>
      </w:r>
      <w:r>
        <w:t xml:space="preserve"> </w:t>
      </w:r>
      <w:r>
        <w:t xml:space="preserve">terms are added in M8, the linear interaction is negative and individually significant (</w:t>
      </w:r>
      <m:oMath>
        <m:sSup>
          <m:e>
            <m:r>
              <m:rPr>
                <m:sty m:val="p"/>
              </m:rPr>
              <m:t>F</m:t>
            </m:r>
            <m:r>
              <m:rPr>
                <m:sty m:val="p"/>
              </m:rPr>
              <m:t>S</m:t>
            </m:r>
            <m:r>
              <m:rPr>
                <m:sty m:val="p"/>
              </m:rPr>
              <m:t>T</m:t>
            </m:r>
            <m:r>
              <m:rPr>
                <m:sty m:val="p"/>
              </m:rPr>
              <m:t>S</m:t>
            </m:r>
          </m:e>
          <m:sup>
            <m:r>
              <m:t>c</m:t>
            </m:r>
          </m:sup>
        </m:sSup>
      </m:oMath>
    </w:p>
    <w:p>
      <w:pPr>
        <w:pStyle w:val="BodyText"/>
      </w:pPr>
      <w:r>
        <w:t xml:space="preserve">×</w:t>
      </w:r>
      <w:r>
        <w:t xml:space="preserve"> </w:t>
      </w:r>
      <m:oMath>
        <m:acc>
          <m:accPr>
            <m:chr m:val="̃"/>
          </m:accPr>
          <m:e>
            <m:r>
              <m:rPr>
                <m:sty m:val="p"/>
              </m:rPr>
              <m:t>D</m:t>
            </m:r>
            <m:r>
              <m:rPr>
                <m:sty m:val="p"/>
              </m:rPr>
              <m:t>A</m:t>
            </m:r>
            <m:r>
              <m:rPr>
                <m:sty m:val="p"/>
              </m:rPr>
              <m:t>I</m:t>
            </m:r>
          </m:e>
        </m:acc>
      </m:oMath>
      <w:r>
        <w:t xml:space="preserve"> </w:t>
      </w:r>
      <w:r>
        <w:t xml:space="preserve">= -0.912, p = .043), the quadratic interaction is positive and marginal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1.043, p = .099), and the joint test sits at marginal significance (M4 joint p = .102;</w:t>
      </w:r>
    </w:p>
    <w:p>
      <w:pPr>
        <w:pStyle w:val="BodyText"/>
      </w:pPr>
      <w:r>
        <w:t xml:space="preserve">M8 joint p = .062). The substantive reading is that, by 2023, basic digital adoption becomes</w:t>
      </w:r>
      <w:r>
        <w:t xml:space="preserve"> </w:t>
      </w:r>
      <w:r>
        <w:t xml:space="preserve">more conditional on export intensity:</w:t>
      </w:r>
    </w:p>
    <w:p>
      <w:pPr>
        <w:pStyle w:val="BodyText"/>
      </w:pPr>
      <w:r>
        <w:t xml:space="preserve">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near-universal levels (49.8% in 2023 vs 42.5% in 2009). Future analyses using the</w:t>
      </w:r>
      <w:r>
        <w:t xml:space="preserve"> </w:t>
      </w:r>
      <m:oMath>
        <m:sSub>
          <m:e>
            <m:r>
              <m:rPr>
                <m:sty m:val="p"/>
              </m:rPr>
              <m:t>D</m:t>
            </m:r>
            <m:r>
              <m:rPr>
                <m:sty m:val="p"/>
              </m:rPr>
              <m:t>A</m:t>
            </m:r>
            <m:r>
              <m:rPr>
                <m:sty m:val="p"/>
              </m:rPr>
              <m:t>I</m:t>
            </m:r>
          </m:e>
          <m:sub>
            <m:r>
              <m:rPr>
                <m:nor/>
                <m:sty m:val="p"/>
              </m:rPr>
              <m:t>rich</m:t>
            </m:r>
          </m:sub>
        </m:sSub>
      </m:oMath>
      <w:r>
        <w:t xml:space="preserve"> </w:t>
      </w:r>
      <w:r>
        <w:t xml:space="preserve">composite (Tier 1+2; Panel B, 2023 only) would provide a within-wave test of whether the sign shifts when electronic-payment-intensity items are added to the Vietnamese instrument.</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w:t>
      </w:r>
      <m:oMath>
        <m:acc>
          <m:accPr>
            <m:chr m:val="̃"/>
          </m:accPr>
          <m:e>
            <m:r>
              <m:rPr>
                <m:sty m:val="p"/>
              </m:rPr>
              <m:t>T</m:t>
            </m:r>
            <m:r>
              <m:rPr>
                <m:sty m:val="p"/>
              </m:rPr>
              <m:t>C</m:t>
            </m:r>
            <m:r>
              <m:rPr>
                <m:sty m:val="p"/>
              </m:rPr>
              <m:t>I</m:t>
            </m:r>
          </m:e>
        </m:acc>
      </m:oMath>
      <w:r>
        <w:t xml:space="preserve"> </w:t>
      </w:r>
      <w:r>
        <w:t xml:space="preserve">= 0.215, 0.128,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4.5 confirm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w:t>
      </w:r>
    </w:p>
    <w:p>
      <w:pPr>
        <w:pStyle w:val="BodyText"/>
      </w:pPr>
      <w:r>
        <w:t xml:space="preserve">2 = -2.115, p = .004 in M2) but the digital channel</w:t>
      </w:r>
    </w:p>
    <w:p>
      <w:pPr>
        <w:pStyle w:val="BodyText"/>
      </w:pPr>
      <w:r>
        <w:t xml:space="preserve">I–P curvature is unusually sharp (</w:t>
      </w:r>
      <m:oMath>
        <m:sSup>
          <m:e>
            <m:r>
              <m:rPr>
                <m:sty m:val="p"/>
              </m:rPr>
              <m:t>F</m:t>
            </m:r>
            <m:r>
              <m:rPr>
                <m:sty m:val="p"/>
              </m:rPr>
              <m:t>S</m:t>
            </m:r>
            <m:r>
              <m:rPr>
                <m:sty m:val="p"/>
              </m:rPr>
              <m:t>T</m:t>
            </m:r>
            <m:r>
              <m:rPr>
                <m:sty m:val="p"/>
              </m:rPr>
              <m:t>S</m:t>
            </m:r>
          </m:e>
          <m:sup>
            <m:r>
              <m:t>c</m:t>
            </m:r>
          </m:sup>
        </m:sSup>
      </m:oMath>
      <w:r>
        <w:t xml:space="preserve"> </w:t>
      </w:r>
      <w:r>
        <w:t xml:space="preserve">compresses entirely:</w:t>
      </w:r>
    </w:p>
    <w:p>
      <w:pPr>
        <w:pStyle w:val="BodyText"/>
      </w:pPr>
      <m:oMath>
        <m:acc>
          <m:accPr>
            <m:chr m:val="̃"/>
          </m:accPr>
          <m:e>
            <m:r>
              <m:rPr>
                <m:sty m:val="p"/>
              </m:rPr>
              <m:t>D</m:t>
            </m:r>
            <m:r>
              <m:rPr>
                <m:sty m:val="p"/>
              </m:rPr>
              <m:t>A</m:t>
            </m:r>
            <m:r>
              <m:rPr>
                <m:sty m:val="p"/>
              </m:rPr>
              <m:t>I</m:t>
            </m:r>
          </m:e>
        </m:acc>
      </m:oMath>
      <w:r>
        <w:t xml:space="preserve"> </w:t>
      </w:r>
      <w:r>
        <w:t xml:space="preserve">loses direct salience and shows no joint moderation, suggesting</w:t>
      </w:r>
    </w:p>
    <w:p>
      <w:pPr>
        <w:pStyle w:val="BodyText"/>
      </w:pPr>
      <w:r>
        <w:t xml:space="preserve">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interaction shows that this conditional channel binds primarily at</w:t>
      </w:r>
      <w:r>
        <w:t xml:space="preserve"> </w:t>
      </w:r>
      <w:r>
        <w:t xml:space="preserve">higher export intensity rather than uniformly across the export-intensity range.</w:t>
      </w:r>
    </w:p>
    <w:bookmarkEnd w:id="40"/>
    <w:bookmarkStart w:id="53" w:name="Xaa4851a9c1b3e08eeca0ab72ae930e2b05bff75"/>
    <w:p>
      <w:pPr>
        <w:pStyle w:val="Heading3"/>
      </w:pPr>
      <w:r>
        <w:t xml:space="preserve">4.2 Pooled findings</w:t>
      </w:r>
    </w:p>
    <w:p>
      <w:pPr>
        <w:pStyle w:val="FirstParagraph"/>
      </w:pPr>
      <w:r>
        <w:t xml:space="preserve">The pooled estimates confirm that the internationalisation–performance relationship is nonlinear</w:t>
      </w:r>
      <w:r>
        <w:t xml:space="preserve"> </w:t>
      </w:r>
      <w:r>
        <w:t xml:space="preserve">on average. In the pooled M2 specification, the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is positive (β = 0.984, p</w:t>
      </w:r>
    </w:p>
    <w:p>
      <w:pPr>
        <w:pStyle w:val="BodyText"/>
      </w:pPr>
      <w:r>
        <w:t xml:space="preserve">2 term is negative (β = -1.909, p &lt; .001); the Lind–Mehlum</w:t>
      </w:r>
    </w:p>
    <w:p>
      <w:pPr>
        <w:pStyle w:val="BodyText"/>
      </w:pPr>
      <w:r>
        <w:t xml:space="preserve">&lt; .001) and the quadratic</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test rejects monotonicity at p &lt; .001 with an estimated turning point at 39.7 per cent of directexport intensity. The curvature persists in the full M8 specification (</w:t>
      </w:r>
      <m:oMath>
        <m:sSup>
          <m:e>
            <m:r>
              <m:rPr>
                <m:sty m:val="p"/>
              </m:rPr>
              <m:t>F</m:t>
            </m:r>
            <m:r>
              <m:rPr>
                <m:sty m:val="p"/>
              </m:rPr>
              <m:t>S</m:t>
            </m:r>
            <m:r>
              <m:rPr>
                <m:sty m:val="p"/>
              </m:rPr>
              <m:t>T</m:t>
            </m:r>
            <m:r>
              <m:rPr>
                <m:sty m:val="p"/>
              </m:rPr>
              <m:t>S</m:t>
            </m:r>
          </m:e>
          <m:sup>
            <m:r>
              <m:t>c</m:t>
            </m:r>
          </m:sup>
        </m:sSup>
      </m:oMath>
      <w:r>
        <w:t xml:space="preserve"> </w:t>
      </w:r>
      <w:r>
        <w:t xml:space="preserve">β = 0.845, p = .006;</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-1.650, p &lt; .001), supporting H1 and aligning with the meta-analytic evidence</w:t>
      </w:r>
    </w:p>
    <w:p>
      <w:pPr>
        <w:pStyle w:val="BodyText"/>
      </w:pPr>
      <w:r>
        <w:t xml:space="preserve">on the nonlinear shape of internationalisation returns in emerging-market firms (Marano et al.,</w:t>
      </w:r>
      <w:r>
        <w:t xml:space="preserve"> </w:t>
      </w:r>
      <w:r>
        <w:t xml:space="preserve">2016).</w:t>
      </w:r>
      <w:r>
        <w:t xml:space="preserve"> </w:t>
      </w:r>
      <w:r>
        <w:t xml:space="preserve">The pooled evidence shows that both technological capability and basic digital adoption are</w:t>
      </w:r>
      <w:r>
        <w:t xml:space="preserve"> </w:t>
      </w:r>
      <w:r>
        <w:t xml:space="preserve">positively associated with firm performance on average. In the pooled M7 dual-direct specification,</w:t>
      </w:r>
      <w:r>
        <w:t xml:space="preserve"> </w:t>
      </w:r>
      <m:oMath>
        <m:acc>
          <m:accPr>
            <m:chr m:val="̃"/>
          </m:accPr>
          <m:e>
            <m:r>
              <m:rPr>
                <m:sty m:val="p"/>
              </m:rPr>
              <m:t>T</m:t>
            </m:r>
            <m:r>
              <m:rPr>
                <m:sty m:val="p"/>
              </m:rPr>
              <m:t>C</m:t>
            </m:r>
            <m:r>
              <m:rPr>
                <m:sty m:val="p"/>
              </m:rPr>
              <m:t>I</m:t>
            </m:r>
          </m:e>
        </m:acc>
      </m:oMath>
      <w:r>
        <w:t xml:space="preserve"> </w:t>
      </w:r>
      <w:r>
        <w:t xml:space="preserve">is positive and highly significant (β = 0.179, p &lt; .001), and</w:t>
      </w:r>
      <w:r>
        <w:t xml:space="preserve"> </w:t>
      </w:r>
      <m:oMath>
        <m:acc>
          <m:accPr>
            <m:chr m:val="̃"/>
          </m:accPr>
          <m:e>
            <m:r>
              <m:rPr>
                <m:sty m:val="p"/>
              </m:rPr>
              <m:t>D</m:t>
            </m:r>
            <m:r>
              <m:rPr>
                <m:sty m:val="p"/>
              </m:rPr>
              <m:t>A</m:t>
            </m:r>
            <m:r>
              <m:rPr>
                <m:sty m:val="p"/>
              </m:rPr>
              <m:t>I</m:t>
            </m:r>
          </m:e>
        </m:acc>
      </m:oMath>
      <w:r>
        <w:t xml:space="preserve"> </w:t>
      </w:r>
      <w:r>
        <w:t xml:space="preserve">is positive</w:t>
      </w:r>
      <w:r>
        <w:t xml:space="preserve"> </w:t>
      </w:r>
      <w:r>
        <w:t xml:space="preserve">and significant (β = 0.078, p = .004).</w:t>
      </w:r>
    </w:p>
    <w:p>
      <w:pPr>
        <w:pStyle w:val="BodyText"/>
      </w:pPr>
      <w:r>
        <w:t xml:space="preserve">In the full M8 specification, the</w:t>
      </w:r>
      <w:r>
        <w:t xml:space="preserve"> </w:t>
      </w:r>
      <m:oMath>
        <m:acc>
          <m:accPr>
            <m:chr m:val="̃"/>
          </m:accPr>
          <m:e>
            <m:r>
              <m:rPr>
                <m:sty m:val="p"/>
              </m:rPr>
              <m:t>T</m:t>
            </m:r>
            <m:r>
              <m:rPr>
                <m:sty m:val="p"/>
              </m:rPr>
              <m:t>C</m:t>
            </m:r>
            <m:r>
              <m:rPr>
                <m:sty m:val="p"/>
              </m:rPr>
              <m:t>I</m:t>
            </m:r>
          </m:e>
        </m:acc>
      </m:oMath>
      <w:r>
        <w:t xml:space="preserve"> </w:t>
      </w:r>
      <w:r>
        <w:t xml:space="preserve">coefficient is</w:t>
      </w:r>
    </w:p>
    <w:p>
      <w:pPr>
        <w:pStyle w:val="BodyText"/>
      </w:pPr>
      <w:r>
        <w:t xml:space="preserve">essentially unchanged (β = 0.184, p &lt; .001), while the</w:t>
      </w:r>
      <w:r>
        <w:t xml:space="preserve"> </w:t>
      </w:r>
      <m:oMath>
        <m:acc>
          <m:accPr>
            <m:chr m:val="̃"/>
          </m:accPr>
          <m:e>
            <m:r>
              <m:rPr>
                <m:sty m:val="p"/>
              </m:rPr>
              <m:t>D</m:t>
            </m:r>
            <m:r>
              <m:rPr>
                <m:sty m:val="p"/>
              </m:rPr>
              <m:t>A</m:t>
            </m:r>
            <m:r>
              <m:rPr>
                <m:sty m:val="p"/>
              </m:rPr>
              <m:t>I</m:t>
            </m:r>
          </m:e>
        </m:acc>
      </m:oMath>
      <w:r>
        <w:t xml:space="preserve"> </w:t>
      </w:r>
      <w:r>
        <w:t xml:space="preserve">direct coefficient becomes statistically indistinguishable from zero (β = 0.032, p = .537) once the interaction terms are entered.</w:t>
      </w:r>
      <w:r>
        <w:t xml:space="preserve"> </w:t>
      </w:r>
      <w:r>
        <w:t xml:space="preserve">This sensitivity is consistent with the interpretation that</w:t>
      </w:r>
      <w:r>
        <w:t xml:space="preserve"> </w:t>
      </w:r>
      <m:oMath>
        <m:acc>
          <m:accPr>
            <m:chr m:val="̃"/>
          </m:accPr>
          <m:e>
            <m:r>
              <m:rPr>
                <m:sty m:val="p"/>
              </m:rPr>
              <m:t>D</m:t>
            </m:r>
            <m:r>
              <m:rPr>
                <m:sty m:val="p"/>
              </m:rPr>
              <m:t>A</m:t>
            </m:r>
            <m:r>
              <m:rPr>
                <m:sty m:val="p"/>
              </m:rPr>
              <m:t>I</m:t>
            </m:r>
          </m:e>
        </m:acc>
      </m:oMath>
      <w:r>
        <w:t xml:space="preserve"> </w:t>
      </w:r>
      <w:r>
        <w:t xml:space="preserve">combines a positive level effect</w:t>
      </w:r>
      <w:r>
        <w:t xml:space="preserve"> </w:t>
      </w:r>
      <w:r>
        <w:t xml:space="preserve">with a negative interaction with</w:t>
      </w:r>
      <w:r>
        <w:t xml:space="preserve"> </w:t>
      </w:r>
      <m:oMath>
        <m:sSup>
          <m:e>
            <m:r>
              <m:rPr>
                <m:sty m:val="p"/>
              </m:rPr>
              <m:t>F</m:t>
            </m:r>
            <m:r>
              <m:rPr>
                <m:sty m:val="p"/>
              </m:rPr>
              <m:t>S</m:t>
            </m:r>
            <m:r>
              <m:rPr>
                <m:sty m:val="p"/>
              </m:rPr>
              <m:t>T</m:t>
            </m:r>
            <m:r>
              <m:rPr>
                <m:sty m:val="p"/>
              </m:rPr>
              <m:t>S</m:t>
            </m:r>
          </m:e>
          <m:sup>
            <m:r>
              <m:t>c</m:t>
            </m:r>
          </m:sup>
        </m:sSup>
      </m:oMath>
      <w:r>
        <w:t xml:space="preserve"> </w:t>
      </w:r>
      <w:r>
        <w:t xml:space="preserve">at higher export intensities, precisely the pattern</w:t>
      </w:r>
    </w:p>
    <w:p>
      <w:pPr>
        <w:pStyle w:val="BodyText"/>
      </w:pPr>
      <w:r>
        <w:t xml:space="preserve">documented in 4.1 for the 2023 wave.</w:t>
      </w:r>
      <w:r>
        <w:t xml:space="preserve"> </w:t>
      </w:r>
      <w:r>
        <w:t xml:space="preserve">The pooled interaction terms involving</w:t>
      </w:r>
      <w:r>
        <w:t xml:space="preserve"> </w:t>
      </w:r>
      <m:oMath>
        <m:acc>
          <m:accPr>
            <m:chr m:val="̃"/>
          </m:accPr>
          <m:e>
            <m:r>
              <m:rPr>
                <m:sty m:val="p"/>
              </m:rPr>
              <m:t>D</m:t>
            </m:r>
            <m:r>
              <m:rPr>
                <m:sty m:val="p"/>
              </m:rPr>
              <m:t>A</m:t>
            </m:r>
            <m:r>
              <m:rPr>
                <m:sty m:val="p"/>
              </m:rPr>
              <m:t>I</m:t>
            </m:r>
          </m:e>
        </m:acc>
      </m:oMath>
      <w:r>
        <w:t xml:space="preserve"> </w:t>
      </w:r>
      <w:r>
        <w:t xml:space="preserve">carry a marginal joint signal.</w:t>
      </w:r>
    </w:p>
    <w:p>
      <w:pPr>
        <w:pStyle w:val="BodyText"/>
      </w:pPr>
      <w:r>
        <w:t xml:space="preserve">The linear</w:t>
      </w:r>
    </w:p>
    <w:p>
      <w:pPr>
        <w:pStyle w:val="BodyText"/>
      </w:pPr>
      <w:r>
        <w:t xml:space="preserve">interaction is negative but not individually significant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-0.448, p = .116),</w:t>
      </w:r>
      <w:r>
        <w:t xml:space="preserve"> </w:t>
      </w:r>
      <w:r>
        <w:t xml:space="preserve">and the quadratic interaction is positive but not significant (</w:t>
      </w:r>
      <m:oMath>
        <m:sSup>
          <m:e>
            <m:r>
              <m:rPr>
                <m:sty m:val="p"/>
              </m:rPr>
              <m:t>F</m:t>
            </m:r>
            <m:r>
              <m:rPr>
                <m:sty m:val="p"/>
              </m:rPr>
              <m:t>S</m:t>
            </m:r>
            <m:r>
              <m:rPr>
                <m:sty m:val="p"/>
              </m:rPr>
              <m:t>T</m:t>
            </m:r>
            <m:r>
              <m:rPr>
                <m:sty m:val="p"/>
              </m:rPr>
              <m:t>S</m:t>
            </m:r>
          </m:e>
          <m:sup>
            <m:r>
              <m:t>c</m:t>
            </m:r>
          </m:sup>
        </m:sSup>
      </m:oMath>
    </w:p>
    <w:p>
      <w:pPr>
        <w:pStyle w:val="BodyText"/>
      </w:pPr>
      <w:r>
        <w:t xml:space="preserve">2 ×</w:t>
      </w:r>
      <w:r>
        <w:t xml:space="preserve"> </w:t>
      </w:r>
      <m:oMath>
        <m:acc>
          <m:accPr>
            <m:chr m:val="̃"/>
          </m:accPr>
          <m:e>
            <m:r>
              <m:rPr>
                <m:sty m:val="p"/>
              </m:rPr>
              <m:t>D</m:t>
            </m:r>
            <m:r>
              <m:rPr>
                <m:sty m:val="p"/>
              </m:rPr>
              <m:t>A</m:t>
            </m:r>
            <m:r>
              <m:rPr>
                <m:sty m:val="p"/>
              </m:rPr>
              <m:t>I</m:t>
            </m:r>
          </m:e>
        </m:acc>
      </m:oMath>
      <w:r>
        <w:t xml:space="preserve"> </w:t>
      </w:r>
      <w:r>
        <w:t xml:space="preserve">= 0.460, p =</w:t>
      </w:r>
    </w:p>
    <w:p>
      <w:pPr>
        <w:pStyle w:val="BodyText"/>
      </w:pPr>
      <w:r>
        <w:t xml:space="preserve">.276). The joint Wald test sits at marginal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reaches marginal significance only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w:t>
      </w:r>
    </w:p>
    <w:p>
      <w:pPr>
        <w:pStyle w:val="BodyText"/>
      </w:pPr>
      <w:r>
        <w:t xml:space="preserve">The M3</w:t>
      </w:r>
    </w:p>
    <w:p>
      <w:pPr>
        <w:pStyle w:val="BodyText"/>
      </w:pPr>
      <w:r>
        <w:t xml:space="preserve">joint test 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is statistically distinguishable from</w:t>
      </w:r>
      <w:r>
        <w:t xml:space="preserve"> </w:t>
      </w:r>
      <w:r>
        <w:t xml:space="preserve">zero in three of four panels (2009 p = .040, 2023 p = .027, pooled p = .003) and null only in</w:t>
      </w:r>
      <w:r>
        <w:t xml:space="preserve"> </w:t>
      </w:r>
      <w:r>
        <w:t xml:space="preserve">2015 (p = .713). Pooled, the linear interaction is negative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-0.587, p =</w:t>
      </w:r>
      <w:r>
        <w:t xml:space="preserve"> </w:t>
      </w:r>
      <w:r>
        <w:t xml:space="preserve">.003) and the quadratic is positive (</w:t>
      </w:r>
      <m:oMath>
        <m:sSup>
          <m:e>
            <m:r>
              <m:rPr>
                <m:sty m:val="p"/>
              </m:rPr>
              <m:t>F</m:t>
            </m:r>
            <m:r>
              <m:rPr>
                <m:sty m:val="p"/>
              </m:rPr>
              <m:t>S</m:t>
            </m:r>
            <m:r>
              <m:rPr>
                <m:sty m:val="p"/>
              </m:rPr>
              <m:t>T</m:t>
            </m:r>
            <m:r>
              <m:rPr>
                <m:sty m:val="p"/>
              </m:rPr>
              <m:t>S</m:t>
            </m:r>
          </m:e>
          <m:sup>
            <m:r>
              <m:t>c</m:t>
            </m:r>
          </m:sup>
        </m:sSup>
      </m:oMath>
    </w:p>
    <w:p>
      <w:pPr>
        <w:pStyle w:val="BodyText"/>
      </w:pPr>
      <w:r>
        <w:t xml:space="preserve">2 ×</w:t>
      </w:r>
      <w:r>
        <w:t xml:space="preserve"> </w:t>
      </w:r>
      <m:oMath>
        <m:acc>
          <m:accPr>
            <m:chr m:val="̃"/>
          </m:accPr>
          <m:e>
            <m:r>
              <m:rPr>
                <m:sty m:val="p"/>
              </m:rPr>
              <m:t>T</m:t>
            </m:r>
            <m:r>
              <m:rPr>
                <m:sty m:val="p"/>
              </m:rPr>
              <m:t>C</m:t>
            </m:r>
            <m:r>
              <m:rPr>
                <m:sty m:val="p"/>
              </m:rPr>
              <m:t>I</m:t>
            </m:r>
          </m:e>
        </m:acc>
      </m:oMath>
      <w:r>
        <w:t xml:space="preserve"> </w:t>
      </w:r>
      <w:r>
        <w:t xml:space="preserve">=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r>
        <w:t xml:space="preserve"> </w:t>
      </w:r>
      <w:r>
        <w:t xml:space="preserve">shows that this conclusion would be incomplete.</w:t>
      </w:r>
    </w:p>
    <w:p>
      <w:pPr>
        <w:pStyle w:val="BodyText"/>
      </w:pPr>
      <w:r>
        <w:t xml:space="preserve">The wave-specific evidence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4079976"/>
            <wp:effectExtent b="0" l="0" r="0" t="0"/>
            <wp:docPr descr="Figure 2a: Wave 2009: predicted ln(labour productivity) vs FSTS" title="" id="42" name="Picture"/>
            <a:graphic>
              <a:graphicData uri="http://schemas.openxmlformats.org/drawingml/2006/picture">
                <pic:pic>
                  <pic:nvPicPr>
                    <pic:cNvPr descr="figures/p3_vietnam/figure_2a.png" id="43" name="Picture"/>
                    <pic:cNvPicPr>
                      <a:picLocks noChangeArrowheads="1" noChangeAspect="1"/>
                    </pic:cNvPicPr>
                  </pic:nvPicPr>
                  <pic:blipFill>
                    <a:blip r:embed="rId41"/>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4081948"/>
            <wp:effectExtent b="0" l="0" r="0" t="0"/>
            <wp:docPr descr="Figure 2b: Wave 2015: predicted ln(labour productivity) vs FSTS" title="" id="45" name="Picture"/>
            <a:graphic>
              <a:graphicData uri="http://schemas.openxmlformats.org/drawingml/2006/picture">
                <pic:pic>
                  <pic:nvPicPr>
                    <pic:cNvPr descr="figures/p3_vietnam/figure_2b.png" id="46" name="Picture"/>
                    <pic:cNvPicPr>
                      <a:picLocks noChangeArrowheads="1" noChangeAspect="1"/>
                    </pic:cNvPicPr>
                  </pic:nvPicPr>
                  <pic:blipFill>
                    <a:blip r:embed="rId44"/>
                    <a:stretch>
                      <a:fillRect/>
                    </a:stretch>
                  </pic:blipFill>
                  <pic:spPr bwMode="auto">
                    <a:xfrm>
                      <a:off x="0" y="0"/>
                      <a:ext cx="5753100" cy="4081948"/>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4079976"/>
            <wp:effectExtent b="0" l="0" r="0" t="0"/>
            <wp:docPr descr="Figure 2c: Wave 2023: predicted ln(labour productivity) vs FSTS" title="" id="48" name="Picture"/>
            <a:graphic>
              <a:graphicData uri="http://schemas.openxmlformats.org/drawingml/2006/picture">
                <pic:pic>
                  <pic:nvPicPr>
                    <pic:cNvPr descr="figures/p3_vietnam/figure_2c.png" id="49" name="Picture"/>
                    <pic:cNvPicPr>
                      <a:picLocks noChangeArrowheads="1" noChangeAspect="1"/>
                    </pic:cNvPicPr>
                  </pic:nvPicPr>
                  <pic:blipFill>
                    <a:blip r:embed="rId47"/>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4079976"/>
            <wp:effectExtent b="0" l="0" r="0" t="0"/>
            <wp:docPr descr="Figure 2d: Pooled (2009+2015+2023): predicted ln(labour productivity) vs FSTS" title="" id="51" name="Picture"/>
            <a:graphic>
              <a:graphicData uri="http://schemas.openxmlformats.org/drawingml/2006/picture">
                <pic:pic>
                  <pic:nvPicPr>
                    <pic:cNvPr descr="figures/p3_vietnam/figure_2d.png" id="52" name="Picture"/>
                    <pic:cNvPicPr>
                      <a:picLocks noChangeArrowheads="1" noChangeAspect="1"/>
                    </pic:cNvPicPr>
                  </pic:nvPicPr>
                  <pic:blipFill>
                    <a:blip r:embed="rId50"/>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3"/>
    <w:bookmarkStart w:id="57"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Vietnam pooled threshold of 39.7 % (range 39.3–46.2 % across waves) is notably lower than the manufacturing-subsample threshold of 47.8 % reported for Chinese private firms by Author Citation (2026 — JFAR). This gap is consistent with institutional transaction costs binding earlier in Vietnam's lower-income emerging-economy context: Vietnamese exporters approach over-commitment costs at a lower absolute export-intensity level than their Chinese counterparts, where more mature contract-enforcement institutions, larger domestic markets, and more established export-support infrastructure allow firms to sustain higher export intensity before productivity returns diminish. The cross-country threshold difference thus provides within-WBES cross-setting evidence for the institutional-context channel identified in meta-analyses of the I–P relationship (Wu, Fan, &amp; Chen, 2022 — MIR; Marano et al., 2016).</w:t>
      </w:r>
    </w:p>
    <w:p>
      <w:pPr>
        <w:pStyle w:val="BodyText"/>
      </w:pPr>
      <w:r>
        <w:t xml:space="preserve">H2 is supported by the positive</w:t>
      </w:r>
      <w:r>
        <w:t xml:space="preserve"> </w:t>
      </w:r>
      <m:oMath>
        <m:acc>
          <m:accPr>
            <m:chr m:val="̃"/>
          </m:accPr>
          <m:e>
            <m:r>
              <m:rPr>
                <m:sty m:val="p"/>
              </m:rPr>
              <m:t>T</m:t>
            </m:r>
            <m:r>
              <m:rPr>
                <m:sty m:val="p"/>
              </m:rPr>
              <m:t>C</m:t>
            </m:r>
            <m:r>
              <m:rPr>
                <m:sty m:val="p"/>
              </m:rPr>
              <m:t>I</m:t>
            </m:r>
          </m:e>
        </m:acc>
      </m:oMath>
      <w:r>
        <w:t xml:space="preserve"> </w:t>
      </w:r>
      <w:r>
        <w:t xml:space="preserve">direct association in the pooled sample (β = 0.179, p &lt; .001) and in all three wavespecific periods (2009 p &lt; .001; 2015 p = .010; 2023 p = .006), reinforced by statistically distinguishable TCI moderation in three of four panels (M3 joint p = .040,</w:t>
      </w:r>
      <w:r>
        <w:t xml:space="preserve"> </w:t>
      </w:r>
      <w:r>
        <w:t xml:space="preserve">.713, .027 and .003). H3 is supported on average but not uniformly across waves:</w:t>
      </w:r>
      <w:r>
        <w:t xml:space="preserve"> </w:t>
      </w:r>
      <w:r>
        <w:t xml:space="preserve">the pooled M7 estimate of</w:t>
      </w:r>
      <w:r>
        <w:t xml:space="preserve"> </w:t>
      </w:r>
      <m:oMath>
        <m:acc>
          <m:accPr>
            <m:chr m:val="̃"/>
          </m:accPr>
          <m:e>
            <m:r>
              <m:rPr>
                <m:sty m:val="p"/>
              </m:rPr>
              <m:t>D</m:t>
            </m:r>
            <m:r>
              <m:rPr>
                <m:sty m:val="p"/>
              </m:rPr>
              <m:t>A</m:t>
            </m:r>
            <m:r>
              <m:rPr>
                <m:sty m:val="p"/>
              </m:rPr>
              <m:t>I</m:t>
            </m:r>
          </m:e>
        </m:acc>
      </m:oMath>
      <w:r>
        <w:t xml:space="preserve"> </w:t>
      </w:r>
      <w:r>
        <w:t xml:space="preserve">is positive and significant (β = 0.078, p = .004),</w:t>
      </w:r>
      <w:r>
        <w:t xml:space="preserve"> </w:t>
      </w:r>
      <w:r>
        <w:t xml:space="preserve">but</w:t>
      </w:r>
      <w:r>
        <w:t xml:space="preserve"> </w:t>
      </w:r>
      <m:oMath>
        <m:acc>
          <m:accPr>
            <m:chr m:val="̃"/>
          </m:accPr>
          <m:e>
            <m:r>
              <m:rPr>
                <m:sty m:val="p"/>
              </m:rPr>
              <m:t>D</m:t>
            </m:r>
            <m:r>
              <m:rPr>
                <m:sty m:val="p"/>
              </m:rPr>
              <m:t>A</m:t>
            </m:r>
            <m:r>
              <m:rPr>
                <m:sty m:val="p"/>
              </m:rPr>
              <m:t>I</m:t>
            </m:r>
          </m:e>
        </m:acc>
      </m:oMath>
      <w:r>
        <w:t xml:space="preserve"> </w:t>
      </w:r>
      <w:r>
        <w:t xml:space="preserve">varies sharply across waves, strong in 2009 (β = 0.175, p &lt; .001), null</w:t>
      </w:r>
    </w:p>
    <w:p>
      <w:pPr>
        <w:pStyle w:val="BodyText"/>
      </w:pPr>
      <w:r>
        <w:t xml:space="preserve">in 2015 (β = -0.044, p = .377) and re-emerging in 2023 (β = 0.095, p = .038). The</w:t>
      </w:r>
      <w:r>
        <w:t xml:space="preserve"> </w:t>
      </w:r>
      <w:r>
        <w:t xml:space="preserve">Paternoster cross-wave z-tests (4.5, Panel F) confirm that the 2009-to-2015 fall (z</w:t>
      </w:r>
      <w:r>
        <w:t xml:space="preserve"> </w:t>
      </w:r>
      <w:r>
        <w:t xml:space="preserve">= 3.353, p &lt; .001) and the 2015-to-2023 recovery (z = -2.051, p = .040) are both</w:t>
      </w:r>
      <w:r>
        <w:t xml:space="preserve"> </w:t>
      </w:r>
      <w:r>
        <w:t xml:space="preserve">statistically distinguishable shifts.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and</w:t>
      </w:r>
      <w:r>
        <w:t xml:space="preserve"> </w:t>
      </w:r>
      <w:r>
        <w:t xml:space="preserve">the joint test at M4 p = .102, M8 p = .062. The pooled M8 joint test (p = .083)</w:t>
      </w:r>
      <w:r>
        <w:t xml:space="preserve"> </w:t>
      </w:r>
      <w:r>
        <w:t xml:space="preserve">is also at marginal significance,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w:t>
      </w:r>
      <w:r>
        <w:t xml:space="preserve"> </w:t>
      </w:r>
      <m:oMath>
        <m:sSup>
          <m:e>
            <m:r>
              <m:rPr>
                <m:sty m:val="p"/>
              </m:rPr>
              <m:t>F</m:t>
            </m:r>
            <m:r>
              <m:rPr>
                <m:sty m:val="p"/>
              </m:rPr>
              <m:t>S</m:t>
            </m:r>
            <m:r>
              <m:rPr>
                <m:sty m:val="p"/>
              </m:rPr>
              <m:t>T</m:t>
            </m:r>
            <m:r>
              <m:rPr>
                <m:sty m:val="p"/>
              </m:rPr>
              <m:t>S</m:t>
            </m:r>
          </m:e>
          <m:sup>
            <m:r>
              <m:t>2</m:t>
            </m:r>
          </m:sup>
        </m:sSup>
      </m:oMath>
      <w:r>
        <w:t xml:space="preserve"> </w:t>
      </w:r>
      <w:r>
        <w:t xml:space="preserve">× DAI is not): the moderator shifts the position of the turning point but preserves the inverted-U shape. Type II moderation flips the shape of the curve (i.e.,</w:t>
      </w:r>
      <w:r>
        <w:t xml:space="preserve"> </w:t>
      </w:r>
      <m:oMath>
        <m:sSup>
          <m:e>
            <m:r>
              <m:rPr>
                <m:sty m:val="p"/>
              </m:rPr>
              <m:t>F</m:t>
            </m:r>
            <m:r>
              <m:rPr>
                <m:sty m:val="p"/>
              </m:rPr>
              <m:t>S</m:t>
            </m:r>
            <m:r>
              <m:rPr>
                <m:sty m:val="p"/>
              </m:rPr>
              <m:t>T</m:t>
            </m:r>
            <m:r>
              <m:rPr>
                <m:sty m:val="p"/>
              </m:rPr>
              <m:t>S</m:t>
            </m:r>
          </m:e>
          <m:sup>
            <m:r>
              <m:t>2</m:t>
            </m:r>
          </m:sup>
        </m:sSup>
      </m:oMath>
      <w:r>
        <w:t xml:space="preserve"> </w:t>
      </w:r>
      <w:r>
        <w:t xml:space="preserve">× DAI is significant): high versus low moderator values produce qualitatively different functional forms. The 2023 DAI evidence fits Type I: the significant linear interaction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indicates that digital adoption attenuates the positive slope at low export intensity, pulling the turning point inward, while the</w:t>
      </w:r>
      <w:r>
        <w:t xml:space="preserve"> </w:t>
      </w:r>
      <m:oMath>
        <m:sSup>
          <m:e>
            <m:r>
              <m:rPr>
                <m:sty m:val="p"/>
              </m:rPr>
              <m:t>F</m:t>
            </m:r>
            <m:r>
              <m:rPr>
                <m:sty m:val="p"/>
              </m:rPr>
              <m:t>S</m:t>
            </m:r>
            <m:r>
              <m:rPr>
                <m:sty m:val="p"/>
              </m:rPr>
              <m:t>T</m:t>
            </m:r>
            <m:r>
              <m:rPr>
                <m:sty m:val="p"/>
              </m:rPr>
              <m:t>S</m:t>
            </m:r>
          </m:e>
          <m:sup>
            <m:r>
              <m:t>2</m:t>
            </m:r>
          </m:sup>
        </m:sSup>
      </m:oMath>
      <w:r>
        <w:t xml:space="preserve"> </w:t>
      </w:r>
      <w:r>
        <w:t xml:space="preserve">×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612646"/>
            <wp:effectExtent b="0" l="0" r="0" t="0"/>
            <wp:docPr descr="Figure 3: Moderator marginal effects. TCI and DAI interactions with FSTS (Vietnam)" title="" id="55" name="Picture"/>
            <a:graphic>
              <a:graphicData uri="http://schemas.openxmlformats.org/drawingml/2006/picture">
                <pic:pic>
                  <pic:nvPicPr>
                    <pic:cNvPr descr="figures/p3_vietnam/figure_3_moderator_marginals.png" id="56" name="Picture"/>
                    <pic:cNvPicPr>
                      <a:picLocks noChangeArrowheads="1" noChangeAspect="1"/>
                    </pic:cNvPicPr>
                  </pic:nvPicPr>
                  <pic:blipFill>
                    <a:blip r:embed="rId54"/>
                    <a:stretch>
                      <a:fillRect/>
                    </a:stretch>
                  </pic:blipFill>
                  <pic:spPr bwMode="auto">
                    <a:xfrm>
                      <a:off x="0" y="0"/>
                      <a:ext cx="5753100" cy="2612646"/>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on ln(labour productivity) across FSTS levels (M7/M8). TCI shows a stable positive level-shift across waves; DAI moderation is wave-specific, with the 2023 interaction showing attenuation at high FSTS (Type I moderation: slope-flattening, shape preserved).</w:t>
      </w:r>
    </w:p>
    <w:bookmarkEnd w:id="57"/>
    <w:bookmarkStart w:id="58"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is negative (β = -0.861, p &lt; .001) but the quadratic term is not significant (</w:t>
      </w:r>
      <m:oMath>
        <m:sSup>
          <m:e>
            <m:r>
              <m:rPr>
                <m:sty m:val="p"/>
              </m:rPr>
              <m:t>F</m:t>
            </m:r>
            <m:r>
              <m:rPr>
                <m:sty m:val="p"/>
              </m:rPr>
              <m:t>S</m:t>
            </m:r>
            <m:r>
              <m:rPr>
                <m:sty m:val="p"/>
              </m:rPr>
              <m:t>T</m:t>
            </m:r>
            <m:r>
              <m:rPr>
                <m:sty m:val="p"/>
              </m:rPr>
              <m:t>S</m:t>
            </m:r>
          </m:e>
          <m:sup>
            <m:r>
              <m:t>c</m:t>
            </m:r>
          </m:sup>
        </m:sSup>
      </m:oMath>
    </w:p>
    <w:p>
      <w:pPr>
        <w:pStyle w:val="BodyText"/>
      </w:pPr>
      <w:r>
        <w:t xml:space="preserve">2β</w:t>
      </w:r>
    </w:p>
    <w:p>
      <w:pPr>
        <w:pStyle w:val="BodyText"/>
      </w:pP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1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1 summarises the directional interpretation of the focal coefficients from the full specifications by wave and for the pooled sample.</w:t>
      </w:r>
    </w:p>
    <w:bookmarkEnd w:id="58"/>
    <w:bookmarkStart w:id="60"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w:t>
      </w:r>
    </w:p>
    <w:p>
      <w:pPr>
        <w:pStyle w:val="BodyText"/>
      </w:pPr>
      <w:r>
        <w:t xml:space="preserve">To test whether the</w:t>
      </w:r>
    </w:p>
    <w:p>
      <w:pPr>
        <w:pStyle w:val="BodyText"/>
      </w:pPr>
      <w:r>
        <w:t xml:space="preserve">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w:t>
      </w:r>
    </w:p>
    <w:p>
      <w:pPr>
        <w:pStyle w:val="BodyText"/>
      </w:pPr>
      <w:r>
        <w:t xml:space="preserve">manufacturing (</w:t>
      </w:r>
      <m:oMath>
        <m:sSup>
          <m:e>
            <m:r>
              <m:rPr>
                <m:sty m:val="p"/>
              </m:rPr>
              <m:t>F</m:t>
            </m:r>
            <m:r>
              <m:rPr>
                <m:sty m:val="p"/>
              </m:rPr>
              <m:t>S</m:t>
            </m:r>
            <m:r>
              <m:rPr>
                <m:sty m:val="p"/>
              </m:rPr>
              <m:t>T</m:t>
            </m:r>
            <m:r>
              <m:rPr>
                <m:sty m:val="p"/>
              </m:rPr>
              <m:t>S</m:t>
            </m:r>
          </m:e>
          <m:sup>
            <m:r>
              <m:t>c</m:t>
            </m:r>
          </m:sup>
        </m:sSup>
      </m:oMath>
      <w:r>
        <w:t xml:space="preserve"> </w:t>
      </w:r>
      <w:r>
        <w:t xml:space="preserve">β = 0.971, p = .001;</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-1.883, p &lt; .001) than in non-</w:t>
      </w:r>
    </w:p>
    <w:p>
      <w:pPr>
        <w:pStyle w:val="BodyText"/>
      </w:pPr>
      <w:r>
        <w:t xml:space="preserve">manufacturing (</w:t>
      </w:r>
      <m:oMath>
        <m:sSup>
          <m:e>
            <m:r>
              <m:rPr>
                <m:sty m:val="p"/>
              </m:rPr>
              <m:t>F</m:t>
            </m:r>
            <m:r>
              <m:rPr>
                <m:sty m:val="p"/>
              </m:rPr>
              <m:t>S</m:t>
            </m:r>
            <m:r>
              <m:rPr>
                <m:sty m:val="p"/>
              </m:rPr>
              <m:t>T</m:t>
            </m:r>
            <m:r>
              <m:rPr>
                <m:sty m:val="p"/>
              </m:rPr>
              <m:t>S</m:t>
            </m:r>
          </m:e>
          <m:sup>
            <m:r>
              <m:t>c</m:t>
            </m:r>
          </m:sup>
        </m:sSup>
      </m:oMath>
      <w:r>
        <w:t xml:space="preserve"> </w:t>
      </w:r>
      <w:r>
        <w:t xml:space="preserve">β = 1.615, p = .064, marginal;</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-2.479, p = .046).</w:t>
      </w:r>
    </w:p>
    <w:p>
      <w:pPr>
        <w:pStyle w:val="BodyText"/>
      </w:pPr>
      <w:r>
        <w:t xml:space="preserve">More substantively, the capability and digital-adoption channels operate primarily in manufacturing.</w:t>
      </w:r>
    </w:p>
    <w:p>
      <w:pPr>
        <w:pStyle w:val="BodyText"/>
      </w:pPr>
      <w:r>
        <w:t xml:space="preserve">In the M7 dual-direct specification, manufacturing firms display a strong</w:t>
      </w:r>
      <w:r>
        <w:t xml:space="preserve"> </w:t>
      </w:r>
      <m:oMath>
        <m:acc>
          <m:accPr>
            <m:chr m:val="̃"/>
          </m:accPr>
          <m:e>
            <m:r>
              <m:rPr>
                <m:sty m:val="p"/>
              </m:rPr>
              <m:t>T</m:t>
            </m:r>
            <m:r>
              <m:rPr>
                <m:sty m:val="p"/>
              </m:rPr>
              <m:t>C</m:t>
            </m:r>
            <m:r>
              <m:rPr>
                <m:sty m:val="p"/>
              </m:rPr>
              <m:t>I</m:t>
            </m:r>
          </m:e>
        </m:acc>
      </m:oMath>
    </w:p>
    <w:p>
      <w:pPr>
        <w:pStyle w:val="BodyText"/>
      </w:pPr>
      <w:r>
        <w:t xml:space="preserve">direct association (β = 0.223, p &lt; .001) and a positive</w:t>
      </w:r>
      <w:r>
        <w:t xml:space="preserve"> </w:t>
      </w:r>
      <m:oMath>
        <m:acc>
          <m:accPr>
            <m:chr m:val="̃"/>
          </m:accPr>
          <m:e>
            <m:r>
              <m:rPr>
                <m:sty m:val="p"/>
              </m:rPr>
              <m:t>D</m:t>
            </m:r>
            <m:r>
              <m:rPr>
                <m:sty m:val="p"/>
              </m:rPr>
              <m:t>A</m:t>
            </m:r>
            <m:r>
              <m:rPr>
                <m:sty m:val="p"/>
              </m:rPr>
              <m:t>I</m:t>
            </m:r>
          </m:e>
        </m:acc>
      </m:oMath>
      <w:r>
        <w:t xml:space="preserve"> </w:t>
      </w:r>
      <w:r>
        <w:t xml:space="preserve">direct association (β = 0.087,</w:t>
      </w:r>
      <w:r>
        <w:t xml:space="preserve"> </w:t>
      </w:r>
      <w:r>
        <w:t xml:space="preserve">p = .009), while non-manufacturing firms show only a marginal</w:t>
      </w:r>
      <w:r>
        <w:t xml:space="preserve"> </w:t>
      </w:r>
      <m:oMath>
        <m:acc>
          <m:accPr>
            <m:chr m:val="̃"/>
          </m:accPr>
          <m:e>
            <m:r>
              <m:rPr>
                <m:sty m:val="p"/>
              </m:rPr>
              <m:t>T</m:t>
            </m:r>
            <m:r>
              <m:rPr>
                <m:sty m:val="p"/>
              </m:rPr>
              <m:t>C</m:t>
            </m:r>
            <m:r>
              <m:rPr>
                <m:sty m:val="p"/>
              </m:rPr>
              <m:t>I</m:t>
            </m:r>
          </m:e>
        </m:acc>
      </m:oMath>
      <w:r>
        <w:t xml:space="preserve"> </w:t>
      </w:r>
      <w:r>
        <w:t xml:space="preserve">effect (β = 0.090, p =</w:t>
      </w:r>
      <w:r>
        <w:t xml:space="preserve"> </w:t>
      </w:r>
      <w:r>
        <w:t xml:space="preserve">.096) and a null</w:t>
      </w:r>
      <w:r>
        <w:t xml:space="preserve"> </w:t>
      </w:r>
      <m:oMath>
        <m:acc>
          <m:accPr>
            <m:chr m:val="̃"/>
          </m:accPr>
          <m:e>
            <m:r>
              <m:rPr>
                <m:sty m:val="p"/>
              </m:rPr>
              <m:t>D</m:t>
            </m:r>
            <m:r>
              <m:rPr>
                <m:sty m:val="p"/>
              </m:rPr>
              <m:t>A</m:t>
            </m:r>
            <m:r>
              <m:rPr>
                <m:sty m:val="p"/>
              </m:rPr>
              <m:t>I</m:t>
            </m:r>
          </m:e>
        </m:acc>
      </m:oMath>
      <w:r>
        <w:t xml:space="preserve"> </w:t>
      </w:r>
      <w:r>
        <w:t xml:space="preserve">effect (β = 0.068, p = .133). The DAI moderation channel is concentrated in manufacturing (M8 joint p = .103, marginal;</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(β = -0.861, p &lt; .001)</w:t>
      </w:r>
      <w:r>
        <w:t xml:space="preserve"> </w:t>
      </w:r>
      <w:r>
        <w:t xml:space="preserve">but a non-significant quadratic term (</w:t>
      </w:r>
      <m:oMath>
        <m:sSup>
          <m:e>
            <m:r>
              <m:rPr>
                <m:sty m:val="p"/>
              </m:rPr>
              <m:t>F</m:t>
            </m:r>
            <m:r>
              <m:rPr>
                <m:sty m:val="p"/>
              </m:rPr>
              <m:t>S</m:t>
            </m:r>
            <m:r>
              <m:rPr>
                <m:sty m:val="p"/>
              </m:rPr>
              <m:t>T</m:t>
            </m:r>
            <m:r>
              <m:rPr>
                <m:sty m:val="p"/>
              </m:rPr>
              <m:t>S</m:t>
            </m:r>
          </m:e>
          <m:sup>
            <m:r>
              <m:t>c</m:t>
            </m:r>
          </m:sup>
        </m:sSup>
      </m:oMath>
    </w:p>
    <w:p>
      <w:pPr>
        <w:pStyle w:val="BodyText"/>
      </w:pPr>
      <w:r>
        <w:t xml:space="preserve">2 β = -0.200, p = .660), and the joint M8 test of the</w:t>
      </w:r>
    </w:p>
    <w:p>
      <w:pPr>
        <w:pStyle w:val="BodyText"/>
      </w:pPr>
      <w:r>
        <w:t xml:space="preserve">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w:t>
      </w:r>
      <m:oMath>
        <m:sSup>
          <m:e>
            <m:r>
              <m:rPr>
                <m:sty m:val="p"/>
              </m:rPr>
              <m:t>F</m:t>
            </m:r>
            <m:r>
              <m:rPr>
                <m:sty m:val="p"/>
              </m:rPr>
              <m:t>S</m:t>
            </m:r>
            <m:r>
              <m:rPr>
                <m:sty m:val="p"/>
              </m:rPr>
              <m:t>T</m:t>
            </m:r>
            <m:r>
              <m:rPr>
                <m:sty m:val="p"/>
              </m:rPr>
              <m:t>S</m:t>
            </m:r>
          </m:e>
          <m:sup>
            <m:r>
              <m:t>c</m:t>
            </m:r>
          </m:sup>
        </m:sSup>
      </m:oMath>
    </w:p>
    <w:p>
      <w:pPr>
        <w:pStyle w:val="BodyText"/>
      </w:pPr>
      <w:r>
        <w:t xml:space="preserve">× wave,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wave,</w:t>
      </w:r>
      <w:r>
        <w:t xml:space="preserve"> </w:t>
      </w:r>
      <m:oMath>
        <m:acc>
          <m:accPr>
            <m:chr m:val="̃"/>
          </m:accPr>
          <m:e>
            <m:r>
              <m:rPr>
                <m:sty m:val="p"/>
              </m:rPr>
              <m:t>D</m:t>
            </m:r>
            <m:r>
              <m:rPr>
                <m:sty m:val="p"/>
              </m:rPr>
              <m:t>A</m:t>
            </m:r>
            <m:r>
              <m:rPr>
                <m:sty m:val="p"/>
              </m:rPr>
              <m:t>I</m:t>
            </m:r>
          </m:e>
        </m:acc>
      </m:oMath>
      <w:r>
        <w:t xml:space="preserve"> </w:t>
      </w:r>
      <w:r>
        <w:t xml:space="preserve">× wave,</w:t>
      </w:r>
      <w:r>
        <w:t xml:space="preserve"> </w:t>
      </w:r>
      <m:oMath>
        <m:acc>
          <m:accPr>
            <m:chr m:val="̃"/>
          </m:accPr>
          <m:e>
            <m:r>
              <m:rPr>
                <m:sty m:val="p"/>
              </m:rPr>
              <m:t>T</m:t>
            </m:r>
            <m:r>
              <m:rPr>
                <m:sty m:val="p"/>
              </m:rPr>
              <m:t>C</m:t>
            </m:r>
            <m:r>
              <m:rPr>
                <m:sty m:val="p"/>
              </m:rPr>
              <m:t>I</m:t>
            </m:r>
          </m:e>
        </m:acc>
      </m:oMath>
      <w:r>
        <w:t xml:space="preserve"> </w:t>
      </w:r>
      <w:r>
        <w:t xml:space="preserve">× wave). The joint Wald tests show that</w:t>
      </w:r>
      <w:r>
        <w:t xml:space="preserve"> </w:t>
      </w:r>
      <w:r>
        <w:t xml:space="preserve">only</w:t>
      </w:r>
      <w:r>
        <w:t xml:space="preserve"> </w:t>
      </w:r>
      <m:oMath>
        <m:acc>
          <m:accPr>
            <m:chr m:val="̃"/>
          </m:accPr>
          <m:e>
            <m:r>
              <m:rPr>
                <m:sty m:val="p"/>
              </m:rPr>
              <m:t>D</m:t>
            </m:r>
            <m:r>
              <m:rPr>
                <m:sty m:val="p"/>
              </m:rPr>
              <m:t>A</m:t>
            </m:r>
            <m:r>
              <m:rPr>
                <m:sty m:val="p"/>
              </m:rPr>
              <m:t>I</m:t>
            </m:r>
          </m:e>
        </m:acc>
      </m:oMath>
      <w:r>
        <w:t xml:space="preserve"> </w:t>
      </w:r>
      <w:r>
        <w:t xml:space="preserve">× wave is statistically distinguishable from the pooled average (joint p = .016); the</w:t>
      </w:r>
    </w:p>
    <w:p>
      <w:pPr>
        <w:pStyle w:val="BodyText"/>
      </w:pPr>
      <w:r>
        <w:t xml:space="preserve">2 and</w:t>
      </w:r>
      <w:r>
        <w:t xml:space="preserve"> </w:t>
      </w:r>
      <m:oMath>
        <m:acc>
          <m:accPr>
            <m:chr m:val="̃"/>
          </m:accPr>
          <m:e>
            <m:r>
              <m:rPr>
                <m:sty m:val="p"/>
              </m:rPr>
              <m:t>T</m:t>
            </m:r>
            <m:r>
              <m:rPr>
                <m:sty m:val="p"/>
              </m:rPr>
              <m:t>C</m:t>
            </m:r>
            <m:r>
              <m:rPr>
                <m:sty m:val="p"/>
              </m:rPr>
              <m:t>I</m:t>
            </m:r>
          </m:e>
        </m:acc>
      </m:oMath>
      <w:r>
        <w:t xml:space="preserve"> </w:t>
      </w:r>
      <w:r>
        <w:t xml:space="preserve">direct-effect cross-wave differences are not statistically separable</w:t>
      </w:r>
      <w:r>
        <w:t xml:space="preserve"> </w:t>
      </w:r>
      <w:r>
        <w:t xml:space="preserve">(all joint p &gt; .25), and the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and</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cross-wave differences</w:t>
      </w:r>
      <w:r>
        <w:t xml:space="preserve"> </w:t>
      </w:r>
      <m:oMath>
        <m:sSup>
          <m:e>
            <m:r>
              <m:rPr>
                <m:sty m:val="p"/>
              </m:rPr>
              <m:t>F</m:t>
            </m:r>
            <m:r>
              <m:rPr>
                <m:sty m:val="p"/>
              </m:rPr>
              <m:t>S</m:t>
            </m:r>
            <m:r>
              <m:rPr>
                <m:sty m:val="p"/>
              </m:rPr>
              <m:t>T</m:t>
            </m:r>
            <m:r>
              <m:rPr>
                <m:sty m:val="p"/>
              </m:rPr>
              <m:t>S</m:t>
            </m:r>
          </m:e>
          <m:sup>
            <m:r>
              <m:t>c</m:t>
            </m:r>
          </m:sup>
        </m:sSup>
      </m:oMath>
      <w:r>
        <w:t xml:space="preserve">,</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Density-around-turning-point check. We also report the within-sample mass of firms in the</w:t>
      </w:r>
      <w:r>
        <w:t xml:space="preserve"> </w:t>
      </w:r>
      <w:r>
        <w:t xml:space="preserve">curvature zone.</w:t>
      </w:r>
    </w:p>
    <w:p>
      <w:pPr>
        <w:pStyle w:val="BodyText"/>
      </w:pPr>
      <w:r>
        <w:t xml:space="preserve">Defining a ±5 percentage-point band around the wave-specific turning point</w:t>
      </w:r>
    </w:p>
    <w:p>
      <w:pPr>
        <w:pStyle w:val="BodyText"/>
      </w:pPr>
      <w:r>
        <w:t xml:space="preserve">(TP), the share of firms with FSTS within the band is 0.6 % (6 of 989) in 2009, 1.2 % (11 of</w:t>
      </w:r>
    </w:p>
    <w:p>
      <w:pPr>
        <w:numPr>
          <w:ilvl w:val="0"/>
          <w:numId w:val="1002"/>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59"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Heckman two-step corrections (Panel E) yield insignificant inverse-Mills ratios across all waves (all |λ| &lt; 0.84, p &gt; .25), indicating no detectable selection bias on the exporter subsample. Propensity-score matching (Panel J) corroborates the average H2 and H3 associations without imposing linearity: ATT estimates for website ownership (0.298–0.321, p &lt; .001) and for foreign-technology / certification status (0.609–0.637, p &lt; .001) are substantively consistent with the OLS results.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confirms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confirms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w:t>
      </w:r>
      <w:r>
        <w:t xml:space="preserve"> </w:t>
      </w:r>
      <m:oMath>
        <m:sSub>
          <m:e>
            <m:r>
              <m:rPr>
                <m:sty m:val="p"/>
              </m:rPr>
              <m:t>D</m:t>
            </m:r>
            <m:r>
              <m:rPr>
                <m:sty m:val="p"/>
              </m:rPr>
              <m:t>A</m:t>
            </m:r>
            <m:r>
              <m:rPr>
                <m:sty m:val="p"/>
              </m:rPr>
              <m:t>I</m:t>
            </m:r>
          </m:e>
          <m:sub>
            <m:r>
              <m:rPr>
                <m:nor/>
                <m:sty m:val="p"/>
              </m:rPr>
              <m:t>rich</m:t>
            </m:r>
          </m:sub>
        </m:sSub>
      </m:oMath>
      <w:r>
        <w:t xml:space="preserve"> </w:t>
      </w:r>
      <w:r>
        <w:t xml:space="preserve">composite (Tier 1–2, Panel B) yields directionally consistent moderation in 2023 with weaker significance. Micro-firm exclusion (Panel D) preserves the inverted-U and TCI associations. Paternoster et al. cross-wave z-tests (Panel F) confirm that the DAI lifecycle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r>
        <w:t xml:space="preserve"> </w:t>
      </w:r>
      <w:r>
        <w:t xml:space="preserve">Table 3 collates the robustness panels documented in 4.5 in a single overview to ease crosscomparison.</w:t>
      </w:r>
      <w:r>
        <w:t xml:space="preserve"> </w:t>
      </w:r>
      <w:r>
        <w:t xml:space="preserve">Table 4 reports the implied turning points of the inverted-U specification (M2) and the</w:t>
      </w:r>
      <w:r>
        <w:t xml:space="preserve"> </w:t>
      </w:r>
      <w:r>
        <w:t xml:space="preserve">Lind–Mehlum p-values for each wave and the pooled sample.</w:t>
      </w:r>
    </w:p>
    <w:p>
      <w:pPr>
        <w:pStyle w:val="BodyText"/>
      </w:pPr>
      <w:r>
        <w:t xml:space="preserve">Table 3: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m:oMath>
              <m:acc>
                <m:accPr>
                  <m:chr m:val="̃"/>
                </m:accPr>
                <m:e>
                  <m:r>
                    <m:rPr>
                      <m:sty m:val="p"/>
                    </m:rPr>
                    <m:t>D</m:t>
                  </m:r>
                  <m:r>
                    <m:rPr>
                      <m:sty m:val="p"/>
                    </m:rPr>
                    <m:t>A</m:t>
                  </m:r>
                  <m:r>
                    <m:rPr>
                      <m:sty m:val="p"/>
                    </m:rPr>
                    <m:t>I</m:t>
                  </m:r>
                </m:e>
              </m:acc>
            </m:oMath>
            <w:r>
              <w:t xml:space="preserve"> </w:t>
            </w:r>
            <w:r>
              <w:t xml:space="preserve">(instrumented)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m:oMath>
              <m:acc>
                <m:accPr>
                  <m:chr m:val="̃"/>
                </m:accPr>
                <m:e>
                  <m:r>
                    <m:rPr>
                      <m:sty m:val="p"/>
                    </m:rPr>
                    <m:t>T</m:t>
                  </m:r>
                  <m:r>
                    <m:rPr>
                      <m:sty m:val="p"/>
                    </m:rPr>
                    <m:t>C</m:t>
                  </m:r>
                  <m:r>
                    <m:rPr>
                      <m:sty m:val="p"/>
                    </m:rPr>
                    <m:t>I</m:t>
                  </m:r>
                </m:e>
              </m:acc>
            </m:oMath>
            <w:r>
              <w:t xml:space="preserve"> </w:t>
            </w:r>
            <w:r>
              <w:t xml:space="preserve">(instrumented)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w:t>
      </w:r>
      <w:r>
        <w:t xml:space="preserve"> </w:t>
      </w:r>
      <m:oMath>
        <m:sSub>
          <m:e>
            <m:r>
              <m:rPr>
                <m:sty m:val="p"/>
              </m:rPr>
              <m:t>T</m:t>
            </m:r>
            <m:r>
              <m:rPr>
                <m:sty m:val="p"/>
              </m:rPr>
              <m:t>C</m:t>
            </m:r>
            <m:r>
              <m:rPr>
                <m:sty m:val="p"/>
              </m:rPr>
              <m:t>I</m:t>
            </m:r>
          </m:e>
          <m:sub>
            <m:r>
              <m:rPr>
                <m:nor/>
                <m:sty m:val="p"/>
              </m:rPr>
              <m:t>full</m:t>
            </m:r>
          </m:sub>
        </m:sSub>
      </m:oMath>
      <w:r>
        <w:t xml:space="preserve"> </w:t>
      </w:r>
      <w:r>
        <w:t xml:space="preserve">= broader TCI composite;</w:t>
      </w:r>
      <w:r>
        <w:t xml:space="preserve"> </w:t>
      </w:r>
      <m:oMath>
        <m:sSub>
          <m:e>
            <m:r>
              <m:rPr>
                <m:sty m:val="p"/>
              </m:rPr>
              <m:t>D</m:t>
            </m:r>
            <m:r>
              <m:rPr>
                <m:sty m:val="p"/>
              </m:rPr>
              <m:t>A</m:t>
            </m:r>
            <m:r>
              <m:rPr>
                <m:sty m:val="p"/>
              </m:rPr>
              <m:t>I</m:t>
            </m:r>
          </m:e>
          <m:sub>
            <m:r>
              <m:rPr>
                <m:nor/>
                <m:sty m:val="p"/>
              </m:rPr>
              <m:t>rich</m:t>
            </m:r>
          </m:sub>
        </m:sSub>
      </m:oMath>
      <w:r>
        <w:t xml:space="preserve"> </w:t>
      </w:r>
      <w:r>
        <w:t xml:space="preserve">=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w:t>
      </w:r>
      <w:r>
        <w:t xml:space="preserve"> </w:t>
      </w:r>
      <m:oMath>
        <m:sSub>
          <m:e>
            <m:r>
              <m:rPr>
                <m:sty m:val="p"/>
              </m:rPr>
              <m:t>T</m:t>
            </m:r>
            <m:r>
              <m:rPr>
                <m:sty m:val="p"/>
              </m:rPr>
              <m:t>C</m:t>
            </m:r>
            <m:r>
              <m:rPr>
                <m:sty m:val="p"/>
              </m:rPr>
              <m:t>I</m:t>
            </m:r>
          </m:e>
          <m:sub>
            <m:r>
              <m:rPr>
                <m:nor/>
                <m:sty m:val="p"/>
              </m:rPr>
              <m:t>full</m:t>
            </m:r>
          </m:sub>
        </m:sSub>
      </m:oMath>
      <w:r>
        <w:t xml:space="preserve"> </w:t>
      </w:r>
      <w:r>
        <w:t xml:space="preserve">direct (2015)</w:t>
      </w:r>
      <w:r>
        <w:t xml:space="preserve"> </w:t>
      </w:r>
      <w:r>
        <w:t xml:space="preserve">956 TCI_full_z = 0.056 (p = .253) n.s.;</w:t>
      </w:r>
      <w:r>
        <w:t xml:space="preserve"> </w:t>
      </w:r>
      <m:oMath>
        <m:acc>
          <m:accPr>
            <m:chr m:val="̃"/>
          </m:accPr>
          <m:e>
            <m:r>
              <m:rPr>
                <m:sty m:val="p"/>
              </m:rPr>
              <m:t>D</m:t>
            </m:r>
            <m:r>
              <m:rPr>
                <m:sty m:val="p"/>
              </m:rPr>
              <m:t>A</m:t>
            </m:r>
            <m:r>
              <m:rPr>
                <m:sty m:val="p"/>
              </m:rPr>
              <m:t>I</m:t>
            </m:r>
          </m:e>
        </m:acc>
      </m:oMath>
      <w:r>
        <w:t xml:space="preserve"> </w:t>
      </w:r>
      <w:r>
        <w:t xml:space="preserve">= M3 joint p = .492 n.s.</w:t>
      </w:r>
      <w:r>
        <w:t xml:space="preserve"> </w:t>
      </w:r>
      <w:r>
        <w:t xml:space="preserve">−0.033 n.s.</w:t>
      </w:r>
      <w:r>
        <w:t xml:space="preserve"> </w:t>
      </w:r>
      <w:r>
        <w:t xml:space="preserve">A.</w:t>
      </w:r>
      <w:r>
        <w:t xml:space="preserve"> </w:t>
      </w:r>
      <m:oMath>
        <m:sSub>
          <m:e>
            <m:r>
              <m:rPr>
                <m:sty m:val="p"/>
              </m:rPr>
              <m:t>T</m:t>
            </m:r>
            <m:r>
              <m:rPr>
                <m:sty m:val="p"/>
              </m:rPr>
              <m:t>C</m:t>
            </m:r>
            <m:r>
              <m:rPr>
                <m:sty m:val="p"/>
              </m:rPr>
              <m:t>I</m:t>
            </m:r>
          </m:e>
          <m:sub>
            <m:r>
              <m:rPr>
                <m:nor/>
                <m:sty m:val="p"/>
              </m:rPr>
              <m:t>full</m:t>
            </m:r>
          </m:sub>
        </m:sSub>
      </m:oMath>
      <w:r>
        <w:t xml:space="preserve"> </w:t>
      </w:r>
      <w:r>
        <w:t xml:space="preserve">direct (2023)</w:t>
      </w:r>
      <w:r>
        <w:t xml:space="preserve"> </w:t>
      </w:r>
      <w:r>
        <w:t xml:space="preserve">1,013 TCI_full_z = 0.096 (p = .024);</w:t>
      </w:r>
      <w:r>
        <w:t xml:space="preserve"> </w:t>
      </w:r>
      <m:oMath>
        <m:acc>
          <m:accPr>
            <m:chr m:val="̃"/>
          </m:accPr>
          <m:e>
            <m:r>
              <m:rPr>
                <m:sty m:val="p"/>
              </m:rPr>
              <m:t>D</m:t>
            </m:r>
            <m:r>
              <m:rPr>
                <m:sty m:val="p"/>
              </m:rPr>
              <m:t>A</m:t>
            </m:r>
            <m:r>
              <m:rPr>
                <m:sty m:val="p"/>
              </m:rPr>
              <m:t>I</m:t>
            </m:r>
          </m:e>
        </m:acc>
      </m:oMath>
      <w:r>
        <w:t xml:space="preserve"> </w:t>
      </w:r>
      <w:r>
        <w:t xml:space="preserve">= M3 joint p = .152 n.s.</w:t>
      </w:r>
      <w:r>
        <w:t xml:space="preserve"> </w:t>
      </w:r>
      <w:r>
        <w:t xml:space="preserve">0.097 (p = .037)</w:t>
      </w:r>
      <w:r>
        <w:t xml:space="preserve"> </w:t>
      </w:r>
      <w:r>
        <w:t xml:space="preserve">B.</w:t>
      </w:r>
      <w:r>
        <w:t xml:space="preserve"> </w:t>
      </w:r>
      <m:oMath>
        <m:sSub>
          <m:e>
            <m:r>
              <m:rPr>
                <m:sty m:val="p"/>
              </m:rPr>
              <m:t>D</m:t>
            </m:r>
            <m:r>
              <m:rPr>
                <m:sty m:val="p"/>
              </m:rPr>
              <m:t>A</m:t>
            </m:r>
            <m:r>
              <m:rPr>
                <m:sty m:val="p"/>
              </m:rPr>
              <m:t>I</m:t>
            </m:r>
          </m:e>
          <m:sub>
            <m:r>
              <m:rPr>
                <m:nor/>
                <m:sty m:val="p"/>
              </m:rPr>
              <m:t>rich</m:t>
            </m:r>
          </m:sub>
        </m:sSub>
      </m:oMath>
      <w:r>
        <w:t xml:space="preserve"> </w:t>
      </w:r>
      <w:r>
        <w:t xml:space="preserve">continuous (2023)</w:t>
      </w:r>
      <w:r>
        <w:t xml:space="preserve"> </w:t>
      </w:r>
      <w:r>
        <w:t xml:space="preserve">1,013</w:t>
      </w:r>
      <w:r>
        <w:t xml:space="preserve"> </w:t>
      </w:r>
      <m:oMath>
        <m:sSup>
          <m:e>
            <m:r>
              <m:rPr>
                <m:sty m:val="p"/>
              </m:rPr>
              <m:t>F</m:t>
            </m:r>
            <m:r>
              <m:rPr>
                <m:sty m:val="p"/>
              </m:rPr>
              <m:t>S</m:t>
            </m:r>
            <m:r>
              <m:rPr>
                <m:sty m:val="p"/>
              </m:rPr>
              <m:t>T</m:t>
            </m:r>
            <m:r>
              <m:rPr>
                <m:sty m:val="p"/>
              </m:rPr>
              <m:t>S</m:t>
            </m:r>
          </m:e>
          <m:sup>
            <m:r>
              <m:t>c</m:t>
            </m:r>
          </m:sup>
        </m:sSup>
      </m:oMath>
      <w:r>
        <w:t xml:space="preserve"> </w:t>
      </w:r>
      <w:r>
        <w:t xml:space="preserve">× DAI_rich_cont_z = −0.933 † (p M8 joint p = .099 †</w:t>
      </w:r>
      <w:r>
        <w:t xml:space="preserve"> </w:t>
      </w:r>
      <w:r>
        <w:t xml:space="preserve">= .076)</w:t>
      </w:r>
      <w:r>
        <w:t xml:space="preserve"> </w:t>
      </w:r>
      <w:r>
        <w:t xml:space="preserve">B.</w:t>
      </w:r>
      <w:r>
        <w:t xml:space="preserve"> </w:t>
      </w:r>
      <m:oMath>
        <m:sSub>
          <m:e>
            <m:r>
              <m:rPr>
                <m:sty m:val="p"/>
              </m:rPr>
              <m:t>D</m:t>
            </m:r>
            <m:r>
              <m:rPr>
                <m:sty m:val="p"/>
              </m:rPr>
              <m:t>A</m:t>
            </m:r>
            <m:r>
              <m:rPr>
                <m:sty m:val="p"/>
              </m:rPr>
              <m:t>I</m:t>
            </m:r>
          </m:e>
          <m:sub>
            <m:r>
              <m:rPr>
                <m:nor/>
                <m:sty m:val="p"/>
              </m:rPr>
              <m:t>rich</m:t>
            </m:r>
          </m:sub>
        </m:sSub>
      </m:oMath>
      <w:r>
        <w:t xml:space="preserve"> </w:t>
      </w:r>
      <w:r>
        <w:t xml:space="preserve">binary (2023)</w:t>
      </w:r>
      <w:r>
        <w:t xml:space="preserve"> </w:t>
      </w:r>
      <w:r>
        <w:t xml:space="preserve">1,013</w:t>
      </w:r>
      <w:r>
        <w:t xml:space="preserve"> </w:t>
      </w:r>
      <m:oMath>
        <m:sSup>
          <m:e>
            <m:r>
              <m:rPr>
                <m:sty m:val="p"/>
              </m:rPr>
              <m:t>F</m:t>
            </m:r>
            <m:r>
              <m:rPr>
                <m:sty m:val="p"/>
              </m:rPr>
              <m:t>S</m:t>
            </m:r>
            <m:r>
              <m:rPr>
                <m:sty m:val="p"/>
              </m:rPr>
              <m:t>T</m:t>
            </m:r>
            <m:r>
              <m:rPr>
                <m:sty m:val="p"/>
              </m:rPr>
              <m:t>S</m:t>
            </m:r>
          </m:e>
          <m:sup>
            <m:r>
              <m:t>c</m:t>
            </m:r>
          </m:sup>
        </m:sSup>
      </m:oMath>
      <w:r>
        <w:t xml:space="preserve"> </w:t>
      </w:r>
      <w:r>
        <w:t xml:space="preserve">× DAI_rich_bin_z = −0.893 (p = M8 joint p = .243 n.s.</w:t>
      </w:r>
      <w:r>
        <w:t xml:space="preserve"> </w:t>
      </w:r>
      <w:r>
        <w:t xml:space="preserve">.169) n.s.</w:t>
      </w:r>
      <w:r>
        <w:t xml:space="preserve"> </w:t>
      </w:r>
      <w:r>
        <w:t xml:space="preserve">C. Common-N reconciled (2023) 1,013</w:t>
      </w:r>
      <w:r>
        <w:t xml:space="preserve"> </w:t>
      </w:r>
      <m:oMath>
        <m:acc>
          <m:accPr>
            <m:chr m:val="̃"/>
          </m:accPr>
          <m:e>
            <m:r>
              <m:rPr>
                <m:sty m:val="p"/>
              </m:rPr>
              <m:t>D</m:t>
            </m:r>
            <m:r>
              <m:rPr>
                <m:sty m:val="p"/>
              </m:rPr>
              <m:t>A</m:t>
            </m:r>
            <m:r>
              <m:rPr>
                <m:sty m:val="p"/>
              </m:rPr>
              <m:t>I</m:t>
            </m:r>
          </m:e>
        </m:acc>
      </m:oMath>
      <w:r>
        <w:t xml:space="preserve"> </w:t>
      </w:r>
      <w:r>
        <w:t xml:space="preserve">moderation re-estimated on identical M8 joint p = .062 †</w:t>
      </w:r>
      <w:r>
        <w:t xml:space="preserve"> </w:t>
      </w:r>
      <w:r>
        <w:t xml:space="preserve">2023 sample</w:t>
      </w:r>
      <w:r>
        <w:t xml:space="preserve"> </w:t>
      </w:r>
      <w:r>
        <w:t xml:space="preserve">D. Micro-firm exclusion (l1 ≥ 10) 2,473</w:t>
      </w:r>
      <w:r>
        <w:t xml:space="preserve"> </w:t>
      </w:r>
      <m:oMath>
        <m:acc>
          <m:accPr>
            <m:chr m:val="̃"/>
          </m:accPr>
          <m:e>
            <m:r>
              <m:rPr>
                <m:sty m:val="p"/>
              </m:rPr>
              <m:t>T</m:t>
            </m:r>
            <m:r>
              <m:rPr>
                <m:sty m:val="p"/>
              </m:rPr>
              <m:t>C</m:t>
            </m:r>
            <m:r>
              <m:rPr>
                <m:sty m:val="p"/>
              </m:rPr>
              <m:t>I</m:t>
            </m:r>
          </m:e>
        </m:acc>
      </m:oMath>
      <w:r>
        <w:t xml:space="preserve"> </w:t>
      </w:r>
      <w:r>
        <w:t xml:space="preserve">= 0.188 ;</w:t>
      </w:r>
      <w:r>
        <w:t xml:space="preserve"> </w:t>
      </w:r>
      <m:oMath>
        <m:acc>
          <m:accPr>
            <m:chr m:val="̃"/>
          </m:accPr>
          <m:e>
            <m:r>
              <m:rPr>
                <m:sty m:val="p"/>
              </m:rPr>
              <m:t>D</m:t>
            </m:r>
            <m:r>
              <m:rPr>
                <m:sty m:val="p"/>
              </m:rPr>
              <m:t>A</m:t>
            </m:r>
            <m:r>
              <m:rPr>
                <m:sty m:val="p"/>
              </m:rPr>
              <m:t>I</m:t>
            </m:r>
          </m:e>
        </m:acc>
      </m:oMath>
      <w:r>
        <w:t xml:space="preserve"> </w:t>
      </w:r>
      <w:r>
        <w:t xml:space="preserve">= 0.054 n.s.</w:t>
      </w:r>
      <w:r>
        <w:t xml:space="preserve"> </w:t>
      </w:r>
      <w:r>
        <w:t xml:space="preserve">M8 joint p = .167 n.s.</w:t>
      </w:r>
      <w:r>
        <w:t xml:space="preserve"> </w:t>
      </w:r>
      <w:r>
        <w:t xml:space="preserve">G. Manufacturing (sector1 1,854</w:t>
      </w:r>
      <w:r>
        <w:t xml:space="preserve"> </w:t>
      </w:r>
      <m:oMath>
        <m:acc>
          <m:accPr>
            <m:chr m:val="̃"/>
          </m:accPr>
          <m:e>
            <m:r>
              <m:rPr>
                <m:sty m:val="p"/>
              </m:rPr>
              <m:t>T</m:t>
            </m:r>
            <m:r>
              <m:rPr>
                <m:sty m:val="p"/>
              </m:rPr>
              <m:t>C</m:t>
            </m:r>
            <m:r>
              <m:rPr>
                <m:sty m:val="p"/>
              </m:rPr>
              <m:t>I</m:t>
            </m:r>
          </m:e>
        </m:acc>
      </m:oMath>
      <w:r>
        <w:t xml:space="preserve"> </w:t>
      </w:r>
      <w:r>
        <w:t xml:space="preserve">= 0.223 ;</w:t>
      </w:r>
      <w:r>
        <w:t xml:space="preserve"> </w:t>
      </w:r>
      <m:oMath>
        <m:acc>
          <m:accPr>
            <m:chr m:val="̃"/>
          </m:accPr>
          <m:e>
            <m:r>
              <m:rPr>
                <m:sty m:val="p"/>
              </m:rPr>
              <m:t>D</m:t>
            </m:r>
            <m:r>
              <m:rPr>
                <m:sty m:val="p"/>
              </m:rPr>
              <m:t>A</m:t>
            </m:r>
            <m:r>
              <m:rPr>
                <m:sty m:val="p"/>
              </m:rPr>
              <m:t>I</m:t>
            </m:r>
          </m:e>
        </m:acc>
      </m:oMath>
      <w:r>
        <w:t xml:space="preserve"> </w:t>
      </w:r>
      <w:r>
        <w:t xml:space="preserve">= 0.087 ; M8 joint p = .103 †</w:t>
      </w:r>
      <w:r>
        <w:t xml:space="preserve"> </w:t>
      </w:r>
      <w:r>
        <w:t xml:space="preserve">∈ {1, 2, 3})</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w:t>
      </w:r>
      <w:r>
        <w:t xml:space="preserve"> </w:t>
      </w:r>
      <w:r>
        <w:t xml:space="preserve">H. Exporter-only (FSTS &gt; 0, 669</w:t>
      </w:r>
      <w:r>
        <w:t xml:space="preserve"> </w:t>
      </w:r>
      <m:oMath>
        <m:sSup>
          <m:e>
            <m:r>
              <m:rPr>
                <m:sty m:val="p"/>
              </m:rPr>
              <m:t>F</m:t>
            </m:r>
            <m:r>
              <m:rPr>
                <m:sty m:val="p"/>
              </m:rPr>
              <m:t>S</m:t>
            </m:r>
            <m:r>
              <m:rPr>
                <m:sty m:val="p"/>
              </m:rPr>
              <m:t>T</m:t>
            </m:r>
            <m:r>
              <m:rPr>
                <m:sty m:val="p"/>
              </m:rPr>
              <m:t>S</m:t>
            </m:r>
          </m:e>
          <m:sup>
            <m:r>
              <m:t>c</m:t>
            </m:r>
          </m:sup>
        </m:sSup>
      </m:oMath>
      <w:r>
        <w:t xml:space="preserve"> </w:t>
      </w:r>
      <w:r>
        <w:t xml:space="preserve">= −0.861 ;</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−0.200 M8 joint p = .462 n.s.</w:t>
      </w:r>
      <w:r>
        <w:t xml:space="preserve"> </w:t>
      </w:r>
      <w:r>
        <w:t xml:space="preserve">pooled)</w:t>
      </w:r>
      <w:r>
        <w:t xml:space="preserve"> </w:t>
      </w:r>
      <w:r>
        <w:t xml:space="preserve">n.s.</w:t>
      </w:r>
      <w:r>
        <w:t xml:space="preserve"> </w:t>
      </w:r>
      <w:r>
        <w:t xml:space="preserve">I. Wave × focal interaction 2,958</w:t>
      </w:r>
      <w:r>
        <w:t xml:space="preserve"> </w:t>
      </w:r>
      <m:oMath>
        <m:acc>
          <m:accPr>
            <m:chr m:val="̃"/>
          </m:accPr>
          <m:e>
            <m:r>
              <m:rPr>
                <m:sty m:val="p"/>
              </m:rPr>
              <m:t>D</m:t>
            </m:r>
            <m:r>
              <m:rPr>
                <m:sty m:val="p"/>
              </m:rPr>
              <m:t>A</m:t>
            </m:r>
            <m:r>
              <m:rPr>
                <m:sty m:val="p"/>
              </m:rPr>
              <m:t>I</m:t>
            </m:r>
          </m:e>
        </m:acc>
      </m:oMath>
      <w:r>
        <w:t xml:space="preserve"> </w:t>
      </w:r>
      <w:r>
        <w:t xml:space="preserve">×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w:t>
      </w:r>
      <w:r>
        <w:t xml:space="preserve"> </w:t>
      </w:r>
      <m:oMath>
        <m:acc>
          <m:accPr>
            <m:chr m:val="̃"/>
          </m:accPr>
          <m:e>
            <m:r>
              <m:rPr>
                <m:sty m:val="p"/>
              </m:rPr>
              <m:t>D</m:t>
            </m:r>
            <m:r>
              <m:rPr>
                <m:sty m:val="p"/>
              </m:rPr>
              <m:t>A</m:t>
            </m:r>
            <m:r>
              <m:rPr>
                <m:sty m:val="p"/>
              </m:rPr>
              <m:t>I</m:t>
            </m:r>
          </m:e>
        </m:acc>
      </m:oMath>
      <w:r>
        <w:t xml:space="preserve"> </w:t>
      </w:r>
      <w:r>
        <w:t xml:space="preserve">2,298</w:t>
      </w:r>
      <w:r>
        <w:t xml:space="preserve"> </w:t>
      </w:r>
      <m:oMath>
        <m:acc>
          <m:accPr>
            <m:chr m:val="̃"/>
          </m:accPr>
          <m:e>
            <m:r>
              <m:rPr>
                <m:sty m:val="p"/>
              </m:rPr>
              <m:t>D</m:t>
            </m:r>
            <m:r>
              <m:rPr>
                <m:sty m:val="p"/>
              </m:rPr>
              <m:t>A</m:t>
            </m:r>
            <m:r>
              <m:rPr>
                <m:sty m:val="p"/>
              </m:rPr>
              <m:t>I</m:t>
            </m:r>
          </m:e>
        </m:acc>
      </m:oMath>
      <w:r>
        <w:t xml:space="preserve"> </w:t>
      </w:r>
      <w:r>
        <w:t xml:space="preserve">= 0.018 (p = .942) n.s.</w:t>
      </w:r>
      <w:r>
        <w:t xml:space="preserve"> </w:t>
      </w:r>
      <w:r>
        <w:t xml:space="preserve">First-stage F = 34.6</w:t>
      </w:r>
      <w:r>
        <w:t xml:space="preserve"> </w:t>
      </w:r>
      <w:r>
        <w:t xml:space="preserve">(strong)</w:t>
      </w:r>
      <w:r>
        <w:t xml:space="preserve"> </w:t>
      </w:r>
      <w:r>
        <w:t xml:space="preserve">K. IV / 2SLS —</w:t>
      </w:r>
      <w:r>
        <w:t xml:space="preserve"> </w:t>
      </w:r>
      <m:oMath>
        <m:acc>
          <m:accPr>
            <m:chr m:val="̃"/>
          </m:accPr>
          <m:e>
            <m:r>
              <m:rPr>
                <m:sty m:val="p"/>
              </m:rPr>
              <m:t>T</m:t>
            </m:r>
            <m:r>
              <m:rPr>
                <m:sty m:val="p"/>
              </m:rPr>
              <m:t>C</m:t>
            </m:r>
            <m:r>
              <m:rPr>
                <m:sty m:val="p"/>
              </m:rPr>
              <m:t>I</m:t>
            </m:r>
          </m:e>
        </m:acc>
      </m:oMath>
      <w:r>
        <w:t xml:space="preserve"> </w:t>
      </w:r>
      <w:r>
        <w:t xml:space="preserve">2,298</w:t>
      </w:r>
      <w:r>
        <w:t xml:space="preserve"> </w:t>
      </w:r>
      <m:oMath>
        <m:acc>
          <m:accPr>
            <m:chr m:val="̃"/>
          </m:accPr>
          <m:e>
            <m:r>
              <m:rPr>
                <m:sty m:val="p"/>
              </m:rPr>
              <m:t>T</m:t>
            </m:r>
            <m:r>
              <m:rPr>
                <m:sty m:val="p"/>
              </m:rPr>
              <m:t>C</m:t>
            </m:r>
            <m:r>
              <m:rPr>
                <m:sty m:val="p"/>
              </m:rPr>
              <m:t>I</m:t>
            </m:r>
          </m:e>
        </m:acc>
      </m:oMath>
      <w:r>
        <w:t xml:space="preserve"> </w:t>
      </w:r>
      <w:r>
        <w:t xml:space="preserve">=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0.61; FSTSc2 −2.21, −1.17; No sign change; focal findTCI 0.14, 0.19; DAI 0.07,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authors' calculations.</w:t>
      </w:r>
      <w:r>
        <w:t xml:space="preserve"> </w:t>
      </w:r>
      <w:r>
        <w:t xml:space="preserve">Notes.</w:t>
      </w:r>
    </w:p>
    <w:p>
      <w:pPr>
        <w:pStyle w:val="BodyText"/>
      </w:pPr>
      <w:r>
        <w:t xml:space="preserve">Table 4: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m:oMath>
              <m:acc>
                <m:accPr>
                  <m:chr m:val="̃"/>
                </m:accPr>
                <m:e>
                  <m:r>
                    <m:rPr>
                      <m:sty m:val="p"/>
                    </m:rPr>
                    <m:t>T</m:t>
                  </m:r>
                  <m:r>
                    <m:rPr>
                      <m:sty m:val="p"/>
                    </m:rPr>
                    <m:t>C</m:t>
                  </m:r>
                  <m:r>
                    <m:rPr>
                      <m:sty m:val="p"/>
                    </m:rPr>
                    <m:t>I</m:t>
                  </m:r>
                </m:e>
              </m:acc>
            </m:oMath>
            <w:r>
              <w:t xml:space="preserve"> </w:t>
            </w:r>
            <w:r>
              <w:t xml:space="preserve">z (p)</w:t>
            </w:r>
          </w:p>
        </w:tc>
        <w:tc>
          <w:tcPr/>
          <w:p>
            <w:pPr>
              <w:pStyle w:val="Compact"/>
              <w:jc w:val="left"/>
            </w:pPr>
            <m:oMath>
              <m:acc>
                <m:accPr>
                  <m:chr m:val="̃"/>
                </m:accPr>
                <m:e>
                  <m:r>
                    <m:rPr>
                      <m:sty m:val="p"/>
                    </m:rPr>
                    <m:t>D</m:t>
                  </m:r>
                  <m:r>
                    <m:rPr>
                      <m:sty m:val="p"/>
                    </m:rPr>
                    <m:t>A</m:t>
                  </m:r>
                  <m:r>
                    <m:rPr>
                      <m:sty m:val="p"/>
                    </m:rPr>
                    <m:t>I</m:t>
                  </m:r>
                </m:e>
              </m:acc>
            </m:oMath>
            <w:r>
              <w:t xml:space="preserve"> </w:t>
            </w:r>
            <w:r>
              <w:t xml:space="preserve">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w:t>
      </w:r>
    </w:p>
    <w:p>
      <w:pPr>
        <w:pStyle w:val="BodyText"/>
      </w:pPr>
      <w:r>
        <w:t xml:space="preserve">N</w:t>
      </w:r>
    </w:p>
    <w:p>
      <w:pPr>
        <w:pStyle w:val="BodyText"/>
      </w:pPr>
      <w:r>
        <w:t xml:space="preserve">Turning point (raw FSTS)</w:t>
      </w:r>
    </w:p>
    <w:p>
      <w:pPr>
        <w:pStyle w:val="BodyText"/>
      </w:pPr>
      <w:r>
        <w:t xml:space="preserve">95 % delta-method CI</w:t>
      </w:r>
    </w:p>
    <w:p>
      <w:pPr>
        <w:pStyle w:val="BodyText"/>
      </w:pPr>
      <w:r>
        <w:t xml:space="preserve">Lind–Mehlum p</w:t>
      </w:r>
    </w:p>
    <w:p>
      <w:pPr>
        <w:pStyle w:val="BodyText"/>
      </w:pPr>
      <w:r>
        <w:t xml:space="preserve">Vietnam 2009</w:t>
      </w:r>
      <w:r>
        <w:t xml:space="preserve"> </w:t>
      </w:r>
      <w:r>
        <w:t xml:space="preserve">Vietnam 2015</w:t>
      </w:r>
      <w:r>
        <w:t xml:space="preserve"> </w:t>
      </w:r>
      <w:r>
        <w:t xml:space="preserve">Vietnam 2023</w:t>
      </w:r>
      <w:r>
        <w:t xml:space="preserve"> </w:t>
      </w:r>
      <w:r>
        <w:t xml:space="preserve">Vietnam pooled</w:t>
      </w:r>
    </w:p>
    <w:p>
      <w:pPr>
        <w:pStyle w:val="BodyText"/>
      </w:pPr>
      <w:r>
        <w:t xml:space="preserve">989</w:t>
      </w:r>
      <w:r>
        <w:t xml:space="preserve"> </w:t>
      </w:r>
      <w:r>
        <w:t xml:space="preserve">956</w:t>
      </w:r>
      <w:r>
        <w:t xml:space="preserve"> </w:t>
      </w:r>
      <w:r>
        <w:t xml:space="preserve">1,013</w:t>
      </w:r>
      <w:r>
        <w:t xml:space="preserve"> </w:t>
      </w:r>
      <w:r>
        <w:t xml:space="preserve">2,958</w:t>
      </w:r>
    </w:p>
    <w:p>
      <w:pPr>
        <w:pStyle w:val="BodyText"/>
      </w:pPr>
      <w:r>
        <w:t xml:space="preserve">46.2 %</w:t>
      </w:r>
      <w:r>
        <w:t xml:space="preserve"> </w:t>
      </w:r>
      <w:r>
        <w:t xml:space="preserve">39.3 %</w:t>
      </w:r>
      <w:r>
        <w:t xml:space="preserve"> </w:t>
      </w:r>
      <w:r>
        <w:t xml:space="preserve">41.6 %</w:t>
      </w:r>
      <w:r>
        <w:t xml:space="preserve"> </w:t>
      </w:r>
      <w:r>
        <w:t xml:space="preserve">39.7 %</w:t>
      </w:r>
    </w:p>
    <w:p>
      <w:pPr>
        <w:pStyle w:val="BodyText"/>
      </w:pPr>
      <w:r>
        <w:t xml:space="preserve">[37.4 %, 55.1 %]</w:t>
      </w:r>
      <w:r>
        <w:t xml:space="preserve"> </w:t>
      </w:r>
      <w:r>
        <w:t xml:space="preserve">[30.3 %, 48.4 %]</w:t>
      </w:r>
      <w:r>
        <w:t xml:space="preserve"> </w:t>
      </w:r>
      <w:r>
        <w:t xml:space="preserve">[31.7 %, 51.5 %]</w:t>
      </w:r>
      <w:r>
        <w:t xml:space="preserve"> </w:t>
      </w:r>
      <w:r>
        <w:t xml:space="preserve">[34.0 %, 45.5 %]</w:t>
      </w:r>
    </w:p>
    <w:p>
      <w:pPr>
        <w:pStyle w:val="BodyText"/>
      </w:pPr>
      <w:r>
        <w:t xml:space="preserve">.006</w:t>
      </w:r>
      <w:r>
        <w:t xml:space="preserve"> </w:t>
      </w:r>
      <w:r>
        <w:t xml:space="preserve">.009</w:t>
      </w:r>
      <w:r>
        <w:t xml:space="preserve"> </w:t>
      </w:r>
      <w:r>
        <w:t xml:space="preserve">.013</w:t>
      </w:r>
      <w:r>
        <w:t xml:space="preserve"> </w:t>
      </w:r>
      <w:r>
        <w:t xml:space="preserve">&lt; .001</w:t>
      </w:r>
    </w:p>
    <w:p>
      <w:pPr>
        <w:pStyle w:val="BodyText"/>
      </w:pPr>
      <w:r>
        <w:t xml:space="preserve">Turning points are derived from the M2 inverted-U specification (</w:t>
      </w:r>
      <m:oMath>
        <m:r>
          <m:rPr>
            <m:sty m:val="p"/>
          </m:rPr>
          <m:t>ln</m:t>
        </m:r>
        <m:d>
          <m:dPr>
            <m:begChr m:val="("/>
            <m:endChr m:val=")"/>
            <m:sepChr m:val=""/>
            <m:grow/>
          </m:dPr>
          <m:e>
            <m:r>
              <m:rPr>
                <m:sty m:val="p"/>
              </m:rPr>
              <m:t>L</m:t>
            </m:r>
            <m:r>
              <m:rPr>
                <m:sty m:val="p"/>
              </m:rPr>
              <m:t>P</m:t>
            </m:r>
          </m:e>
        </m:d>
      </m:oMath>
      <w:r>
        <w:t xml:space="preserve"> </w:t>
      </w:r>
      <w:r>
        <w:t xml:space="preserve">= β0 + β1</w:t>
      </w:r>
      <w:r>
        <w:t xml:space="preserve"> </w:t>
      </w:r>
      <m:oMath>
        <m:sSup>
          <m:e>
            <m:r>
              <m:rPr>
                <m:sty m:val="p"/>
              </m:rPr>
              <m:t>F</m:t>
            </m:r>
            <m:r>
              <m:rPr>
                <m:sty m:val="p"/>
              </m:rPr>
              <m:t>S</m:t>
            </m:r>
            <m:r>
              <m:rPr>
                <m:sty m:val="p"/>
              </m:rPr>
              <m:t>T</m:t>
            </m:r>
            <m:r>
              <m:rPr>
                <m:sty m:val="p"/>
              </m:rPr>
              <m:t>S</m:t>
            </m:r>
          </m:e>
          <m:sup>
            <m:r>
              <m:t>c</m:t>
            </m:r>
          </m:sup>
        </m:sSup>
      </m:oMath>
      <w:r>
        <w:t xml:space="preserve"> </w:t>
      </w:r>
      <w:r>
        <w:t xml:space="preserve">+ β2</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controls + sector FE [+ wave FE in pooled]) and back-transformed to the raw FSTS scale. 95 %</w:t>
      </w:r>
      <w:r>
        <w:t xml:space="preserve"> </w:t>
      </w:r>
      <w:r>
        <w:t xml:space="preserve">confidence intervals use the delta method on the within-sample</w:t>
      </w:r>
      <w:r>
        <w:t xml:space="preserve"> </w:t>
      </w:r>
      <m:oMath>
        <m:sSup>
          <m:e>
            <m:r>
              <m:rPr>
                <m:sty m:val="p"/>
              </m:rPr>
              <m:t>F</m:t>
            </m:r>
            <m:r>
              <m:rPr>
                <m:sty m:val="p"/>
              </m:rPr>
              <m:t>S</m:t>
            </m:r>
            <m:r>
              <m:rPr>
                <m:sty m:val="p"/>
              </m:rPr>
              <m:t>T</m:t>
            </m:r>
            <m:r>
              <m:rPr>
                <m:sty m:val="p"/>
              </m:rPr>
              <m:t>S</m:t>
            </m:r>
          </m:e>
          <m:sup>
            <m:r>
              <m:t>c</m:t>
            </m:r>
          </m:sup>
        </m:sSup>
      </m:oMath>
      <w:r>
        <w:t xml:space="preserve"> </w:t>
      </w:r>
      <w:r>
        <w:t xml:space="preserve">range. Lind–Mehlum p-values follow</w:t>
      </w:r>
      <w:r>
        <w:t xml:space="preserve"> </w:t>
      </w:r>
      <w:r>
        <w:t xml:space="preserve">the Sasabuchi-style endpoint test for an inverted-U over the observed FSTS range (Lind and Mehlum, 2010).</w:t>
      </w:r>
      <w:r>
        <w:t xml:space="preserve"> </w:t>
      </w:r>
      <w:r>
        <w:t xml:space="preserve">Source: World Bank Enterprise Surveys; authors' calculations.</w:t>
      </w:r>
      <w:r>
        <w:t xml:space="preserve"> </w:t>
      </w:r>
      <w:r>
        <w:t xml:space="preserve">Notes.</w:t>
      </w:r>
    </w:p>
    <w:bookmarkEnd w:id="59"/>
    <w:bookmarkEnd w:id="60"/>
    <w:bookmarkEnd w:id="61"/>
    <w:bookmarkStart w:id="67" w:name="X735612638e4e736e4693e459c258977262c0dfc"/>
    <w:p>
      <w:pPr>
        <w:pStyle w:val="Heading2"/>
      </w:pPr>
      <w:r>
        <w:t xml:space="preserve">5. Discussion</w:t>
      </w:r>
    </w:p>
    <w:bookmarkStart w:id="62" w:name="Xac076a45bfd7ad272f1725313fc0a5f07b5e6aa"/>
    <w:p>
      <w:pPr>
        <w:pStyle w:val="Heading3"/>
      </w:pPr>
      <w:r>
        <w:t xml:space="preserve">5.1 Reinterpreting digital capability in Vietnam</w:t>
      </w:r>
    </w:p>
    <w:p>
      <w:pPr>
        <w:pStyle w:val="FirstParagraph"/>
      </w:pPr>
      <w:r>
        <w:t xml:space="preserve">The central implication of the findings is that foundational digital adoption in Vietnam should</w:t>
      </w:r>
      <w:r>
        <w:t xml:space="preserve"> </w:t>
      </w:r>
      <w:r>
        <w:t xml:space="preserve">not be interpreted as a universal and temporally stable productivity premium. Although both</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are positive on average in pooled specifications, their empirical roles differ</w:t>
      </w:r>
      <w:r>
        <w:t xml:space="preserve"> </w:t>
      </w:r>
      <w:r>
        <w:t xml:space="preserve">materially across waves and across identification strategies (Vahlne, 2020; Stallkamp and Schotter, 2021). This means that website-based digital adoption is not simply a constant background</w:t>
      </w:r>
      <w:r>
        <w:t xml:space="preserve"> </w:t>
      </w:r>
      <w:r>
        <w:t xml:space="preserve">advantage; it is a context-sensitive and stage-dependent source of performance heterogeneity.</w:t>
      </w:r>
    </w:p>
    <w:p>
      <w:pPr>
        <w:pStyle w:val="BodyText"/>
      </w:pPr>
      <w:r>
        <w:t xml:space="preserve">The negative sign on the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lifecycle of internationalisation and transition.</w:t>
      </w:r>
    </w:p>
    <w:bookmarkEnd w:id="62"/>
    <w:bookmarkStart w:id="63" w:name="X11d90782b31b91de7149175db149c9db7848c44"/>
    <w:p>
      <w:pPr>
        <w:pStyle w:val="Heading3"/>
      </w:pPr>
      <w:r>
        <w:t xml:space="preserve">5.2 Why the distinction between TCI and DAI matters</w:t>
      </w:r>
    </w:p>
    <w:p>
      <w:pPr>
        <w:pStyle w:val="FirstParagraph"/>
      </w:pPr>
      <w:r>
        <w:t xml:space="preserve">The results strengthen the theoretical case for separating foreign-technology / standards capability from foundational digital adoption.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w:t>
      </w:r>
      <w:r>
        <w:t xml:space="preserve"> </w:t>
      </w:r>
      <m:oMath>
        <m:acc>
          <m:accPr>
            <m:chr m:val="̃"/>
          </m:accPr>
          <m:e>
            <m:r>
              <m:rPr>
                <m:sty m:val="p"/>
              </m:rPr>
              <m:t>T</m:t>
            </m:r>
            <m:r>
              <m:rPr>
                <m:sty m:val="p"/>
              </m:rPr>
              <m:t>C</m:t>
            </m:r>
            <m:r>
              <m:rPr>
                <m:sty m:val="p"/>
              </m:rPr>
              <m:t>I</m:t>
            </m:r>
          </m:e>
        </m:acc>
      </m:oMath>
      <w:r>
        <w:t xml:space="preserve"> </w:t>
      </w:r>
      <w:r>
        <w:t xml:space="preserve">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reported in 4.5 Panel B reinforces the construct interpretation</w:t>
      </w:r>
      <w:r>
        <w:t xml:space="preserve"> </w:t>
      </w:r>
      <w:r>
        <w:t xml:space="preserve">rather than weakening it. Although the primary</w:t>
      </w:r>
      <w:r>
        <w:t xml:space="preserve"> </w:t>
      </w:r>
      <m:oMath>
        <m:acc>
          <m:accPr>
            <m:chr m:val="̃"/>
          </m:accPr>
          <m:e>
            <m:r>
              <m:rPr>
                <m:sty m:val="p"/>
              </m:rPr>
              <m:t>D</m:t>
            </m:r>
            <m:r>
              <m:rPr>
                <m:sty m:val="p"/>
              </m:rPr>
              <m:t>A</m:t>
            </m:r>
            <m:r>
              <m:rPr>
                <m:sty m:val="p"/>
              </m:rPr>
              <m:t>I</m:t>
            </m:r>
          </m:e>
        </m:acc>
      </m:oMath>
      <w:r>
        <w:t xml:space="preserve"> </w:t>
      </w:r>
      <w:r>
        <w:t xml:space="preserve">anchored on c22b (website presence) is</w:t>
      </w:r>
      <w:r>
        <w:t xml:space="preserve"> </w:t>
      </w:r>
      <w:r>
        <w:t xml:space="preserve">by 2023 close to a Tier-1 baseline indicator, 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available only in 2023, combining c22b with electronic-payment shares (k33, k38), produces a similarly directioned</w:t>
      </w:r>
      <w:r>
        <w:t xml:space="preserve"> </w:t>
      </w:r>
      <w:r>
        <w:t xml:space="preserve">and marginally significant moderation pattern (</w:t>
      </w:r>
      <m:oMath>
        <m:sSup>
          <m:e>
            <m:r>
              <m:rPr>
                <m:sty m:val="p"/>
              </m:rPr>
              <m:t>F</m:t>
            </m:r>
            <m:r>
              <m:rPr>
                <m:sty m:val="p"/>
              </m:rPr>
              <m:t>S</m:t>
            </m:r>
            <m:r>
              <m:rPr>
                <m:sty m:val="p"/>
              </m:rPr>
              <m:t>T</m:t>
            </m:r>
            <m:r>
              <m:rPr>
                <m:sty m:val="p"/>
              </m:rPr>
              <m:t>S</m:t>
            </m:r>
          </m:e>
          <m:sup>
            <m:r>
              <m:t>c</m:t>
            </m:r>
          </m:sup>
        </m:sSup>
      </m:oMath>
      <w:r>
        <w:t xml:space="preserve"> </w:t>
      </w:r>
      <w:r>
        <w:t xml:space="preserve">×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m:oMath>
        <m:acc>
          <m:accPr>
            <m:chr m:val="̃"/>
          </m:accPr>
          <m:e>
            <m:r>
              <m:rPr>
                <m:sty m:val="p"/>
              </m:rPr>
              <m:t>T</m:t>
            </m:r>
            <m:r>
              <m:rPr>
                <m:sty m:val="p"/>
              </m:rPr>
              <m:t>C</m:t>
            </m:r>
            <m:r>
              <m:rPr>
                <m:sty m:val="p"/>
              </m:rPr>
              <m:t>I</m:t>
            </m:r>
          </m:e>
        </m:acc>
      </m:oMath>
      <w:r>
        <w:t xml:space="preserve"> </w:t>
      </w:r>
      <w:r>
        <w:t xml:space="preserve">behaves like a</w:t>
      </w:r>
    </w:p>
    <w:p>
      <w:pPr>
        <w:pStyle w:val="BodyText"/>
      </w:pPr>
      <w:r>
        <w:t xml:space="preserve">robust foreign-technology / standards capability whose productivity association survives both</w:t>
      </w:r>
      <w:r>
        <w:t xml:space="preserve"> </w:t>
      </w:r>
      <w:r>
        <w:t xml:space="preserve">PSM and 2SLS.</w:t>
      </w:r>
      <w:r>
        <w:t xml:space="preserve"> </w:t>
      </w:r>
      <m:oMath>
        <m:acc>
          <m:accPr>
            <m:chr m:val="̃"/>
          </m:accPr>
          <m:e>
            <m:r>
              <m:rPr>
                <m:sty m:val="p"/>
              </m:rPr>
              <m:t>D</m:t>
            </m:r>
            <m:r>
              <m:rPr>
                <m:sty m:val="p"/>
              </m:rPr>
              <m:t>A</m:t>
            </m:r>
            <m:r>
              <m:rPr>
                <m:sty m:val="p"/>
              </m:rPr>
              <m:t>I</m:t>
            </m:r>
          </m:e>
        </m:acc>
      </m:oMath>
      <w:r>
        <w:t xml:space="preserve"> </w:t>
      </w:r>
      <w:r>
        <w:t xml:space="preserve">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63"/>
    <w:bookmarkStart w:id="64" w:name="X946dfeb74c2174371e94edd51e868f8bb309c10"/>
    <w:p>
      <w:pPr>
        <w:pStyle w:val="Heading3"/>
      </w:pPr>
      <w:r>
        <w:t xml:space="preserve">5.3 The significance of the 2015 dip</w:t>
      </w:r>
    </w:p>
    <w:p>
      <w:pPr>
        <w:pStyle w:val="FirstParagraph"/>
      </w:pPr>
      <w:r>
        <w:t xml:space="preserve">Before invoking the macro-infrastructure narrative, it is worth grounding the 2015 null in the micro-structure of the sample itself. As reported in Table 1,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will be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demonstrates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4"/>
    <w:bookmarkStart w:id="65"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w:t>
      </w:r>
    </w:p>
    <w:p>
      <w:pPr>
        <w:pStyle w:val="BodyText"/>
      </w:pPr>
      <w:r>
        <w:t xml:space="preserve">Rather, it</w:t>
      </w:r>
    </w:p>
    <w:p>
      <w:pPr>
        <w:pStyle w:val="BodyText"/>
      </w:pPr>
      <w:r>
        <w:t xml:space="preserve">is that digitalisation should be aligned with organisational readiness and international scale.</w:t>
      </w:r>
      <w:r>
        <w:t xml:space="preserve"> </w:t>
      </w:r>
      <w:r>
        <w:t xml:space="preserve">Foundational digital tools may create value, but the payoff depends on whether those tools are</w:t>
      </w:r>
      <w:r>
        <w:t xml:space="preserve"> </w:t>
      </w:r>
      <w:r>
        <w:t xml:space="preserve">embedded in routines that support export coordination and performance.</w:t>
      </w:r>
      <w:r>
        <w:t xml:space="preserve"> </w:t>
      </w:r>
      <w:r>
        <w:t xml:space="preserve">Managers should also avoid conflating basic digital adoption with deeper technological capability.</w:t>
      </w:r>
    </w:p>
    <w:p>
      <w:pPr>
        <w:pStyle w:val="BodyText"/>
      </w:pPr>
      <w:r>
        <w:t xml:space="preserve">A firm may adopt digital tools without having the learning and upgrading capacity</w:t>
      </w:r>
    </w:p>
    <w:p>
      <w:pPr>
        <w:pStyle w:val="BodyText"/>
      </w:pPr>
      <w:r>
        <w:t xml:space="preserve">needed to sustain performance gains over time.</w:t>
      </w:r>
    </w:p>
    <w:p>
      <w:pPr>
        <w:pStyle w:val="BodyText"/>
      </w:pPr>
      <w:r>
        <w:t xml:space="preserve">Conversely, stronger internal capability may</w:t>
      </w:r>
    </w:p>
    <w:p>
      <w:pPr>
        <w:pStyle w:val="BodyText"/>
      </w:pPr>
      <w:r>
        <w:t xml:space="preserve">allow the firm to convert relatively basic digital adoption into more meaningful outcomes. This</w:t>
      </w:r>
      <w:r>
        <w:t xml:space="preserve"> </w:t>
      </w:r>
      <w:r>
        <w:t xml:space="preserve">distinction is especially important in transitional economies, where firms move through uneven</w:t>
      </w:r>
      <w:r>
        <w:t xml:space="preserve"> </w:t>
      </w:r>
      <w:r>
        <w:t xml:space="preserve">stages of capability development.</w:t>
      </w:r>
    </w:p>
    <w:bookmarkEnd w:id="65"/>
    <w:bookmarkStart w:id="66" w:name="X6fc7b3f4bec2f08f42fd272b14eb963fc931ec0"/>
    <w:p>
      <w:pPr>
        <w:pStyle w:val="Heading3"/>
      </w:pPr>
      <w:r>
        <w:t xml:space="preserve">5.6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will be</w:t>
      </w:r>
      <w:r>
        <w:t xml:space="preserve"> </w:t>
      </w:r>
      <w:r>
        <w:t xml:space="preserve">more consistent with the pattern that emerges in 2023.</w:t>
      </w:r>
      <w:r>
        <w:t xml:space="preserve"> </w:t>
      </w:r>
      <w:r>
        <w:t xml:space="preserve">Third, the lifecycle reading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lifecycle structure seriously will couple short-window outcome measurement with sustained measurement of the capability and infrastructure environment in which firms operate.</w:t>
      </w:r>
    </w:p>
    <w:bookmarkEnd w:id="66"/>
    <w:bookmarkEnd w:id="67"/>
    <w:bookmarkStart w:id="68"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Within-firm change over</w:t>
      </w:r>
      <w:r>
        <w:t xml:space="preserve"> </w:t>
      </w:r>
      <w:r>
        <w:t xml:space="preserve">time cannot be identified, and time-invariant unobserved heterogeneity cannot be netted out at</w:t>
      </w:r>
      <w:r>
        <w:t xml:space="preserve"> </w:t>
      </w:r>
      <w:r>
        <w:t xml:space="preserve">the firm level. The associational language used throughout the paper reflects this constraint and</w:t>
      </w:r>
      <w:r>
        <w:t xml:space="preserve"> </w:t>
      </w:r>
      <w:r>
        <w:t xml:space="preserve">should not be relaxed in any reader's interpretation of the results.</w:t>
      </w:r>
      <w:r>
        <w:t xml:space="preserve"> </w:t>
      </w:r>
      <w:r>
        <w:t xml:space="preserve">Second,</w:t>
      </w:r>
      <w:r>
        <w:t xml:space="preserve"> </w:t>
      </w:r>
      <m:oMath>
        <m:acc>
          <m:accPr>
            <m:chr m:val="̃"/>
          </m:accPr>
          <m:e>
            <m:r>
              <m:rPr>
                <m:sty m:val="p"/>
              </m:rPr>
              <m:t>D</m:t>
            </m:r>
            <m:r>
              <m:rPr>
                <m:sty m:val="p"/>
              </m:rPr>
              <m:t>A</m:t>
            </m:r>
            <m:r>
              <m:rPr>
                <m:sty m:val="p"/>
              </m:rPr>
              <m:t>I</m:t>
            </m:r>
          </m:e>
        </m:acc>
      </m:oMath>
      <w:r>
        <w:t xml:space="preserve"> </w:t>
      </w:r>
      <w:r>
        <w:t xml:space="preserve">captures only a foundational, Tier-1-style layer of digital adoption centred</w:t>
      </w:r>
      <w:r>
        <w:t xml:space="preserve"> </w:t>
      </w:r>
      <w:r>
        <w:t xml:space="preserve">on website presence, rather than digitally integrated organisational capability. 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for the 2023 wave shows that the conditional pattern survives when richer items are</w:t>
      </w:r>
      <w:r>
        <w:t xml:space="preserve"> </w:t>
      </w:r>
      <w:r>
        <w:t xml:space="preserve">available, but a panel of digitally integrated firms with deeper measurement would tighten the</w:t>
      </w:r>
      <w:r>
        <w:t xml:space="preserve"> </w:t>
      </w:r>
      <w:r>
        <w:t xml:space="preserve">construct further and allow a sharper test of whether deeper digital integration exhibits a more</w:t>
      </w:r>
      <w:r>
        <w:t xml:space="preserve"> </w:t>
      </w:r>
      <w:r>
        <w:t xml:space="preserve">stable productivity channel.</w:t>
      </w:r>
      <w:r>
        <w:t xml:space="preserve"> </w:t>
      </w: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lifecycle pattern documented here may not generalise without</w:t>
      </w:r>
      <w:r>
        <w:t xml:space="preserve"> </w:t>
      </w:r>
      <w:r>
        <w:t xml:space="preserve">modification to economies whose digital infrastructure or export composition follows a different</w:t>
      </w:r>
      <w:r>
        <w:t xml:space="preserve"> </w:t>
      </w:r>
      <w:r>
        <w:t xml:space="preserve">trajectory.</w:t>
      </w:r>
      <w:r>
        <w:t xml:space="preserve"> </w:t>
      </w:r>
      <w:r>
        <w:t xml:space="preserve">Fourth, the cross-wave evidence is uneven in statistical strength.</w:t>
      </w:r>
    </w:p>
    <w:p>
      <w:pPr>
        <w:pStyle w:val="BodyText"/>
      </w:pPr>
      <w:r>
        <w:t xml:space="preserve">The Paternoster et al.</w:t>
      </w:r>
    </w:p>
    <w:p>
      <w:pPr>
        <w:pStyle w:val="BodyText"/>
      </w:pPr>
      <w:r>
        <w:t xml:space="preserve">(1998) z-tests confirm that the drop in</w:t>
      </w:r>
      <w:r>
        <w:t xml:space="preserve"> </w:t>
      </w:r>
      <m:oMath>
        <m:acc>
          <m:accPr>
            <m:chr m:val="̃"/>
          </m:accPr>
          <m:e>
            <m:r>
              <m:rPr>
                <m:sty m:val="p"/>
              </m:rPr>
              <m:t>D</m:t>
            </m:r>
            <m:r>
              <m:rPr>
                <m:sty m:val="p"/>
              </m:rPr>
              <m:t>A</m:t>
            </m:r>
            <m:r>
              <m:rPr>
                <m:sty m:val="p"/>
              </m:rPr>
              <m:t>I</m:t>
            </m:r>
          </m:e>
        </m:acc>
      </m:oMath>
      <w:r>
        <w:t xml:space="preserve"> </w:t>
      </w:r>
      <w:r>
        <w:t xml:space="preserve">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lifecycle interpretation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Future work could exploit policy</w:t>
      </w:r>
      <w:r>
        <w:t xml:space="preserve"> </w:t>
      </w:r>
      <w:r>
        <w:t xml:space="preserve">timing, for example, Vietnam's National Digital Transformation Programme launched in 2020, for sharper identification of the digital channel through a policy-evaluation design rather than</w:t>
      </w:r>
      <w:r>
        <w:t xml:space="preserve"> </w:t>
      </w:r>
      <w:r>
        <w:t xml:space="preserve">a cross-wave comparison.</w:t>
      </w:r>
      <w:r>
        <w:t xml:space="preserve"> </w:t>
      </w: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68"/>
    <w:bookmarkStart w:id="69" w:name="X19cad7d15381a9dfa000caf49ac5c69889e188d"/>
    <w:p>
      <w:pPr>
        <w:pStyle w:val="Heading2"/>
      </w:pPr>
      <w:r>
        <w:t xml:space="preserve">7. Conclusion</w:t>
      </w:r>
    </w:p>
    <w:p>
      <w:pPr>
        <w:pStyle w:val="FirstParagraph"/>
      </w:pPr>
      <w:r>
        <w:t xml:space="preserve">This study revisits the internationalisation–performance relationship in Vietnam by distinguishing foreign-technology / standards capability from foundational digital adoption and by comparing pooled with wave-specific evidence.</w:t>
      </w:r>
    </w:p>
    <w:p>
      <w:pPr>
        <w:pStyle w:val="BodyText"/>
      </w:pPr>
      <w:r>
        <w:t xml:space="preserve">The findings show that the internationalisation–</w:t>
      </w:r>
    </w:p>
    <w:p>
      <w:pPr>
        <w:pStyle w:val="BodyText"/>
      </w:pPr>
      <w:r>
        <w:t xml:space="preserve">performance relationship is non-monotonic in the full sample, but that this pattern is driven</w:t>
      </w:r>
      <w:r>
        <w:t xml:space="preserve"> </w:t>
      </w:r>
      <w:r>
        <w:t xml:space="preserve">primarily by a participation-and-intensity structure rather than by strong within-exporter curvature alone.</w:t>
      </w:r>
      <w:r>
        <w:t xml:space="preserve"> </w:t>
      </w:r>
      <w:r>
        <w:t xml:space="preserve">The results also show that the two capability domains should not be treated as interchangeable. Technological capability is comparatively stable and identification-robust across specifications, whereas foundational digital adoption is more wave-sensitive and only exhibits withinsample detectable moderation in 2023. The broader implication is that the productivity relevance</w:t>
      </w:r>
      <w:r>
        <w:t xml:space="preserve"> </w:t>
      </w:r>
      <w:r>
        <w:t xml:space="preserve">of basic digital adoption in a transitional economy is real but uneven, and that pooled averages</w:t>
      </w:r>
      <w:r>
        <w:t xml:space="preserve"> </w:t>
      </w:r>
      <w:r>
        <w:t xml:space="preserve">can conceal important temporal heterogeneity in when and how digital adoption matters.</w:t>
      </w:r>
    </w:p>
    <w:bookmarkEnd w:id="69"/>
    <w:bookmarkStart w:id="70" w:name="conflict-of-interest"/>
    <w:p>
      <w:pPr>
        <w:pStyle w:val="Heading2"/>
      </w:pPr>
      <w:r>
        <w:t xml:space="preserve">Conflict of interest</w:t>
      </w:r>
    </w:p>
    <w:p>
      <w:pPr>
        <w:pStyle w:val="FirstParagraph"/>
      </w:pPr>
      <w:r>
        <w:t xml:space="preserve">The authors declare no conflict of interest.</w:t>
      </w:r>
    </w:p>
    <w:bookmarkEnd w:id="70"/>
    <w:bookmarkStart w:id="71"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1"/>
    <w:bookmarkStart w:id="72"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2"/>
    <w:bookmarkStart w:id="7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3"/>
    <w:bookmarkStart w:id="74" w:name="acknowledgements"/>
    <w:p>
      <w:pPr>
        <w:pStyle w:val="Heading2"/>
      </w:pPr>
      <w:r>
        <w:t xml:space="preserve">Acknowledgements</w:t>
      </w:r>
    </w:p>
    <w:p>
      <w:pPr>
        <w:pStyle w:val="FirstParagraph"/>
      </w:pPr>
      <w:r>
        <w:t xml:space="preserve">This study uses data from the World Bank Enterprise Surveys. We thank the Enterprise Analysis</w:t>
      </w:r>
      <w:r>
        <w:t xml:space="preserve"> </w:t>
      </w:r>
      <w:r>
        <w:t xml:space="preserve">Unit of the Development Economics Global Indicators Group of the World Bank for providing</w:t>
      </w:r>
      <w:r>
        <w:t xml:space="preserve"> </w:t>
      </w:r>
      <w:r>
        <w:t xml:space="preserve">access to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4"/>
    <w:bookmarkStart w:id="75"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1),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3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5"/>
    <w:bookmarkStart w:id="78"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 24(4):678–693.</w:t>
      </w:r>
    </w:p>
    <w:p>
      <w:pPr>
        <w:pStyle w:val="BodyText"/>
      </w:pPr>
      <w:r>
        <w:t xml:space="preserve">Antonakis, J., Bendahan, S., Jacquart, P., and Lalive, R. (2010). On making causal claims: A review and recommendations. The Leadership Quarterly, 21(6):1086–1120.</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Banalieva, E. R. and Dhanaraj, C. (2019). Internalization theory for the digital economy. Journal of International Business Studies, 50(8):1372–1387.</w:t>
      </w:r>
    </w:p>
    <w:p>
      <w:pPr>
        <w:pStyle w:val="BodyText"/>
      </w:pPr>
      <w:r>
        <w:t xml:space="preserve">Bernard, A. B., Jensen, J. B., Redding, S. J., and Schott, P. K. (2007). Firms in international trade. Journal of Economic Perspectives, 21(3):105–130.</w:t>
      </w:r>
    </w:p>
    <w:p>
      <w:pPr>
        <w:pStyle w:val="BodyText"/>
      </w:pPr>
      <w:r>
        <w:t xml:space="preserve">Bharadwaj, A., El Sawy, O. A., Pavlou, P. A., and Venkatraman, N. (2013). Digital business strategy: Toward a next generation of insights. MIS Quarterly, 37(2):471–482.</w:t>
      </w:r>
    </w:p>
    <w:p>
      <w:pPr>
        <w:pStyle w:val="BodyText"/>
      </w:pPr>
      <w:r>
        <w:t xml:space="preserve">Brouthers, K. D., Geisser, K. D., and Rothlauf, F. (2016). Explaining the internationalization of ibusiness firms. Journal of International Business Studies, 47(5):513–534.</w:t>
      </w:r>
    </w:p>
    <w:p>
      <w:pPr>
        <w:pStyle w:val="BodyText"/>
      </w:pPr>
      <w:r>
        <w:t xml:space="preserve">Brynjolfsson, E., Rock, D., and Syverson, C. (2021). The productivity J-curve: How intangibles complement general purpose technologies. American Economic Journal: Macroeconomics, 13(1):333–372.</w:t>
      </w:r>
    </w:p>
    <w:p>
      <w:pPr>
        <w:pStyle w:val="BodyText"/>
      </w:pPr>
      <w:r>
        <w:t xml:space="preserve">Certo, S. T., Busenbark, J. R., Woo, H.-s., and Semadeni, M. (2016). and Heckman models in strategic management research. Sample selection bias Strategic Management Journal, 37(13):2639–2657.</w:t>
      </w:r>
    </w:p>
    <w:p>
      <w:pPr>
        <w:pStyle w:val="BodyText"/>
      </w:pPr>
      <w:r>
        <w:t xml:space="preserve">Cohen, W. M. and Levinthal, D. A. (1990). Absorptive capacity: A new perspective on learning and innovation. Administrative Science Quarterly, 35(1):128–152.</w:t>
      </w:r>
    </w:p>
    <w:p>
      <w:pPr>
        <w:pStyle w:val="BodyText"/>
      </w:pPr>
      <w:r>
        <w:t xml:space="preserve">Contractor, F. J. (2007). Is international business good for companies? The evolutionary or multi-stage theory of internationalization vs. the transaction cost perspective. Management International Review, 47(3):453–475.</w:t>
      </w:r>
    </w:p>
    <w:p>
      <w:pPr>
        <w:pStyle w:val="BodyText"/>
      </w:pPr>
      <w:r>
        <w:t xml:space="preserve">Coviello, N., Kano, L., and Liesch, P. W. (2017). Adapting the Uppsala model to a modern world: Macro-context and microfoundations. Journal of International Business Studies, 48(9):1151– 1164. Cuervo-Cazurra, A. and Genc, M. (2008). Transforming disadvantages into advantages: Developing-country MNEs in the least developed countries. Journal of International Business Studies, 39(6):957–979.</w:t>
      </w:r>
    </w:p>
    <w:p>
      <w:pPr>
        <w:pStyle w:val="BodyText"/>
      </w:pPr>
      <w:r>
        <w:t xml:space="preserve">Dang, T. M. D., Le, V., &amp; Nguyen, T. T. (2024). Export persistence and productivity in Vietnam: Who learns?</w:t>
      </w:r>
      <w:r>
        <w:t xml:space="preserve"> </w:t>
      </w:r>
      <w:r>
        <w:rPr>
          <w:iCs/>
          <w:i/>
        </w:rPr>
        <w:t xml:space="preserve">Journal of Economic Integration</w:t>
      </w:r>
      <w:r>
        <w:t xml:space="preserve">,</w:t>
      </w:r>
      <w:r>
        <w:t xml:space="preserve"> </w:t>
      </w:r>
      <w:r>
        <w:rPr>
          <w:iCs/>
          <w:i/>
        </w:rPr>
        <w:t xml:space="preserve">39</w:t>
      </w:r>
      <w:r>
        <w:t xml:space="preserve">(2), 234–262.</w:t>
      </w:r>
    </w:p>
    <w:p>
      <w:pPr>
        <w:pStyle w:val="BodyText"/>
      </w:pPr>
      <w:r>
        <w:t xml:space="preserve">Eisenhardt, K. M. and Martin, J. A. (2000). Dynamic capabilities: What are they? Strategic Management Journal, 21(10–11):1105–1121.</w:t>
      </w:r>
    </w:p>
    <w:p>
      <w:pPr>
        <w:pStyle w:val="BodyText"/>
      </w:pPr>
      <w:r>
        <w:t xml:space="preserve">Goldfarb, A. and Tucker, C. (2019). Digital economics. Journal of Economic Literature, 57(1):3– 43.</w:t>
      </w:r>
    </w:p>
    <w:p>
      <w:pPr>
        <w:pStyle w:val="BodyText"/>
      </w:pPr>
      <w:r>
        <w:t xml:space="preserve">Haans, R. F. J., Pieters, C., and He, Z.-L. (2016). Thinking about U: Theorizing and testing Uand inverted-U-shaped relationships in strategy research. Strategic Management Journal, 37(7):1177–1195.</w:t>
      </w:r>
    </w:p>
    <w:p>
      <w:pPr>
        <w:pStyle w:val="BodyText"/>
      </w:pPr>
      <w:r>
        <w:t xml:space="preserve">Hanelt, A., Bohnsack, R., Marz, D., and Antunes Marante, C. (2021). A systematic review of the literature on digital transformation: Insights and implications for strategy and organizational change. Journal of Management Studies, 58(5):1159–1197.</w:t>
      </w:r>
    </w:p>
    <w:p>
      <w:pPr>
        <w:pStyle w:val="BodyText"/>
      </w:pPr>
      <w:r>
        <w:t xml:space="preserve">Heckman, J. J. (1979). Sample selection bias as a specification error. Econometrica, 47(1):153– 161.</w:t>
      </w:r>
    </w:p>
    <w:p>
      <w:pPr>
        <w:pStyle w:val="BodyText"/>
      </w:pPr>
      <w:r>
        <w:t xml:space="preserve">Hennart, J.-F. (2007). The theoretical rationale for a multinationality–performance relationship. Management International Review, 47(3):423–452.</w:t>
      </w:r>
    </w:p>
    <w:p>
      <w:pPr>
        <w:pStyle w:val="BodyText"/>
      </w:pPr>
      <w:r>
        <w:t xml:space="preserve">Hennart, J.-F. (2011). A theoretical assessment of the empirical literature on the impact of multinationality on performance. Global Strategy Journal, 1(1–2):135–151.</w:t>
      </w:r>
    </w:p>
    <w:p>
      <w:pPr>
        <w:pStyle w:val="BodyText"/>
      </w:pPr>
      <w:r>
        <w:t xml:space="preserve">Karna, A., Richter, A., and Riesenkampff, E. (2016). Revisiting the role of the environment in the capabilities–financial performance relationship: A meta-analysis. Strategic Management Journal, 37(6):1154–1173.</w:t>
      </w:r>
    </w:p>
    <w:p>
      <w:pPr>
        <w:pStyle w:val="BodyText"/>
      </w:pPr>
      <w:r>
        <w:t xml:space="preserve">Knight, G. A. and Liesch, P. W. (2016). Internationalization: From incremental to born global. Journal of World Business, 51(1):93–102.</w:t>
      </w:r>
    </w:p>
    <w:p>
      <w:pPr>
        <w:pStyle w:val="BodyText"/>
      </w:pPr>
      <w:r>
        <w:t xml:space="preserve">Lall, S. (1992). Technological capabilities and industrialization. World Development, 20(2):165–186.</w:t>
      </w:r>
    </w:p>
    <w:p>
      <w:pPr>
        <w:pStyle w:val="BodyText"/>
      </w:pPr>
      <w:r>
        <w:t xml:space="preserve">Lind, J. T. and Mehlum, H. (2010). With or without U? The appropriate test for a U-shaped relationship. Oxford Bulletin of Economics and Statistics, 72(1):109–118.</w:t>
      </w:r>
    </w:p>
    <w:p>
      <w:pPr>
        <w:pStyle w:val="BodyText"/>
      </w:pPr>
      <w:r>
        <w:t xml:space="preserve">Lu, J. W. and Beamish, P. W. (2004). International diversification and firm performance: The S-curve hypothesis. Academy of Management Journal, 47(4):598–609.</w:t>
      </w:r>
    </w:p>
    <w:p>
      <w:pPr>
        <w:pStyle w:val="BodyText"/>
      </w:pPr>
      <w:r>
        <w:t xml:space="preserve">Marano, V., Arregle, J.-L., Hitt, M. A., Spadafora, E., and van Essen, M. (2016). Home country institutions and the internationalization–performance relationship: A meta-analytic review. Journal of Management, 42(5):1075–1110.</w:t>
      </w:r>
    </w:p>
    <w:p>
      <w:pPr>
        <w:pStyle w:val="BodyText"/>
      </w:pPr>
      <w:r>
        <w:t xml:space="preserve">Nambisan, S., Wright, M., and Feldman, M. (2019). The digital transformation of innovation and entrepreneurship: Progress, challenges and key themes. Research Policy, 48(8):103773.</w:t>
      </w:r>
    </w:p>
    <w:p>
      <w:pPr>
        <w:pStyle w:val="BodyText"/>
      </w:pPr>
      <w:r>
        <w:t xml:space="preserve">Ngo, V. D., Nguyen, T. T., &amp; Hoang, T. T. (2024). Export-specific investments, competitive advantage, and performance in Vietnamese SMEs: The moderating role of domestic market conditions.</w:t>
      </w:r>
      <w:r>
        <w:t xml:space="preserve"> </w:t>
      </w:r>
      <w:r>
        <w:rPr>
          <w:iCs/>
          <w:i/>
        </w:rPr>
        <w:t xml:space="preserve">Journal of Business Research</w:t>
      </w:r>
      <w:r>
        <w:t xml:space="preserve">,</w:t>
      </w:r>
      <w:r>
        <w:t xml:space="preserve"> </w:t>
      </w:r>
      <w:r>
        <w:rPr>
          <w:iCs/>
          <w:i/>
        </w:rPr>
        <w:t xml:space="preserve">176</w:t>
      </w:r>
      <w:r>
        <w:t xml:space="preserve">, 114577.</w:t>
      </w:r>
      <w:r>
        <w:t xml:space="preserve"> </w:t>
      </w:r>
      <w:hyperlink r:id="rId76">
        <w:r>
          <w:rPr>
            <w:rStyle w:val="Hyperlink"/>
          </w:rPr>
          <w:t xml:space="preserve">https://doi.org/10.1016/j.jbusres.2024.114577</w:t>
        </w:r>
      </w:hyperlink>
    </w:p>
    <w:p>
      <w:pPr>
        <w:pStyle w:val="BodyText"/>
      </w:pPr>
      <w:r>
        <w:t xml:space="preserve">Nguyen, D. P. K., Phan, T. M., &amp; Le, T. T. H. (2025). The simultaneous relationship between labor productivity and exports: The case of small and medium-sized enterprises in Vietnam.</w:t>
      </w:r>
      <w:r>
        <w:t xml:space="preserve"> </w:t>
      </w:r>
      <w:r>
        <w:rPr>
          <w:iCs/>
          <w:i/>
        </w:rPr>
        <w:t xml:space="preserve">Ho Chi Minh City Open University Journal of Science: Economics and Business Administration</w:t>
      </w:r>
      <w:r>
        <w:t xml:space="preserve">,</w:t>
      </w:r>
      <w:r>
        <w:t xml:space="preserve"> </w:t>
      </w:r>
      <w:r>
        <w:rPr>
          <w:iCs/>
          <w:i/>
        </w:rPr>
        <w:t xml:space="preserve">20</w:t>
      </w:r>
      <w:r>
        <w:t xml:space="preserve">(1), 1–18.</w:t>
      </w:r>
    </w:p>
    <w:p>
      <w:pPr>
        <w:pStyle w:val="BodyText"/>
      </w:pPr>
      <w:r>
        <w:t xml:space="preserve">Oster, E. (2019). Unobservable selection and coefficient stability: Theory and evidence. Journal of Business &amp; Economic Statistics, 37(2):187–204.</w:t>
      </w:r>
    </w:p>
    <w:p>
      <w:pPr>
        <w:pStyle w:val="BodyText"/>
      </w:pPr>
      <w:r>
        <w:t xml:space="preserve">Paternoster, R., Brame, R., Mazerolle, P., and Piquero, A. (1998). Using the correct statistical test for the equality of regression coefficients. Criminology, 36(4):859–866.</w:t>
      </w:r>
    </w:p>
    <w:p>
      <w:pPr>
        <w:pStyle w:val="BodyText"/>
      </w:pPr>
      <w:r>
        <w:t xml:space="preserve">Petricevic, O. and Teece, D. J. (2019). The structural reshaping of globalization: Implications for strategic sectors, profiting from innovation, and the multinational enterprise. Journal of International Business Studies, 50(9):1487–1512.</w:t>
      </w:r>
    </w:p>
    <w:p>
      <w:pPr>
        <w:pStyle w:val="BodyText"/>
      </w:pPr>
      <w:r>
        <w:t xml:space="preserve">Pisani, N., Garcia-Bernardo, J., and Heemskerk, E. (2020). Does it pay to be a multinational? A large-sample, cross-national replication assessing the multinationality–performance relationship. Strategic Management Journal, 41(1):152–172.</w:t>
      </w:r>
    </w:p>
    <w:p>
      <w:pPr>
        <w:pStyle w:val="BodyText"/>
      </w:pPr>
      <w:r>
        <w:t xml:space="preserve">Shaver, J. M. (2020). Causal identification through a cumulative body of research in the study of strategy and organizations. Journal of Management, 46(7):1244–1256.</w:t>
      </w:r>
    </w:p>
    <w:p>
      <w:pPr>
        <w:pStyle w:val="BodyText"/>
      </w:pPr>
      <w:r>
        <w:t xml:space="preserve">Stallkamp, M. and Schotter, A. P. J. (2021). Platforms without borders? The international strategies of digital platform firms. Global Strategy Journal, 11(1):58–80.</w:t>
      </w:r>
    </w:p>
    <w:p>
      <w:pPr>
        <w:pStyle w:val="BodyText"/>
      </w:pPr>
      <w:r>
        <w:t xml:space="preserve">Strange, R. and Zucchella, A. (2017). Industry 4.0, global value chains and international business. Multinational Business Review, 25(3):174–184.</w:t>
      </w:r>
    </w:p>
    <w:p>
      <w:pPr>
        <w:pStyle w:val="BodyText"/>
      </w:pPr>
      <w:r>
        <w:t xml:space="preserve">Teece, D. J. (2007). Explicating dynamic capabilities: The nature and microfoundations of (sustainable) enterprise performance. Strategic Management Journal, 28(13):1319–1350.</w:t>
      </w:r>
    </w:p>
    <w:p>
      <w:pPr>
        <w:pStyle w:val="BodyText"/>
      </w:pPr>
      <w:r>
        <w:t xml:space="preserve">Tran, T. T., Le, T. H., &amp; Pham, V. K. (2025). The impact of innovation-driven digital transformation on export performance of SMEs.</w:t>
      </w:r>
      <w:r>
        <w:t xml:space="preserve"> </w:t>
      </w:r>
      <w:r>
        <w:rPr>
          <w:iCs/>
          <w:i/>
        </w:rPr>
        <w:t xml:space="preserve">Emerging Science Journal</w:t>
      </w:r>
      <w:r>
        <w:t xml:space="preserve">,</w:t>
      </w:r>
      <w:r>
        <w:t xml:space="preserve"> </w:t>
      </w:r>
      <w:r>
        <w:rPr>
          <w:iCs/>
          <w:i/>
        </w:rPr>
        <w:t xml:space="preserve">9</w:t>
      </w:r>
      <w:r>
        <w:t xml:space="preserve">(2), 451–467.</w:t>
      </w:r>
      <w:r>
        <w:t xml:space="preserve"> </w:t>
      </w:r>
      <w:hyperlink r:id="rId77">
        <w:r>
          <w:rPr>
            <w:rStyle w:val="Hyperlink"/>
          </w:rPr>
          <w:t xml:space="preserve">https://doi.org/10.28991/ESJ-2025-09-02-018</w:t>
        </w:r>
      </w:hyperlink>
    </w:p>
    <w:p>
      <w:pPr>
        <w:pStyle w:val="BodyText"/>
      </w:pPr>
      <w:r>
        <w:t xml:space="preserve">Vahlne, J.-E. (2020). Development of the Uppsala model of internationalization process: From internationalization to evolution. Global Strategy Journal, 10(2):239–250.</w:t>
      </w:r>
    </w:p>
    <w:p>
      <w:pPr>
        <w:pStyle w:val="BodyText"/>
      </w:pPr>
      <w:r>
        <w:t xml:space="preserve">Vahlne, J.-E. and Johanson, J. (2017). From internationalization to evolution: The Uppsala model at 40 years. Journal of International Business Studies, 48(9):1087–1102.</w:t>
      </w:r>
    </w:p>
    <w:p>
      <w:pPr>
        <w:pStyle w:val="BodyText"/>
      </w:pPr>
      <w:r>
        <w:t xml:space="preserve">Verhoef, P. C., Broekhuizen, T., Bart, Y., Bhattacharya, A., Dong, J. Q., Fabian, N., and Haenlein, M. (2021). Digital transformation: A multidisciplinary reflection and research agenda. Journal of Business Research, 122:889–901.</w:t>
      </w:r>
    </w:p>
    <w:p>
      <w:pPr>
        <w:pStyle w:val="BodyText"/>
      </w:pPr>
      <w:r>
        <w:t xml:space="preserve">Vernon, R. (1979). The product cycle hypothesis in a new international environment. Oxford Bulletin of Economics and Statistics, 41(4):255–267.</w:t>
      </w:r>
    </w:p>
    <w:p>
      <w:pPr>
        <w:pStyle w:val="BodyText"/>
      </w:pPr>
      <w:r>
        <w:t xml:space="preserve">Vial, G. (2019). Understanding digital transformation: A review and a research agenda. Journal of Strategic Information Systems, 28(2):118–144.</w:t>
      </w:r>
    </w:p>
    <w:p>
      <w:pPr>
        <w:pStyle w:val="BodyText"/>
      </w:pPr>
      <w:r>
        <w:t xml:space="preserve">Wagner, J. (2007). Exports and productivity: A survey of the evidence from firm-level data. The World Economy, 30(1):60–82.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and Siegel, J. (2019). Misaccounting for endogeneity: The peril of relying on the Heckman two-step method without a valid instrument. Strategic Management Journal, 40(3):432–462.</w:t>
      </w:r>
    </w:p>
    <w:p>
      <w:pPr>
        <w:pStyle w:val="BodyText"/>
      </w:pPr>
      <w:r>
        <w:t xml:space="preserve">Wooldridge, J. M. (2010). Econometric analysis of cross section and panel data. MIT Press, 2nd edition.</w:t>
      </w:r>
    </w:p>
    <w:p>
      <w:pPr>
        <w:pStyle w:val="BodyText"/>
      </w:pPr>
      <w:r>
        <w:t xml:space="preserve">World Bank (2010). Vietnam Enterprise Survey 2009: Data file. Enterprise Surveys, World Bank Group.</w:t>
      </w:r>
    </w:p>
    <w:p>
      <w:pPr>
        <w:pStyle w:val="BodyText"/>
      </w:pPr>
      <w:r>
        <w:t xml:space="preserve">World Bank (2016). Vietnam Enterprise Survey 2015: Data file. Enterprise Surveys, World Bank Group.</w:t>
      </w:r>
    </w:p>
    <w:p>
      <w:pPr>
        <w:pStyle w:val="BodyText"/>
      </w:pPr>
      <w:r>
        <w:t xml:space="preserve">World Bank (2024). Vietnam Enterprise Survey 2023: Data file. Enterprise Surveys, World Bank Group.</w:t>
      </w:r>
    </w:p>
    <w:p>
      <w:pPr>
        <w:pStyle w:val="BodyText"/>
      </w:pPr>
      <w:r>
        <w:t xml:space="preserve">Wright, M., Filatotchev, I., Hoskisson, R. E., and Peng, M. W. (2005). Strategy research in emerging economies: Challenging the conventional wisdom. Journal of Management Studies, 42(1):1–33.</w:t>
      </w:r>
    </w:p>
    <w:p>
      <w:pPr>
        <w:pStyle w:val="BodyText"/>
      </w:pPr>
      <w:r>
        <w:t xml:space="preserve">Wu, F., Fan, D., and Chen, L. (2022). Untangling the internationalization–performance relationship in emerging-economy multinationals: A meta-analytic review. Management International Review, 62(3):315–354.</w:t>
      </w:r>
    </w:p>
    <w:p>
      <w:pPr>
        <w:pStyle w:val="BodyText"/>
      </w:pPr>
      <w:r>
        <w:t xml:space="preserve">Wu, J., Wang, C., Hong, J., Piperopoulos, P., and Zhuo, S. (2016). Internationalization and innovation performance of emerging market enterprises: The role of host-country institutional development. Journal of World Business, 51(2):251–263.</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1"/>
  </w:num>
  <w:num w:numId="1002">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hyperlink" Id="rId76" Target="https://doi.org/10.1016/j.jbusres.2024.114577" TargetMode="External" /><Relationship Type="http://schemas.openxmlformats.org/officeDocument/2006/relationships/hyperlink" Id="rId77" Target="https://doi.org/10.28991/ESJ-2025-09-02-018"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16/j.jbusres.2024.114577" TargetMode="External" /><Relationship Type="http://schemas.openxmlformats.org/officeDocument/2006/relationships/hyperlink" Id="rId77" Target="https://doi.org/10.28991/ESJ-2025-09-02-0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2026-05-21T10:12:21Z</dcterms:created>
  <dcterms:modified xsi:type="dcterms:W3CDTF">2026-05-21T10:12:21Z</dcterms:modified>
</cp:coreProperties>
</file>

<file path=docProps/custom.xml><?xml version="1.0" encoding="utf-8"?>
<Properties xmlns="http://schemas.openxmlformats.org/officeDocument/2006/custom-properties" xmlns:vt="http://schemas.openxmlformats.org/officeDocument/2006/docPropsVTypes"/>
</file>