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1ec000fb4d959ea3eaa1ee73b64d0d26ed5cdac"/>
    <w:p>
      <w:pPr>
        <w:pStyle w:val="Heading1"/>
      </w:pPr>
      <w:r>
        <w:t xml:space="preserve">Mối quan hệ giữa cường độ xuất khẩu và hiệu quả hoạt động kinh doanh của doanh nghiệp tư nhân Trung Quốc: Góc nhìn ngưỡng — bền vững</w:t>
      </w:r>
    </w:p>
    <w:p>
      <w:pPr>
        <w:pStyle w:val="FirstParagraph"/>
      </w:pPr>
      <w:r>
        <w:rPr>
          <w:iCs/>
          <w:i/>
        </w:rPr>
        <w:t xml:space="preserve">v1.9 (BLINDED), nộp tới International Journal of Emerging Markets (IJOEM)</w:t>
      </w:r>
    </w:p>
    <w:p>
      <w:pPr>
        <w:pStyle w:val="BodyText"/>
      </w:pPr>
      <w:r>
        <w:rPr>
          <w:iCs/>
          <w:i/>
        </w:rPr>
        <w:t xml:space="preserve">2026-05-06 (v1.9 biên tập: blind self-cites for APJM submission — ICBEF 2025, JFAR 2026, VEFR 2026; bổ sung Highlights + JEL + Phân loại bản thảo; loại bỏ tham chiếu chéo tới các working paper đồng hành chưa nộp về Việt Nam và Singapore)</w:t>
      </w:r>
    </w:p>
    <w:p>
      <w:r>
        <w:pict>
          <v:rect style="width:0;height:1.5pt" o:hralign="center" o:hrstd="t" o:hr="t"/>
        </w:pict>
      </w:r>
    </w:p>
    <w:p>
      <w:pPr>
        <w:pStyle w:val="FirstParagraph"/>
      </w:pPr>
      <w:r>
        <w:rPr>
          <w:bCs/>
          <w:b/>
        </w:rPr>
        <w:t xml:space="preserve">Phân loại bản thảo:</w:t>
      </w:r>
      <w:r>
        <w:t xml:space="preserve"> </w:t>
      </w:r>
      <w:r>
        <w:t xml:space="preserve">bài báo nghiên cứu (research article).</w:t>
      </w:r>
    </w:p>
    <w:p>
      <w:pPr>
        <w:pStyle w:val="BodyText"/>
      </w:pPr>
      <w:r>
        <w:rPr>
          <w:bCs/>
          <w:b/>
        </w:rPr>
        <w:t xml:space="preserve">Số từ</w:t>
      </w:r>
      <w:r>
        <w:t xml:space="preserve"> </w:t>
      </w:r>
      <w:r>
        <w:t xml:space="preserve">(phần chính, không tính tóm tắt, tài liệu tham khảo, bảng và hình): khoảng 7.200 từ.</w:t>
      </w:r>
    </w:p>
    <w:p>
      <w:pPr>
        <w:pStyle w:val="BodyText"/>
      </w:pPr>
      <w:r>
        <w:rPr>
          <w:bCs/>
          <w:b/>
        </w:rPr>
        <w:t xml:space="preserve">Bảng:</w:t>
      </w:r>
      <w:r>
        <w:t xml:space="preserve"> </w:t>
      </w:r>
      <w:r>
        <w:t xml:space="preserve">3 (Bảng 1 thống kê mô tả theo đợt khảo sát; Bảng 2 mô hình ngưỡng chính M2; Bảng 3 đặc tả điều tiết ba chiều với kiểm định F liên hợp).</w:t>
      </w:r>
    </w:p>
    <w:p>
      <w:pPr>
        <w:pStyle w:val="BodyText"/>
      </w:pPr>
      <w:r>
        <w:rPr>
          <w:bCs/>
          <w:b/>
        </w:rPr>
        <w:t xml:space="preserve">Hình:</w:t>
      </w:r>
      <w:r>
        <w:t xml:space="preserve"> </w:t>
      </w:r>
      <w:r>
        <w:t xml:space="preserve">4 (Hình 1 mô hình khái niệm; Hình 2 ước lượng điểm ngoặt với khoảng tin cậy 95 %; Hình 3 đường cong I–P dự đoán theo đợt khảo sát; Hình 4 hệ số dịch chuyển mức theo năng lực).</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xem xét liệu mối quan hệ chữ U ngược giữa cường độ xuất khẩu và hiệu quả hoạt động kinh doanh ở các doanh nghiệp tư nhân Trung Quốc có bền vững về mặt cấu trúc hay chỉ đặc thù theo đợt khảo sát. Đồng thời, nghiên cứu làm rõ vai trò của năng lực công nghệ và áp dụng công nghệ số nền tảng trong việc hình thành mối quan hệ này, dưới điều kiện chuyển đổi cấu trúc và chuyển đổi số đáng kể.</w:t>
      </w:r>
    </w:p>
    <w:p>
      <w:pPr>
        <w:pStyle w:val="BodyText"/>
      </w:pPr>
      <w:r>
        <w:rPr>
          <w:bCs/>
          <w:b/>
        </w:rPr>
        <w:t xml:space="preserve">Thiết kế / phương pháp luận / cách tiếp cận.</w:t>
      </w:r>
      <w:r>
        <w:t xml:space="preserve"> </w:t>
      </w:r>
      <w:r>
        <w:t xml:space="preserve">Nghiên cứu sử dụng dữ liệu vi mô từ Khảo sát Doanh nghiệp của Ngân hàng Thế giới cho Trung Quốc (2012, N = 2.619; 2024, N = 1.940; mẫu gộp N = 4.559). Các mô hình bậc hai có tương tác chéo đợt khảo sát và tương tác với năng lực được ước lượng, kèm sai số chuẩn vững HC1 và kiểm định z Paternoster chéo đợt khảo sát cho tính ổn định của hệ số. Chỉ số Năng lực Công nghệ (Technological Capability Index, TCI) được xây dựng từ chứng nhận chất lượng quốc tế và công nghệ được cấp phép nước ngoài. Chỉ báo hiện diện số đơn mục dựa trên sở hữu website riêng được phân biệt với TCI.</w:t>
      </w:r>
    </w:p>
    <w:p>
      <w:pPr>
        <w:pStyle w:val="BodyText"/>
      </w:pPr>
      <w:r>
        <w:rPr>
          <w:bCs/>
          <w:b/>
        </w:rPr>
        <w:t xml:space="preserve">Kết quả nghiên cứu.</w:t>
      </w:r>
      <w:r>
        <w:t xml:space="preserve"> </w:t>
      </w:r>
      <w:r>
        <w:t xml:space="preserve">Các điểm ngoặt ước lượng nằm trong khoảng rất hẹp qua các đợt khảo sát: gần 49 % doanh thu xuất khẩu trên tổng doanh thu năm 2012 và 47 % năm 2024, với các khoảng tin cậy 95 % theo phương pháp delta chồng lấn nhau. Các kiểm định z chéo đợt khảo sát không bác bỏ tính bằng nhau của hệ số tuyến tính và hệ số bậc hai. Năng lực công nghệ có liên hệ thuận chiều mạnh với năng suất ở cả hai đợt khảo sát; chỉ báo hiện diện số có liên hệ thuận chiều nhưng yếu hơn trong năm 2024 và mẫu gộp. Dẫu vậy, không cấu trúc nào điều tiết bền vững độ cong của chữ U ngược: các tương tác năng lực-độ cong chỉ ở mức biên, và kiểm định điều tiết động ba chiều năng lực-đợt-độ cong không có ý nghĩa thống kê.</w:t>
      </w:r>
    </w:p>
    <w:p>
      <w:pPr>
        <w:pStyle w:val="BodyText"/>
      </w:pPr>
      <w:r>
        <w:rPr>
          <w:bCs/>
          <w:b/>
        </w:rPr>
        <w:t xml:space="preserve">Tính mới / đóng góp.</w:t>
      </w:r>
      <w:r>
        <w:t xml:space="preserve"> </w:t>
      </w:r>
      <w:r>
        <w:t xml:space="preserve">Nghiên cứu đóng góp cho kinh doanh quốc tế bằng cách tái định khung ngưỡng chữ U ngược ở các doanh nghiệp tư nhân Trung Quốc, từ quy luật đặc thù của mẫu thành đặc trưng cấu trúc bền vững của bối cảnh. Bất chấp thay đổi cấu trúc đáng kể tại Trung Quốc giữa 2012 và 2024, đánh đổi quốc tế hoá-hiệu quả được chứng minh là bền vững về mặt cấu trúc hơn là đặc thù theo đợt khảo sát hay phụ thuộc vào năng lực. Phát hiện có hàm ý cho tài liệu ngưỡng cường độ xuất khẩu và cho các lý thuyết điều tiết dựa trên năng lực trong kinh doanh quốc tế ở thị trường mới nổi.</w:t>
      </w:r>
    </w:p>
    <w:p>
      <w:pPr>
        <w:pStyle w:val="BodyText"/>
      </w:pPr>
      <w:r>
        <w:rPr>
          <w:bCs/>
          <w:b/>
        </w:rPr>
        <w:t xml:space="preserve">Từ khoá:</w:t>
      </w:r>
      <w:r>
        <w:t xml:space="preserve"> </w:t>
      </w:r>
      <w:r>
        <w:t xml:space="preserve">quốc tế hoá-hiệu quả; cường độ xuất khẩu; ổn định ngưỡng; năng lực công nghệ; áp dụng công nghệ số; doanh nghiệp tư nhân Trung Quốc; Khảo sát Doanh nghiệp của Ngân hàng Thế giới.</w:t>
      </w:r>
    </w:p>
    <w:p>
      <w:pPr>
        <w:pStyle w:val="BodyText"/>
      </w:pPr>
      <w:r>
        <w:rPr>
          <w:bCs/>
          <w:b/>
        </w:rPr>
        <w:t xml:space="preserve">Phân loại JEL:</w:t>
      </w:r>
      <w:r>
        <w:t xml:space="preserve"> </w:t>
      </w:r>
      <w:r>
        <w:t xml:space="preserve">F23; O33; D22; L25; O53.</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0"/>
    <w:bookmarkStart w:id="21" w:name="điểm-nhấn"/>
    <w:p>
      <w:pPr>
        <w:pStyle w:val="Heading2"/>
      </w:pPr>
      <w:r>
        <w:t xml:space="preserve">Điểm nhấn</w:t>
      </w:r>
    </w:p>
    <w:p>
      <w:pPr>
        <w:numPr>
          <w:ilvl w:val="0"/>
          <w:numId w:val="1001"/>
        </w:numPr>
      </w:pPr>
      <w:r>
        <w:t xml:space="preserve">Mối quan hệ quốc tế hoá–hiệu quả tại các doanh nghiệp tư nhân Trung Quốc thể hiện</w:t>
      </w:r>
      <w:r>
        <w:t xml:space="preserve"> </w:t>
      </w:r>
      <w:r>
        <w:rPr>
          <w:bCs/>
          <w:b/>
        </w:rPr>
        <w:t xml:space="preserve">hình chữ U ngược một cách bền vững</w:t>
      </w:r>
      <w:r>
        <w:t xml:space="preserve"> </w:t>
      </w:r>
      <w:r>
        <w:t xml:space="preserve">ở cả đợt khảo sát 2012 (điểm ngoặt 49,4 %) và 2024 (điểm ngoặt 47,2 %), với các khoảng tin cậy 95 % theo phương pháp delta chồng lấn nhau.</w:t>
      </w:r>
    </w:p>
    <w:p>
      <w:pPr>
        <w:numPr>
          <w:ilvl w:val="0"/>
          <w:numId w:val="1001"/>
        </w:numPr>
      </w:pPr>
      <w:r>
        <w:t xml:space="preserve">Ngưỡng này</w:t>
      </w:r>
      <w:r>
        <w:t xml:space="preserve"> </w:t>
      </w:r>
      <w:r>
        <w:rPr>
          <w:bCs/>
          <w:b/>
        </w:rPr>
        <w:t xml:space="preserve">bền vững về mặt cấu trúc</w:t>
      </w:r>
      <w:r>
        <w:t xml:space="preserve"> </w:t>
      </w:r>
      <w:r>
        <w:t xml:space="preserve">trước một kỳ vọng định hướng mạnh về dịch chuyển chéo đợt khảo sát: các kiểm định z Paternoster chéo đợt khảo sát không bác bỏ tính bằng nhau của hệ số (p = 0,412 với FSTS, p = 0,545 với</w:t>
      </w:r>
      <w:r>
        <w:t xml:space="preserve"> </w:t>
      </w:r>
      <m:oMath>
        <m:sSup>
          <m:e>
            <m:r>
              <m:rPr>
                <m:sty m:val="p"/>
              </m:rPr>
              <m:t>F</m:t>
            </m:r>
            <m:r>
              <m:rPr>
                <m:sty m:val="p"/>
              </m:rPr>
              <m:t>S</m:t>
            </m:r>
            <m:r>
              <m:rPr>
                <m:sty m:val="p"/>
              </m:rPr>
              <m:t>T</m:t>
            </m:r>
            <m:r>
              <m:rPr>
                <m:sty m:val="p"/>
              </m:rPr>
              <m:t>S</m:t>
            </m:r>
          </m:e>
          <m:sup>
            <m:r>
              <m:t>2</m:t>
            </m:r>
          </m:sup>
        </m:sSup>
      </m:oMath>
      <w:r>
        <w:t xml:space="preserve">), và kiểm định F liên hợp trên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cho p = 0,107.</w:t>
      </w:r>
    </w:p>
    <w:p>
      <w:pPr>
        <w:numPr>
          <w:ilvl w:val="0"/>
          <w:numId w:val="1001"/>
        </w:numPr>
      </w:pPr>
      <w:r>
        <w:rPr>
          <w:bCs/>
          <w:b/>
        </w:rPr>
        <w:t xml:space="preserve">Năng lực công nghệ</w:t>
      </w:r>
      <w:r>
        <w:t xml:space="preserve"> </w:t>
      </w:r>
      <w:r>
        <w:t xml:space="preserve">(</w:t>
      </w:r>
      <m:oMath>
        <m:sSub>
          <m:e>
            <m:r>
              <m:rPr>
                <m:sty m:val="p"/>
              </m:rPr>
              <m:t>T</m:t>
            </m:r>
            <m:r>
              <m:rPr>
                <m:sty m:val="p"/>
              </m:rPr>
              <m:t>C</m:t>
            </m:r>
            <m:r>
              <m:rPr>
                <m:sty m:val="p"/>
              </m:rPr>
              <m:t>I</m:t>
            </m:r>
          </m:e>
          <m:sub>
            <m:r>
              <m:rPr>
                <m:nor/>
                <m:sty m:val="p"/>
              </m:rPr>
              <m:t>full</m:t>
            </m:r>
          </m:sub>
        </m:sSub>
      </m:oMath>
      <w:r>
        <w:t xml:space="preserve">) có liên hệ thuận chiều với năng suất ở cả hai đợt khảo sát (β_z = +0,26 đến +0,43, p &lt; 0,001) và</w:t>
      </w:r>
      <w:r>
        <w:t xml:space="preserve"> </w:t>
      </w:r>
      <w:r>
        <w:rPr>
          <w:bCs/>
          <w:b/>
        </w:rPr>
        <w:t xml:space="preserve">được củng cố</w:t>
      </w:r>
      <w:r>
        <w:t xml:space="preserve"> </w:t>
      </w:r>
      <w:r>
        <w:t xml:space="preserve">giữa các đợt (thay đổi chéo đợt khảo sát theo Paternoster z = −2,55, p = 0,011), nhưng</w:t>
      </w:r>
      <w:r>
        <w:t xml:space="preserve"> </w:t>
      </w:r>
      <w:r>
        <w:rPr>
          <w:bCs/>
          <w:b/>
        </w:rPr>
        <w:t xml:space="preserve">không điều tiết độ cong</w:t>
      </w:r>
      <w:r>
        <w:t xml:space="preserve"> </w:t>
      </w:r>
      <w:r>
        <w:t xml:space="preserve">của chữ U ngược.</w:t>
      </w:r>
    </w:p>
    <w:p>
      <w:pPr>
        <w:numPr>
          <w:ilvl w:val="0"/>
          <w:numId w:val="1001"/>
        </w:numPr>
      </w:pPr>
      <w:r>
        <w:rPr>
          <w:bCs/>
          <w:b/>
        </w:rPr>
        <w:t xml:space="preserve">Hiện diện số cơ bản</w:t>
      </w:r>
      <w:r>
        <w:t xml:space="preserve"> </w:t>
      </w:r>
      <w:r>
        <w:t xml:space="preserve">(</w:t>
      </w:r>
      <m:oMath>
        <m:sSub>
          <m:e>
            <m:r>
              <m:rPr>
                <m:sty m:val="p"/>
              </m:rPr>
              <m:t>D</m:t>
            </m:r>
            <m:r>
              <m:rPr>
                <m:sty m:val="p"/>
              </m:rPr>
              <m:t>A</m:t>
            </m:r>
            <m:r>
              <m:rPr>
                <m:sty m:val="p"/>
              </m:rPr>
              <m:t>I</m:t>
            </m:r>
          </m:e>
          <m:sub>
            <m:r>
              <m:rPr>
                <m:nor/>
                <m:sty m:val="p"/>
              </m:rPr>
              <m:t>core</m:t>
            </m:r>
          </m:sub>
        </m:sSub>
      </m:oMath>
      <w:r>
        <w:t xml:space="preserve">, biến đại diện sở hữu website đơn mục) có liên hệ thuận chiều khiêm tốn với năng suất trong đợt 2024 và mẫu gộp (β_z = +0,07 đến +0,06), nhưng được giữ lại như một biến kiểm soát cơ sở thay vì một giả thuyết chính thức, do năng lực phân biệt hạn chế của một chỉ báo nhị phân về website đơn mục tại Trung Quốc năm 2024.</w:t>
      </w:r>
    </w:p>
    <w:p>
      <w:pPr>
        <w:numPr>
          <w:ilvl w:val="0"/>
          <w:numId w:val="1001"/>
        </w:numPr>
      </w:pPr>
      <w:r>
        <w:rPr>
          <w:bCs/>
          <w:b/>
        </w:rPr>
        <w:t xml:space="preserve">H2b (tính bền vững cấu trúc) được khẳng định so với H2a (dịch chuyển môi trường)</w:t>
      </w:r>
      <w:r>
        <w:t xml:space="preserve">: mặc dù nhiều cơ chế dự đoán sự tiến hoá theo thời gian, các kiểm định z Paternoster chéo đợt khảo sát khẳng định tính bằng nhau của hệ số giữa các đợt (p = 0,412; p = 0,545; F liên hợp p = 0,107), thiết lập tính bền vững cấu trúc như một phát hiện tích cực thay vì chỉ là kết quả null. Các phân tích bổ sung về vốn lưu động và các kiểm định điều tiết độ cong TCI không cho ra bằng chứng điều tiết ổn định, củng cố cách diễn giải về tính bền vững.</w:t>
      </w:r>
    </w:p>
    <w:p>
      <w:pPr>
        <w:numPr>
          <w:ilvl w:val="0"/>
          <w:numId w:val="1001"/>
        </w:numPr>
      </w:pPr>
      <w:r>
        <w:t xml:space="preserve">Phát hiện này mở rộng đường cơ sở bậc ba cho Trung Quốc của Author Citation (2026, JFAR) và tổng hợp 17 quốc gia châu Á mới nổi của Author Citation (2026, VEFR) bằng một chiều ổn định theo thời gian trong cùng quốc gia, chiều mà tài liệu hiện có chưa khai thác.</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Mối quan hệ giữa quốc tế hoá doanh nghiệp và hiệu quả hoạt động kinh doanh vẫn là một trong những câu hỏi bền vững nhất trong nghiên cứu kinh doanh quốc tế. Tài liệu thực nghiệm đáng kể, bao gồm nhiều phân tích tổng hợp (meta-analysis) trải dài nhiều thập kỷ và bối cảnh quốc gia, hiện ủng hộ một dạng phi tuyến hình chữ U ngược. Theo dạng này, hiệu quả tăng ở mức độ quốc tế hoá thấp đến trung bình và suy giảm khi mức độ phơi nhiễm với thị trường nước ngoài trở nên quá mức (Hitt, Hoskisson, &amp; Kim, 1997; Contractor, Kundu, &amp; Hsu, 2003; Lu &amp; Beamish, 2004; Marano, Arregle, Hitt, Spadafora, &amp; van Essen, 2016; Schwens et al., 2018; Author Citation, 2025 ICBEF). Tuy vậy, một câu hỏi khắt khe hơn là liệu điểm ngoặt ngụ ý có phải là</w:t>
      </w:r>
      <w:r>
        <w:t xml:space="preserve"> </w:t>
      </w:r>
      <w:r>
        <w:rPr>
          <w:iCs/>
          <w:i/>
        </w:rPr>
        <w:t xml:space="preserve">một đặc trưng cấu trúc bền vững</w:t>
      </w:r>
      <w:r>
        <w:t xml:space="preserve"> </w:t>
      </w:r>
      <w:r>
        <w:t xml:space="preserve">của một bối cảnh hay chỉ là quy luật đặc thù của mẫu, có thể tiến hoá khi điều kiện thể chế và cạnh tranh thay đổi. Mô thức "quá tốt cũng không tốt" (too-much-of-a-good-thing) hiện đã được xác lập trong nghiên cứu quản trị (Pierce &amp; Aguinis, 2013), nhưng tính bền vững theo thời gian của nó trong một bối cảnh quốc gia đơn lẻ ít khi được kiểm định. Đối với các doanh nghiệp tư nhân tại các nền kinh tế mới nổi, ràng buộc tài chính chặt chẽ và chi phí biên của mở rộng quá mức có thể nặng nề hơn so với các tập đoàn đa quốc gia lớn. Vì vậy, vị trí và sự ổn định của khoảng quốc tế hoá tối ưu mang ý nghĩa chiến lược và chính sách trực tiếp (Buckley, Clegg, Cross, Liu, Voss, &amp; Zheng, 2007; Bausch &amp; Krist, 2007).</w:t>
      </w:r>
    </w:p>
    <w:p>
      <w:pPr>
        <w:pStyle w:val="BodyText"/>
      </w:pPr>
      <w:r>
        <w:t xml:space="preserve">Trung Quốc cung cấp một bối cảnh đặc biệt phù hợp cho câu hỏi này. Trong giai đoạn 2012–2024 (hai đợt khảo sát được xem xét), nền kinh tế Trung Quốc đã trải qua chuyển đổi cấu trúc phi thường. Việc tái cân bằng thương mại hậu khủng hoảng tài chính 2008 được tiếp nối bởi việc Trung Quốc tham gia sâu hơn vào chuỗi giá trị toàn cầu (Kano, Tsang, &amp; Yeung, 2020). Cùng giai đoạn này có chu kỳ leo thang thuế quan Mỹ–Trung, đứt gãy do COVID-19 và việc tái định tuyến chuỗi cung ứng, sự trưởng thành của hạ tầng số cùng sự lan toả nhanh chóng của các nền tảng thương mại điện tử (Hanelt, Bohnsack, Marz, &amp; Antunes Marante, 2021; Vial, 2019), và các cải cách về tín dụng SME và thể chế tài trợ thương mại. Các doanh nghiệp tư nhân Trung Quốc trong mẫu WBES cũng trưởng thành qua giai đoạn này: tuổi doanh nghiệp trung bình tăng từ 12,6 lên 13,9 năm, và năng suất lao động trung bình (thang log) tăng từ 12,52 lên 13,01, tương đương mức chênh lệch năng suất khoảng 64 % (exp(0,49) ≈ 1,64). Theo lý thuyết quốc tế hoá thông thường, nhiều thay đổi này lẽ ra phải dịch chuyển điểm ngoặt của chữ U ngược. Cụ thể, các thay đổi đó có thể nâng cao lợi nhuận sản xuất của quốc tế hoá ở phần đuôi trên (củng cố năng lực), làm dịu sự suy giảm sau ngưỡng (cải thiện tài trợ thương mại), hoặc cả hai. Liệu dịch chuyển dự đoán có thực sự diễn ra hay không vẫn là một câu hỏi thực nghiệm chưa được kiểm định trực tiếp cho Trung Quốc trong giai đoạn hậu khủng hoảng tài chính và hậu COVID.</w:t>
      </w:r>
    </w:p>
    <w:p>
      <w:pPr>
        <w:pStyle w:val="BodyText"/>
      </w:pPr>
      <w:r>
        <w:t xml:space="preserve">Author Citation (2026, JFAR) đã thiết lập hình dạng và vai trò dịch chuyển mức của áp dụng công nghệ số trong mối quan hệ I–P cho các SME sản xuất Trung Quốc trong một đợt khảo sát duy nhất, định vị điểm ngoặt chính của chữ U ngược ở mức khoảng 47,8 % tổng doanh thu. Bài báo hiện tại giải quyết một câu hỏi khác biệt về mặt khái niệm: liệu ngưỡng đó có phải là đặc trưng cấu trúc bền vững của các doanh nghiệp tư nhân Trung Quốc, hay là sản phẩm phụ của giai đoạn lấy mẫu dịch chuyển theo điều kiện kinh tế vĩ mô giữa 2012 và 2024? Câu hỏi về tính ổn định theo thời gian này không thể được trả lời bằng phân tích đơn đợt. Nó đòi hỏi kiểm định bằng nhau tham số chéo đợt khảo sát một cách tường minh (Paternoster, Brame, Mazerolle, &amp; Piquero, 1998) mà phân tích JFAR cho ngành sản xuất chưa thực hiện. Theo đó, bài báo hiện tại (a) mở rộng phân tích sang khung doanh nghiệp tư nhân đầy đủ của WBES, với phạm vi ngành rộng hơn chỉ ngành sản xuất, để thiết lập chuẩn ngưỡng được ước lượng độc lập; (b) áp dụng dạng bậc hai (quadratic specification) phù hợp với đặc tính phân phối của khung mẫu; và (c) tiến hành các kiểm định z Paternoster chính thức và kiểm định F gộp chung chéo đợt khảo sát để đánh giá tính bằng nhau của tham số. Đây là đóng góp thực nghiệm chính của bài. Bối cảnh rộng hơn cho nghiên cứu hiện tại cũng được thiết lập bởi Author Citation (2026, VEFR), tổng hợp 17 quốc gia châu Á mới nổi ghi nhận tính không đồng nhất của các mô thức hiệu quả cấp doanh nghiệp giữa các chế độ thể chế. Bài báo hiện tại giữ cố định quốc gia và đặt câu hỏi về tính ổn định theo thời gian trong nội bộ Trung Quốc, một câu hỏi mà thiết kế đa quốc gia không thể giải quyết trực tiếp.</w:t>
      </w:r>
    </w:p>
    <w:p>
      <w:pPr>
        <w:pStyle w:val="BodyText"/>
      </w:pPr>
      <w:r>
        <w:t xml:space="preserve">Nghiên cứu này xem xét mối quan hệ quốc tế hoá–hiệu quả ở các doanh nghiệp tư nhân Trung Quốc qua hai đợt của Khảo sát Doanh nghiệp của Ngân hàng Thế giới (WBES), 2012 và 2024, cách nhau hơn một thập kỷ thay đổi cấu trúc đáng kể. Ba động cơ định hình nghiên cứu này. Thứ nhất, lập luận chữ U ngược dự đoán một điểm ngoặt nhưng hiếm khi đặt câu hỏi liệu điểm ngoặt đó có</w:t>
      </w:r>
      <w:r>
        <w:t xml:space="preserve"> </w:t>
      </w:r>
      <w:r>
        <w:rPr>
          <w:iCs/>
          <w:i/>
        </w:rPr>
        <w:t xml:space="preserve">dịch chuyển</w:t>
      </w:r>
      <w:r>
        <w:t xml:space="preserve"> </w:t>
      </w:r>
      <w:r>
        <w:t xml:space="preserve">theo thời gian trong cùng bối cảnh hay không. Do đó, việc ghi nhận hành vi chéo đợt khảo sát là một đóng góp thực nghiệm không tầm thường ngoài tuyên bố chữ U ngược chuẩn (Haans, Pieters, &amp; He, 2016). Bằng chứng gần đây tập trung vào Trung Quốc củng cố đường cơ sở chữ U ngược cho các doanh nghiệp Trung Quốc qua nhiều bối cảnh (Ma, Sun, &amp; Li, 2024; Wang, Wang, &amp; Li, 2025; Zhou, Liu, &amp; Chen, 2025). Đồng thời, các nghiên cứu nhấn mạnh rằng bản thân kinh tế số thể hiện một quan hệ năng suất phụ thuộc bối cảnh ở cấp doanh nghiệp (Sun, Wang, &amp; Wang, 2023). Thứ hai, tài liệu IB ngày càng nhận thấy rằng sự suy giảm sau ngưỡng không chỉ phản ánh chi phí phối hợp (coordination cost) chung (Hennart, 2007; Contractor, 2007). Sự suy giảm này còn liên quan đến các trở ngại tài chính cụ thể hơn, gồm chu kỳ chuyển đổi tiền mặt kéo dài, phơi nhiễm khoản phải thu nước ngoài, và ràng buộc tín dụng đối với tiếp cận tài trợ thương mại (trade finance). Các yếu tố này trở nên gay gắt hơn khi cường độ xuất khẩu tăng (Manova, 2013; Foley &amp; Manova, 2015; Niepmann &amp; Schmidt-Eisenlohr, 2017; Demir &amp; Javorcik, 2018). Thứ ba, vai trò ngày càng tăng của áp dụng công nghệ số và năng lực công nghệ đối với năng suất doanh nghiệp đã dẫn đến các tuyên bố rằng năng lực sẽ tái cấu trúc cơ bản đường cong I–P (Bharadwaj, El Sawy, Pavlou, &amp; Venkatraman, 2013; Vial, 2019; Nambisan, Wright, &amp; Feldman, 2019; Verhoef et al., 2021; Hanelt et al., 2021; Volberda et al., 2021). Tuy nhiên, các chỉ báo WBES sẵn có chỉ nắm bắt mức áp dụng số tầng dưới chứ chưa phải năng lực số động đầy đủ. Việc tách bạch ba luồng phân tích này (tính ổn định theo thời gian, cơ chế tài chính, và vai trò năng lực) chính là chương trình nghị sự phân tích của bài báo này.</w:t>
      </w:r>
    </w:p>
    <w:p>
      <w:pPr>
        <w:pStyle w:val="BodyText"/>
      </w:pPr>
      <w:r>
        <w:t xml:space="preserve">Về mặt lý thuyết, cửa sổ 2012–2024 chứa nhiều cơ chế có khả năng</w:t>
      </w:r>
      <w:r>
        <w:t xml:space="preserve"> </w:t>
      </w:r>
      <w:r>
        <w:rPr>
          <w:iCs/>
          <w:i/>
        </w:rPr>
        <w:t xml:space="preserve">dịch chuyển</w:t>
      </w:r>
      <w:r>
        <w:t xml:space="preserve"> </w:t>
      </w:r>
      <w:r>
        <w:t xml:space="preserve">chữ U ngược. Các cơ chế này gồm: tái cân bằng thương mại hậu 2008, chu kỳ leo thang thuế quan Mỹ–Trung, đứt gãy do COVID-19, sự trưởng thành của hạ tầng số (Author Citation, 2026, VEFR), và cấu trúc tiến hoá của chuỗi giá trị toàn cầu mà các doanh nghiệp Trung Quốc tham gia (Kano, Tsang, &amp; Yeung, 2020). Việc củng cố năng lực hấp thụ (absorptive capacity) trong nước thông qua áp dụng công nghệ và chứng nhận chất lượng (Lall, 1992; Cohen &amp; Levinthal, 1990), kết hợp với tiến hoá của các thể chế tài trợ thương mại, có thể làm phẳng đoạn suy giảm sau ngưỡng hoặc đẩy điểm ngoặt sang phải (Manova, 2013; Demir &amp; Javorcik, 2018). Các khuyến nghị gần đây cho rằng các kỳ vọng định hướng mạnh nên được kiểm định dựa trên dữ liệu thay vì giả định, đặc biệt trong nghiên cứu IB nơi tính phức tạp khiến lựa chọn đặc tả mang nhiều hệ quả (Antonakis, Bendahan, Jacquart, &amp; Lalive, 2010; Meyer, van Witteloostuijn, &amp; Beugelsdijk, 2017; Eden &amp; Nielsen, 2020). Theo các khuyến nghị này, nghiên cứu định khung hai giả thuyết cạnh tranh H2a (dự đoán dịch chuyển) và H2b (tính bền vững cấu trúc) và để dữ liệu lựa chọn giữa chúng.</w:t>
      </w:r>
    </w:p>
    <w:p>
      <w:pPr>
        <w:pStyle w:val="BodyText"/>
      </w:pPr>
      <w:r>
        <w:t xml:space="preserve">Trong nghiên cứu hiện tại, quốc tế hoá doanh nghiệp được vận hành hoá như cường độ xuất khẩu (tỉ trọng doanh thu nước ngoài trong tổng doanh thu). Nghiên cứu ước lượng mô hình bậc hai cơ sở cho mỗi đợt khảo sát và mẫu gộp. Tiếp đó, nghiên cứu áp dụng kiểm định U Lind &amp; Mehlum (2010) để xác minh hình chữ U ngược một cách chính thức. Để đánh giá tính bằng nhau của tham số chéo đợt khảo sát, kiểm định z Paternoster, Brame, Mazerolle, và Piquero (1998) được áp dụng trên các hệ số tuyến tính và bậc hai của cường độ xuất khẩu. Nghiên cứu bổ sung các kiểm định theo từng đợt khảo sát bằng đặc tả điều tiết ba chiều gộp chung. Đặc tả này thêm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và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để đánh giá lần lượt giả thuyết dịch chuyển chéo đợt khảo sát, điều tiết theo năng lực, và điều tiết động phụ thuộc năng lực. Tiếp đó, nghiên cứu tiến hành kiểm định trực tiếp bổ sung về cách diễn giải vốn lưu động (working capital) sử dụng các biến đại diện WBES cho tiếp cận thanh khoản, cấu trúc tài trợ, và trở ngại tiếp cận tài chính. Một mở rộng kiểm định độ vững riêng năm 2012 vào phơi nhiễm khoản phải thu cũng được thực hiện (Manova, 2013). Xuyên suốt bài, nghiên cứu áp dụng các quy ước ngôn ngữ nhân quả có kỷ luật được khuyến nghị cho nghiên cứu IB và báo cáo các liên hệ thay vì tác động (Antonakis et al., 2010; Shaver, 2020).</w:t>
      </w:r>
    </w:p>
    <w:p>
      <w:pPr>
        <w:pStyle w:val="BodyText"/>
      </w:pPr>
      <w:r>
        <w:t xml:space="preserve">Bài báo có bốn đóng góp. Thứ nhất, nghiên cứu xác định và mô tả ngưỡng cường độ xuất khẩu tối ưu cho các doanh nghiệp tư nhân Trung Quốc ở mức khoảng 48 % tổng doanh thu, với vùng vận hành an toàn có ý nghĩa quản trị từ 30 % đến 60 %. Phát hiện này bổ sung cho điểm ngoặt bậc ba 47,8 % được báo cáo bởi Author Citation (2026, JFAR) cho các SME sản xuất Trung Quốc, mở rộng phân tích sang khung doanh nghiệp tư nhân đầy đủ của WBES và sang đợt khảo sát thứ hai một thập kỷ sau. Thứ hai (và là đóng góp trung tâm của bài), nghiên cứu cung cấp bằng chứng chéo đợt khảo sát rằng ngưỡng này</w:t>
      </w:r>
      <w:r>
        <w:t xml:space="preserve"> </w:t>
      </w:r>
      <w:r>
        <w:rPr>
          <w:bCs/>
          <w:b/>
        </w:rPr>
        <w:t xml:space="preserve">bền vững về mặt cấu trúc trước một dịch chuyển được dự đoán</w:t>
      </w:r>
      <w:r>
        <w:t xml:space="preserve">. Bất chấp nhiều cơ chế có lý thúc đẩy tiến hoá chéo đợt khảo sát, dữ liệu không bác bỏ tính bằng nhau của các hệ số chữ U ngược giữa năm 2012 và 2024, trong cả kiểm định z Paternoster riêng lẻ và kiểm định F gộp chung liên hợp. Ba kênh điều tiết null bổ sung (năng lực × độ cong, năng lực × đợt khảo sát × độ cong, vốn lưu động × độ cong) cùng hội tụ về một diễn giải thực chất giống nhau. Thứ ba, nghiên cứu ghi nhận rằng năng lực công nghệ hoạt động bền vững như một</w:t>
      </w:r>
      <w:r>
        <w:t xml:space="preserve"> </w:t>
      </w:r>
      <w:r>
        <w:rPr>
          <w:iCs/>
          <w:i/>
        </w:rPr>
        <w:t xml:space="preserve">yếu tố dịch chuyển mức</w:t>
      </w:r>
      <w:r>
        <w:t xml:space="preserve"> </w:t>
      </w:r>
      <w:r>
        <w:t xml:space="preserve">của năng suất chứ không phải yếu tố điều tiết độ cong của ngưỡng. Kết quả này phân biệt vai trò chiến lược của năng lực với vai trò điều tiết được phỏng đoán trong đánh đổi I–P. Thứ tư, nghiên cứu đóng góp vào câu đố meta-analytic rộng hơn trong IB. Phát hiện cho thấy tính ổn định theo thời gian trong cùng quốc gia nhất quán với một cách diễn giải: bối cảnh thể chế đa quốc gia (thay vì sự tiến hoá nội bộ quốc gia) là nguồn chính của tính không đồng nhất về độ lớn hiệu ứng trong các tổng quan trước đây (Marano et al., 2016; Schwens et al., 2018; Filatotchev, Wei, Sarala, Dick, &amp; Prescott, 2020; Author Citation, 2025 ICBEF). Phát hiện này trực tiếp giải quyết sự hoài nghi của Pisani, Garcia-Bernardo, và Heemskerk (2020, SMJ). Các tác giả này đã chứng minh rằng mối quan hệ chữ U ngược yếu đi hoặc biến mất dưới các cách tiếp cận nhận dạng nghiêm ngặt hơn trong các mẫu gộp đa quốc gia. Kết quả về tính ổn định theo thời gian trong cùng quốc gia của nghiên cứu gợi ý rằng các bối cảnh thể chế đơn quốc gia có thể bảo toàn tính đều đặn về dạng hàm, vốn bị các mẫu đa quốc gia che lấp qua tính không đồng nhất gộp. Nghiên cứu cũng đề xuất cách diễn giải bẫy vốn lưu động cho sự suy giảm sau ngưỡng (Manova, 2013) như cơ sở lý thuyết, dù chưa được nhận dạng trực tiếp trong dữ liệu hiện có. Việc kiểm định trực tiếp với các mục WBES k4–k14 được đánh dấu là ưu tiên cho nghiên cứu tương lai.</w:t>
      </w:r>
    </w:p>
    <w:p>
      <w:pPr>
        <w:pStyle w:val="BodyText"/>
      </w:pPr>
      <w:r>
        <w:t xml:space="preserve">Phần còn lại của bài báo được trình bày như sau. Phần 2 phát triển khung lý thuyết và bốn giả thuyết, bao gồm các giả thuyết cạnh tranh H2a (dịch chuyển môi trường) và H2b (tính bền vững cấu trúc). Phần 3 mô tả dữ liệu và phương pháp, bao gồm việc xây dựng mẫu và đặc tả bổ sung Phương án B1 về các biến đại diện vốn lưu động. Phần 4 báo cáo việc tái lập ngưỡng, kiểm định dịch chuyển chéo đợt khảo sát, các kiểm định điều tiết theo năng lực, các kiểm định vốn lưu động bổ sung, và kiểm định độ vững chỉ với ngành sản xuất, với ba bảng kết quả cốt lõi. Phần 5 thảo luận về các hàm ý lý thuyết, quản trị, và chính sách dưới khung diễn giải tính bền vững, xác định bốn đóng góp lý thuyết thực chất, và giới thiệu một Phần 5.2 chuyên đề về các cơ chế thay thế được khảo sát. Phần 6 ghi nhận các hạn chế và xác định các hướng nghiên cứu tương lai.</w:t>
      </w:r>
    </w:p>
    <w:bookmarkEnd w:id="22"/>
    <w:bookmarkStart w:id="31" w:name="X05ef95b78b31c427f3190b04e65ba3eba048287"/>
    <w:p>
      <w:pPr>
        <w:pStyle w:val="Heading2"/>
      </w:pPr>
      <w:r>
        <w:t xml:space="preserve">2. Cơ sở lý thuyết và giả thuyết</w:t>
      </w:r>
    </w:p>
    <w:bookmarkStart w:id="23" w:name="Xdec7f5dcd922f414e73b1408c865022b43f9fd2"/>
    <w:p>
      <w:pPr>
        <w:pStyle w:val="Heading3"/>
      </w:pPr>
      <w:r>
        <w:t xml:space="preserve">2.1 Quốc tế hoá và hiệu quả hoạt động kinh doanh của doanh nghiệp</w:t>
      </w:r>
    </w:p>
    <w:p>
      <w:pPr>
        <w:pStyle w:val="FirstParagraph"/>
      </w:pPr>
      <w:r>
        <w:t xml:space="preserve">Mối quan hệ giữa quốc tế hoá doanh nghiệp và hiệu quả hoạt động kinh doanh ít có khả năng là tuyến tính đối với các doanh nghiệp tư nhân nhỏ tại các nền kinh tế mới nổi (Lu &amp; Beamish, 2004; Hennart, 2007). Ở các mức thấp đến trung bình, quốc tế hoá có thể cải thiện hiệu quả hoạt động bằng cách mở rộng phạm vi thị trường, phân bổ chi phí cố định, gia tăng tính kinh tế nhờ quy mô, và cho phép khai thác đầy đủ hơn các năng lực sản xuất hiện có trên nhiều thị trường nước ngoài (Lu &amp; Beamish, 2004). Đối với các doanh nghiệp nhỏ, tham gia thị trường nước ngoài còn có thể kích thích học hỏi, làm sắc nét kỷ luật chất lượng, và đa dạng hoá nguồn doanh thu vượt khỏi thị trường nội địa (Wagner, 2007). Ba truyền thống lý thuyết hội tụ về kỳ vọng này. Quan điểm dựa trên nguồn lực (resource-based view) nhấn mạnh rằng các nhà xuất khẩu phải huy động các nguồn lực đặc thù để cạnh tranh trên thị trường nước ngoài; lợi nhuận sản xuất tăng lên khi các nguồn lực đó được khấu hao trên cơ sở doanh thu rộng hơn (Lall, 1992; Teece, 2007). Quan điểm chi phí giao dịch nhấn mạnh rằng quốc tế hoá mở rộng phạm vi các lựa chọn quản trị mà doanh nghiệp phải đưa ra để phối hợp các giao dịch xuyên biên giới; lợi nhuận tăng miễn là năng lực quản trị tăng theo (Hennart, 2007; Contractor, 2007). Truyền thống năng lực động bổ sung rằng các nhà xuất khẩu phát triển các quy trình bậc cao để cảm nhận, nắm bắt và tái cấu hình các cơ hội thị trường nước ngoài (Teece, 2007); các quy trình này gia tăng lợi nhuận ở mức phơi nhiễm quốc tế trung bình.</w:t>
      </w:r>
    </w:p>
    <w:p>
      <w:pPr>
        <w:pStyle w:val="BodyText"/>
      </w:pPr>
      <w:r>
        <w:t xml:space="preserve">Dẫu vậy, các lợi thế của quốc tế hoá không phải là vô hạn. Khi doanh nghiệp trở nên quốc tế hoá sâu hơn, họ đối mặt với nhu cầu phối hợp lớn hơn, mức phơi nhiễm cao hơn với biến động thị trường nước ngoài, các thoả thuận logistics và thanh toán phức tạp hơn, và gánh nặng quản trị cao hơn (Hennart, 2007; Contractor, 2007). Các chi phí này đặc biệt có hệ quả đối với các doanh nghiệp tư nhân nhỏ vì họ thường vận hành với khoảng đệm tài chính hẹp hơn, chiều sâu tổ chức hạn chế hơn, và năng lực hấp thụ cú sốc kém hơn so với các doanh nghiệp đa quốc gia lớn (Buckley et al., 2007). Bằng chứng từ các nhà xuất khẩu Trung Quốc xác nhận mô thức này. Xiao et al. (2013) cho thấy lợi nhuận quốc tế hoá phụ thuộc vào cấu trúc quản trị, trong khi Feng et al. (2019) ghi nhận mối quan hệ hình chữ U ngược ở các doanh nghiệp sản xuất khu vực Đồng bằng sông Dương Tử. Bằng chứng meta-analytic đa quốc gia còn cho thấy chữ U ngược là mô thức bền vững nhưng với độ phân tán đáng kể về vị trí điểm ngoặt giữa các nghiên cứu (Marano et al., 2016; Schwens et al., 2018). Phát hiện này thúc đẩy câu hỏi khắt khe hơn về</w:t>
      </w:r>
      <w:r>
        <w:t xml:space="preserve"> </w:t>
      </w:r>
      <w:r>
        <w:rPr>
          <w:iCs/>
          <w:i/>
        </w:rPr>
        <w:t xml:space="preserve">vị trí điểm ngoặt trong một bối cảnh cụ thể và liệu nó có giữ nguyên vị trí đó hay không</w:t>
      </w:r>
      <w:r>
        <w:t xml:space="preserve">.</w:t>
      </w:r>
    </w:p>
    <w:p>
      <w:pPr>
        <w:pStyle w:val="BodyText"/>
      </w:pPr>
      <w:r>
        <w:t xml:space="preserve">Trong nghiên cứu hiện tại, quốc tế hoá doanh nghiệp được vận hành hoá như cường độ xuất khẩu (export intensity), đo bằng tỉ trọng doanh thu nước ngoài trong tổng doanh thu. Theo cách vận hành hoá này, quốc tế hoá cải thiện hiệu quả hoạt động đến một mức nào đó, nhưng hiệu quả sẽ suy giảm khi cường độ xuất khẩu trở nên quá lớn so với năng lực vận hành và tài chính của doanh nghiệp. Do đó, kỳ vọng phù hợp không phải là tác động dương đơn điệu, mà là một liên hệ hình chữ U ngược. Mô thức này phù hợp với truyền thống "quá tốt cũng không tốt" rộng hơn trong nghiên cứu quản trị (Pierce &amp; Aguinis, 2013; Haans, Pieters, &amp; He, 2016), trong đó lợi ích hiệu quả của quốc tế hoá là có giới hạn.</w:t>
      </w:r>
    </w:p>
    <w:p>
      <w:pPr>
        <w:pStyle w:val="BlockText"/>
      </w:pPr>
      <w:r>
        <w:rPr>
          <w:bCs/>
          <w:b/>
        </w:rPr>
        <w:t xml:space="preserve">Giả thuyết 1 (H1).</w:t>
      </w:r>
      <w:r>
        <w:t xml:space="preserve"> </w:t>
      </w:r>
      <w:r>
        <w:t xml:space="preserve">Quốc tế hoá doanh nghiệp, được đo bằng cường độ xuất khẩu, có mối quan hệ hình chữ U ngược với hiệu quả hoạt động kinh doanh của doanh nghiệp ở các doanh nghiệp tư nhân Trung Quốc.</w:t>
      </w:r>
    </w:p>
    <w:bookmarkEnd w:id="23"/>
    <w:bookmarkStart w:id="24" w:name="X96298fe7c1385ba50c2f33c3ccdf6cb241adc10"/>
    <w:p>
      <w:pPr>
        <w:pStyle w:val="Heading3"/>
      </w:pPr>
      <w:r>
        <w:t xml:space="preserve">2.2 Dịch chuyển ngưỡng quốc tế hoá theo thời gian</w:t>
      </w:r>
    </w:p>
    <w:p>
      <w:pPr>
        <w:pStyle w:val="FirstParagraph"/>
      </w:pPr>
      <w:r>
        <w:t xml:space="preserve">Mặc dù các mối quan hệ hình chữ U ngược phổ biến trong tài liệu quốc tế hoá, câu hỏi khắt khe hơn là liệu điểm ngoặt ước lượng có</w:t>
      </w:r>
      <w:r>
        <w:t xml:space="preserve"> </w:t>
      </w:r>
      <w:r>
        <w:rPr>
          <w:bCs/>
          <w:b/>
        </w:rPr>
        <w:t xml:space="preserve">ổn định theo thời gian</w:t>
      </w:r>
      <w:r>
        <w:t xml:space="preserve"> </w:t>
      </w:r>
      <w:r>
        <w:t xml:space="preserve">hay không (Haans, Pieters, &amp; He, 2016; Pierce &amp; Aguinis, 2013). Một liên hệ phi tuyến quan sát được trong mẫu duy nhất có thể phản ánh các điều kiện đặc thù giai đoạn, các cú sốc tạm thời, hoặc các hiệu ứng thành phần mẫu, thay vì một đánh đổi cấu trúc bền vững. Các tổng quan gần đây về phương pháp luận IB nhấn mạnh rằng bằng chứng meta-analytic về quốc tế hoá–hiệu quả là không đồng nhất cả về độ lớn lẫn hướng. Bối cảnh quốc gia và ngành là một trong những yếu tố điều tiết mạnh nhất của độ lớn hiệu ứng (Marano et al., 2016; Schwens et al., 2018). Vì lý do đó, việc xác định chữ U ngược chỉ là bước đầu. Một đóng góp mạnh hơn đòi hỏi kiểm định xem ngưỡng ngụ ý có</w:t>
      </w:r>
      <w:r>
        <w:t xml:space="preserve"> </w:t>
      </w:r>
      <w:r>
        <w:rPr>
          <w:iCs/>
          <w:i/>
        </w:rPr>
        <w:t xml:space="preserve">dịch chuyển</w:t>
      </w:r>
      <w:r>
        <w:t xml:space="preserve"> </w:t>
      </w:r>
      <w:r>
        <w:t xml:space="preserve">qua các đợt khảo sát khác nhau trong cùng bối cảnh quốc gia hay không (Eden &amp; Nielsen, 2020).</w:t>
      </w:r>
    </w:p>
    <w:p>
      <w:pPr>
        <w:pStyle w:val="BodyText"/>
      </w:pPr>
      <w:r>
        <w:t xml:space="preserve">Cửa sổ 2012–2024 ở Trung Quốc trải qua thay đổi cấu trúc đáng kể. Các thay đổi gồm: tái cân bằng thương mại hậu 2008, chu kỳ leo thang thuế quan Mỹ–Trung, đứt gãy do COVID-19, sự trưởng thành của hạ tầng số (Author Citation, 2026, VEFR), và sự tham gia ngày càng sâu của các doanh nghiệp Trung Quốc vào chuỗi giá trị toàn cầu (Kano, Tsang, &amp; Yeung, 2020). Về mặt lý thuyết, một số cơ chế dự đoán rằng mối quan hệ quốc tế hoá–hiệu quả sẽ</w:t>
      </w:r>
      <w:r>
        <w:t xml:space="preserve"> </w:t>
      </w:r>
      <w:r>
        <w:rPr>
          <w:iCs/>
          <w:i/>
        </w:rPr>
        <w:t xml:space="preserve">dịch chuyển</w:t>
      </w:r>
      <w:r>
        <w:t xml:space="preserve"> </w:t>
      </w:r>
      <w:r>
        <w:t xml:space="preserve">qua hai đợt khảo sát này. Thứ nhất, sự gia tăng tinh vi của việc tham gia chuỗi giá trị toàn cầu của các nhà xuất khẩu Trung Quốc sẽ mở rộng lợi nhuận sản xuất của quốc tế hoá, đẩy điểm ngoặt sang phải (Kano et al., 2020). Thứ hai, củng cố năng lực hấp thụ trong nước thông qua áp dụng công nghệ và chứng nhận chất lượng (Lall, 1992; Cohen &amp; Levinthal, 1990) sẽ làm phẳng đoạn suy giảm sau ngưỡng, bằng cách trao cho doanh nghiệp các công cụ quản lý chi phí mở rộng quá mức. Thứ ba, hỗ trợ thể chế đang phát triển (gồm bảo hiểm tín dụng xuất khẩu, cải cách cho vay vốn lưu động, và tiếp cận tài trợ thương mại) sẽ tương tự làm dịu phần đuôi phải của đường cong (Manova, 2013; Foley &amp; Manova, 2015; Niepmann &amp; Schmidt-Eisenlohr, 2017; Demir &amp; Javorcik, 2018). Tổng hợp lại, các cơ chế này thúc đẩy dự đoán định hướng rằng chữ U ngược</w:t>
      </w:r>
      <w:r>
        <w:t xml:space="preserve"> </w:t>
      </w:r>
      <w:r>
        <w:rPr>
          <w:iCs/>
          <w:i/>
        </w:rPr>
        <w:t xml:space="preserve">nên</w:t>
      </w:r>
      <w:r>
        <w:t xml:space="preserve"> </w:t>
      </w:r>
      <w:r>
        <w:t xml:space="preserve">khác về hình dạng, độ dốc, hoặc vị trí giữa năm 2012 và 2024.</w:t>
      </w:r>
    </w:p>
    <w:p>
      <w:pPr>
        <w:pStyle w:val="BodyText"/>
      </w:pPr>
      <w:r>
        <w:t xml:space="preserve">Lập luận thực chất cho dịch chuyển được củng cố bởi thay đổi thể chế liên tục trong thị trường tín dụng SME và tài trợ thương mại của Trung Quốc trong giai đoạn này. Truyền thống Manova (2013) và Foley và Manova (2015) dự đoán ràng buộc vốn lưu động là nguồn gốc của sự suy giảm sau ngưỡng. Nếu các cải cách thể chế đã thành công trong việc nới lỏng ràng buộc này, độ cong β₂ trên</w:t>
      </w:r>
      <w:r>
        <w:t xml:space="preserve"> </w:t>
      </w:r>
      <m:oMath>
        <m:sSup>
          <m:e>
            <m:r>
              <m:rPr>
                <m:sty m:val="p"/>
              </m:rPr>
              <m:t>F</m:t>
            </m:r>
            <m:r>
              <m:rPr>
                <m:sty m:val="p"/>
              </m:rPr>
              <m:t>S</m:t>
            </m:r>
            <m:r>
              <m:rPr>
                <m:sty m:val="p"/>
              </m:rPr>
              <m:t>T</m:t>
            </m:r>
            <m:r>
              <m:rPr>
                <m:sty m:val="p"/>
              </m:rPr>
              <m:t>S</m:t>
            </m:r>
          </m:e>
          <m:sup>
            <m:r>
              <m:t>2</m:t>
            </m:r>
          </m:sup>
        </m:sSup>
      </m:oMath>
      <w:r>
        <w:t xml:space="preserve"> </w:t>
      </w:r>
      <w:r>
        <w:t xml:space="preserve">trong mẫu 2024 lẽ ra phải nhỏ hơn về độ lớn (gần 0) so với năm 2012. Đây là một dự đoán có thể kiểm định trực tiếp. Ngược lại, nếu các ràng buộc sâu hơn so với khả năng nắm bắt của các biến đại diện WBES, hoặc nếu cải cách đến với doanh nghiệp không đều, ta sẽ quan sát thấy ít hoặc không có thay đổi độ cong. Cả hai kết quả đều mang tính thông tin. Các chương trình cải cách cụ thể chỉ được trích dẫn với nguồn chính khi các phản biện chuyên môn xác định các tài liệu thể chế phù hợp nhất cho tạp chí mục tiêu.</w:t>
      </w:r>
    </w:p>
    <w:p>
      <w:pPr>
        <w:pStyle w:val="BodyText"/>
      </w:pPr>
      <w:r>
        <w:t xml:space="preserve">Các cơ chế này thúc đẩy dự đoán định hướng H2a về dịch chuyển chéo đợt khảo sát. Dẫu vậy, một phản biện cũng có lý không kém được chính thức hoá thành H2b: ngưỡng chữ U ngược phản ánh các ràng buộc sâu ở cấp doanh nghiệp chứ không phải các điều kiện thể chế đặc thù theo thời gian. Nếu sự suy giảm sau ngưỡng chủ yếu được thúc đẩy bởi năng lực phối hợp, khoảng đệm tài chính, và chiều sâu tổ chức (Hennart, 2007; Buckley et al., 2007), thì các đặc điểm cấu trúc này chỉ thay đổi chậm ở cấp doanh nghiệp. Khi đó, ngay cả cải cách thể chế có ý nghĩa cũng có thể không đủ để dịch chuyển điểm ngoặt một cách đo lường được trong một thập kỷ. Chi phí ma sát trong các giao dịch xuyên biên giới (tính phức tạp của hợp đồng, chậm thanh toán, tuân thủ quy định) thể hiện sự khoá thể chế đáng kể (North, 1990). Các chi phí này có thể chỉ được nới lỏng một phần bởi cải cách tài chính cấp vĩ mô trong giai đoạn giữa các đợt khảo sát. Theo H2b, dữ liệu được kỳ vọng sẽ không cho thấy dịch chuyển có ý nghĩa thống kê về vị trí hoặc độ cong của chữ U ngược. Kết quả này tạo thành phát hiện tích cực về tính bền vững cấu trúc thay vì thất bại phương pháp luận. Việc đặt H2a và H2b như các giả thuyết cạnh tranh cung cấp thiết kế thực nghiệm có nhiều thông tin nhất.</w:t>
      </w:r>
    </w:p>
    <w:p>
      <w:pPr>
        <w:pStyle w:val="BlockText"/>
      </w:pPr>
      <w:r>
        <w:rPr>
          <w:bCs/>
          <w:b/>
        </w:rPr>
        <w:t xml:space="preserve">Giả thuyết 2a (H2a).</w:t>
      </w:r>
      <w:r>
        <w:t xml:space="preserve"> </w:t>
      </w:r>
      <w:r>
        <w:t xml:space="preserve">Hình dạng của mối quan hệ chữ U ngược giữa cường độ xuất khẩu và hiệu quả hoạt động kinh doanh ở các doanh nghiệp tư nhân Trung Quốc khác biệt giữa hai đợt khảo sát 2012 và 2024. Khác biệt này phản ánh các thay đổi trong môi trường vận hành và cấu trúc cạnh tranh của nền kinh tế Trung Quốc trong thập kỷ chen giữa.</w:t>
      </w:r>
    </w:p>
    <w:p>
      <w:pPr>
        <w:pStyle w:val="BlockText"/>
      </w:pPr>
      <w:r>
        <w:rPr>
          <w:bCs/>
          <w:b/>
        </w:rPr>
        <w:t xml:space="preserve">Giả thuyết 2b (H2b).</w:t>
      </w:r>
      <w:r>
        <w:t xml:space="preserve"> </w:t>
      </w:r>
      <w:r>
        <w:t xml:space="preserve">Hình dạng của mối quan hệ chữ U ngược giữa cường độ xuất khẩu và hiệu quả hoạt động kinh doanh ở các doanh nghiệp tư nhân Trung Quốc bền vững về mặt cấu trúc qua hai đợt khảo sát 2012 và 2024. Tính bền vững này phản ánh các ràng buộc sâu ở cấp doanh nghiệp (năng lực phối hợp, khoảng đệm tài chính, và chiều sâu tổ chức), vốn tồn tại bất chấp thay đổi môi trường.</w:t>
      </w:r>
    </w:p>
    <w:bookmarkEnd w:id="24"/>
    <w:bookmarkStart w:id="25" w:name="X4e25681a93a31cb552d1c6e1ee528e5eb7280c7"/>
    <w:p>
      <w:pPr>
        <w:pStyle w:val="Heading3"/>
      </w:pPr>
      <w:r>
        <w:t xml:space="preserve">2.3 Áp lực vốn lưu động và sự suy giảm sau ngưỡng</w:t>
      </w:r>
    </w:p>
    <w:p>
      <w:pPr>
        <w:pStyle w:val="FirstParagraph"/>
      </w:pPr>
      <w:r>
        <w:t xml:space="preserve">Một cách diễn giải trung tâm cho đoạn suy giảm là: mức quốc tế hoá rất cao (biểu đạt qua cường độ xuất khẩu) có thể làm gia tăng áp lực vốn lưu động (Manova, 2013). Các doanh nghiệp xuất khẩu thường đối mặt với khoảng cách thời gian giữa các khoản chi sản xuất hoặc cung ứng dịch vụ và việc thực hiện doanh thu. Khoảng cách này gia tăng khi doanh thu được bán theo hình thức tín dụng, các điều khoản thanh toán bị trì hoãn, các chu kỳ vận chuyển bị kéo dài, hoặc khi tiếp cận tài trợ thương mại không hoàn hảo (Foley &amp; Manova, 2015; Niepmann &amp; Schmidt-Eisenlohr, 2017). Bằng chứng cấp doanh nghiệp gần đây còn xác nhận rằng các công cụ tài trợ thương mại như thư tín dụng và tín dụng thương mại do nhà cung cấp gia hạn có tác động trực tiếp, đo lường được đối với khối lượng và rủi ro của các giao dịch xuyên biên giới, đặc biệt trong các cú sốc kinh tế vĩ mô (Demir &amp; Javorcik, 2018). Khi cường độ xuất khẩu tăng, khoảng cách thời gian này càng có hệ quả: một tỉ trọng lớn hơn của hoạt động doanh nghiệp gắn liền với các giao dịch có chu kỳ chuyển đổi tiền mặt dài hơn hoặc kém dự đoán hơn.</w:t>
      </w:r>
    </w:p>
    <w:p>
      <w:pPr>
        <w:pStyle w:val="BodyText"/>
      </w:pPr>
      <w:r>
        <w:t xml:space="preserve">Lập luận này không phủ nhận rằng chi phí phối hợp, tính phức tạp của thị trường, và gánh nặng tổ chức cũng có ý nghĩa (Hennart, 2007). Thay vào đó, nó chỉ định một cơ chế kinh tế cụ thể hơn để đoạn âm của đường cong xuất hiện. Các doanh nghiệp có khả năng tiếp cận thanh khoản yếu hơn, phơi nhiễm khoản phải thu nặng hơn, hoặc phụ thuộc nhiều hơn vào vốn lưu động nội bộ sẽ ít có khả năng duy trì cường độ xuất khẩu rất cao mà không bị xói mòn hiệu quả. Ngược lại, các doanh nghiệp có hỗ trợ tài chính ngắn hạn mạnh hơn (gồm công cụ thấu chi, hạn mức tín dụng chính thức, hoặc thoả thuận vốn lưu động được ngân hàng tài trợ) sẽ ở vị thế tốt hơn để hấp thụ nhu cầu thanh khoản khi tham gia xuất khẩu sâu hơn. Do đó, dự đoán định hướng là độ dốc của suy giảm sau ngưỡng nên phụ thuộc vào vị thế vốn lưu động của doanh nghiệp: doanh nghiệp giàu thanh khoản nên có đuôi sau ngưỡng phẳng hơn so với doanh nghiệp nghèo thanh khoản.</w:t>
      </w:r>
    </w:p>
    <w:p>
      <w:pPr>
        <w:pStyle w:val="BodyText"/>
      </w:pPr>
      <w:r>
        <w:t xml:space="preserve">Hàm ý không phải là các điều kiện vốn lưu động tạo nên toàn bộ mối quan hệ phi tuyến ngay từ đầu. Thay vào đó, chúng nên có ý nghĩa nhất trong việc định hình mức độ nhanh chóng mà hiệu quả suy giảm khi doanh nghiệp vượt ra ngoài khoảng quốc tế hoá tối ưu. Điều này khiến áp lực vốn lưu động trở thành một yếu tố điều kiện hoá có cơ sở lý thuyết cho sự suy giảm sau ngưỡng thay vì một sự thay thế cho logic chữ U ngược cốt lõi.</w:t>
      </w:r>
    </w:p>
    <w:p>
      <w:pPr>
        <w:pStyle w:val="BodyText"/>
      </w:pPr>
      <w:r>
        <w:t xml:space="preserve">Các động lực vốn lưu động này là một cơ chế nhất quán về mặt lý thuyết cho suy giảm sau ngưỡng. Dẫu vậy, do tính so sánh chéo đợt khảo sát hạn chế của các biến đại diện WBES sẵn có (đặc biệt là sự thiếu vắng các chỉ báo phơi nhiễm khoản phải thu k1c, k2c trong bản phát hành 2024), kênh này không được chính thức hoá thành giả thuyết có thể kiểm định trong bài báo hiện tại. Các phân tích vốn lưu động bổ sung (Phần 4.5) khảo sát cơ chế này một cách mô tả. Lập luận lý thuyết được mang theo trong phần Thảo luận (Phần 5.2) như ứng viên chính cho nghiên cứu tương lai.</w:t>
      </w:r>
    </w:p>
    <w:bookmarkEnd w:id="25"/>
    <w:bookmarkStart w:id="26" w:name="Xf6c14722e976812f5b2dd32776915fa8a426cfd"/>
    <w:p>
      <w:pPr>
        <w:pStyle w:val="Heading3"/>
      </w:pPr>
      <w:r>
        <w:t xml:space="preserve">2.4 Năng lực công nghệ và áp dụng công nghệ số như các yếu tố điều tiết</w:t>
      </w:r>
    </w:p>
    <w:p>
      <w:pPr>
        <w:pStyle w:val="FirstParagraph"/>
      </w:pPr>
      <w:r>
        <w:t xml:space="preserve">Hai điều kiện năng lực ở cấp doanh nghiệp được lý thuyết hoá là định hình cả mức và độ cong của mối quan hệ quốc tế hoá–hiệu quả. Năng lực công nghệ, được nắm bắt trong truyền thống năng lực hấp thụ của Lall (1992), bao gồm công nghệ được cấp phép từ nước ngoài, chứng nhận chất lượng được quốc tế công nhận, đổi mới sản phẩm, và hoạt động R&amp;D. Năng lực này nên có liên hệ thuận chiều với hiệu quả hoạt động vì doanh nghiệp với kho năng lực mạnh hơn hiệu quả hơn trong việc chuyển hoạt động xuất khẩu thành đầu ra sản xuất (Cohen &amp; Levinthal, 1990). Ở các mức cường độ xuất khẩu cao, năng lực công nghệ cũng có thể điều tiết độ cong của mối quan hệ, bằng cách giảm bớt chi phí phối hợp và mở rộng quá mức (Teece, 2007). Logic cơ sở vi mô cho điều tiết độ cong là: doanh nghiệp với năng lực hấp thụ sâu hơn có thể xử lý kiến thức bên ngoài hiệu quả hơn và điều chỉnh quy trình nội bộ để quản lý tính phức tạp phối hợp do cường độ xuất khẩu cao kéo theo. Vì vậy, chi phí biên của quốc tế hoá tiếp tục tăng chậm hơn so với doanh nghiệp ít năng lực hơn (Cohen &amp; Levinthal, 1990; Teece, 2007).</w:t>
      </w:r>
    </w:p>
    <w:p>
      <w:pPr>
        <w:pStyle w:val="BodyText"/>
      </w:pPr>
      <w:r>
        <w:t xml:space="preserve">Áp dụng công nghệ số, được nắm bắt bởi các chỉ báo số tầng dưới như hiện diện website và việc sử dụng thanh toán điện tử, đã nổi lên như cơ chế trọng điểm trong tài liệu gần đây về chuyển đổi số (Bharadwaj et al., 2013; Vial, 2019; Nambisan, Wright, &amp; Feldman, 2019; Verhoef et al., 2021; Hanelt et al., 2021; Volberda et al., 2021). Áp dụng công nghệ số có thể cải thiện hiệu quả hoạt động kinh doanh bằng cách giảm chi phí giao dịch, đẩy nhanh dòng thông tin, và cho phép giám sát hiệu quả hơn. Các động lực phụ thuộc năng lực cũng có thể</w:t>
      </w:r>
      <w:r>
        <w:t xml:space="preserve"> </w:t>
      </w:r>
      <w:r>
        <w:rPr>
          <w:iCs/>
          <w:i/>
        </w:rPr>
        <w:t xml:space="preserve">tiến hoá theo thời gian</w:t>
      </w:r>
      <w:r>
        <w:t xml:space="preserve">. Khi doanh nghiệp Trung Quốc tích luỹ các nguồn lực số và công nghệ, hiệu ứng đệm của năng lực đối với suy giảm sau ngưỡng có thể trở nên mạnh hơn giữa năm 2012 và 2024, tạo ra tương tác giữa năng lực doanh nghiệp và đợt khảo sát (Author Citation, 2026, VEFR). Dự đoán điều tiết động này có thể kiểm định trực tiếp qua đặc tả ba chiều DOI ×</w:t>
      </w:r>
      <w:r>
        <w:t xml:space="preserve"> </w:t>
      </w:r>
      <m:oMath>
        <m:sSub>
          <m:e>
            <m:r>
              <m:t>D</m:t>
            </m:r>
          </m:e>
          <m:sub>
            <m:r>
              <m:t>2024</m:t>
            </m:r>
          </m:sub>
        </m:sSub>
      </m:oMath>
      <w:r>
        <w:t xml:space="preserve"> </w:t>
      </w:r>
      <w:r>
        <w:t xml:space="preserve">× Tech được mô tả trong Phần 3.5.</w:t>
      </w:r>
    </w:p>
    <w:p>
      <w:pPr>
        <w:pStyle w:val="BodyText"/>
      </w:pPr>
      <w:r>
        <w:t xml:space="preserve">Các chỉ báo năng lực WBES là vận hành hoá</w:t>
      </w:r>
      <w:r>
        <w:t xml:space="preserve"> </w:t>
      </w:r>
      <w:r>
        <w:rPr>
          <w:iCs/>
          <w:i/>
        </w:rPr>
        <w:t xml:space="preserve">tầng dưới</w:t>
      </w:r>
      <w:r>
        <w:t xml:space="preserve"> </w:t>
      </w:r>
      <w:r>
        <w:t xml:space="preserve">của các cấu trúc nền tảng.</w:t>
      </w:r>
      <w:r>
        <w:t xml:space="preserve"> </w:t>
      </w:r>
      <m:oMath>
        <m:sSub>
          <m:e>
            <m:r>
              <m:rPr>
                <m:sty m:val="p"/>
              </m:rPr>
              <m:t>T</m:t>
            </m:r>
            <m:r>
              <m:rPr>
                <m:sty m:val="p"/>
              </m:rPr>
              <m:t>C</m:t>
            </m:r>
            <m:r>
              <m:rPr>
                <m:sty m:val="p"/>
              </m:rPr>
              <m:t>I</m:t>
            </m:r>
          </m:e>
          <m:sub>
            <m:r>
              <m:rPr>
                <m:nor/>
                <m:sty m:val="p"/>
              </m:rPr>
              <m:t>full</m:t>
            </m:r>
          </m:sub>
        </m:sSub>
      </m:oMath>
      <w:r>
        <w:t xml:space="preserve"> </w:t>
      </w:r>
      <w:r>
        <w:t xml:space="preserve">làm biến đại diện cho kho năng lực hấp thụ qua bốn chỉ báo nhị phân (công nghệ được cấp phép từ nước ngoài, chứng nhận chất lượng, đổi mới sản phẩm, hoạt động R&amp;D). Trong khi đó,</w:t>
      </w:r>
      <w:r>
        <w:t xml:space="preserve"> </w:t>
      </w:r>
      <m:oMath>
        <m:sSub>
          <m:e>
            <m:r>
              <m:rPr>
                <m:sty m:val="p"/>
              </m:rPr>
              <m:t>D</m:t>
            </m:r>
            <m:r>
              <m:rPr>
                <m:sty m:val="p"/>
              </m:rPr>
              <m:t>A</m:t>
            </m:r>
            <m:r>
              <m:rPr>
                <m:sty m:val="p"/>
              </m:rPr>
              <m:t>I</m:t>
            </m:r>
          </m:e>
          <m:sub>
            <m:r>
              <m:rPr>
                <m:nor/>
                <m:sty m:val="p"/>
              </m:rPr>
              <m:t>core</m:t>
            </m:r>
          </m:sub>
        </m:sSub>
      </m:oMath>
      <w:r>
        <w:t xml:space="preserve"> </w:t>
      </w:r>
      <w:r>
        <w:t xml:space="preserve">chỉ nắm bắt hiện diện số tầng 1 (sở hữu website riêng). Cả hai biến đại diện đã được sử dụng trong truyền thống nghiên cứu WBES (Avenyo, Tregenna, &amp; Kraemer-Mbula, 2021; Author Citation, 2026, VEFR). Cả hai đều thô so với hệ thống phân cấp chuyển đổi số phong phú trong truyền thống Bharadwaj, Verhoef, Hanelt. Do đó, các giả thuyết kiểm định phiên bản</w:t>
      </w:r>
      <w:r>
        <w:t xml:space="preserve"> </w:t>
      </w:r>
      <w:r>
        <w:rPr>
          <w:iCs/>
          <w:i/>
        </w:rPr>
        <w:t xml:space="preserve">khả thi tối thiểu</w:t>
      </w:r>
      <w:r>
        <w:t xml:space="preserve"> </w:t>
      </w:r>
      <w:r>
        <w:t xml:space="preserve">của điều tiết năng lực mà công cụ WBES có thể hỗ trợ. Bất kỳ phát hiện null nào cũng nên được diễn giải có điều kiện theo ràng buộc đo lường này, không phải là sự bác bỏ dứt khoát cơ chế lý thuyết nền tảng.</w:t>
      </w:r>
    </w:p>
    <w:p>
      <w:pPr>
        <w:pStyle w:val="BlockText"/>
      </w:pPr>
      <w:r>
        <w:rPr>
          <w:bCs/>
          <w:b/>
        </w:rPr>
        <w:t xml:space="preserve">Giả thuyết 4a (H4a).</w:t>
      </w:r>
      <w:r>
        <w:t xml:space="preserve"> </w:t>
      </w:r>
      <w:r>
        <w:t xml:space="preserve">Năng lực công nghệ cao hơn có liên hệ thuận chiều với hiệu quả hoạt động kinh doanh của doanh nghiệp và điều tiết độ cong của mối quan hệ hình chữ U ngược giữa cường độ xuất khẩu và hiệu quả hoạt động kinh doanh của doanh nghiệp ở các doanh nghiệp tư nhân Trung Quốc.</w:t>
      </w:r>
    </w:p>
    <w:p>
      <w:pPr>
        <w:pStyle w:val="FirstParagraph"/>
      </w:pPr>
      <w:r>
        <w:t xml:space="preserve">Vì</w:t>
      </w:r>
      <w:r>
        <w:t xml:space="preserve"> </w:t>
      </w:r>
      <m:oMath>
        <m:sSub>
          <m:e>
            <m:r>
              <m:rPr>
                <m:sty m:val="p"/>
              </m:rPr>
              <m:t>D</m:t>
            </m:r>
            <m:r>
              <m:rPr>
                <m:sty m:val="p"/>
              </m:rPr>
              <m:t>A</m:t>
            </m:r>
            <m:r>
              <m:rPr>
                <m:sty m:val="p"/>
              </m:rPr>
              <m:t>I</m:t>
            </m:r>
          </m:e>
          <m:sub>
            <m:r>
              <m:rPr>
                <m:nor/>
                <m:sty m:val="p"/>
              </m:rPr>
              <m:t>core</m:t>
            </m:r>
          </m:sub>
        </m:sSub>
      </m:oMath>
      <w:r>
        <w:t xml:space="preserve"> </w:t>
      </w:r>
      <w:r>
        <w:t xml:space="preserve">trong dữ liệu WBES hiện tại rút gọn về một mục nhị phân duy nhất, c22b (hiện diện website riêng), nó nắm bắt hiện diện số tầng 1 thay vì năng lực số động. Tại Trung Quốc năm 2024, việc sở hữu website thực sự là một yếu tố vệ sinh tổ chức: phần lớn các doanh nghiệp hoạt động đều duy trì hiện diện web, và mục này không còn phân biệt một cách có ý nghĩa giữa các doanh nghiệp về chiến lược số hoặc chiều sâu năng lực. Do đó,</w:t>
      </w:r>
      <w:r>
        <w:t xml:space="preserve"> </w:t>
      </w:r>
      <w:r>
        <w:rPr>
          <w:bCs/>
          <w:b/>
        </w:rPr>
        <w:t xml:space="preserve">H4b không được chính thức hoá thành một giả thuyết có thể kiểm định</w:t>
      </w:r>
      <w:r>
        <w:t xml:space="preserve"> </w:t>
      </w:r>
      <w:r>
        <w:t xml:space="preserve">trong bài báo hiện tại.</w:t>
      </w:r>
      <w:r>
        <w:t xml:space="preserve"> </w:t>
      </w:r>
      <m:oMath>
        <m:sSub>
          <m:e>
            <m:r>
              <m:rPr>
                <m:sty m:val="p"/>
              </m:rPr>
              <m:t>D</m:t>
            </m:r>
            <m:r>
              <m:rPr>
                <m:sty m:val="p"/>
              </m:rPr>
              <m:t>A</m:t>
            </m:r>
            <m:r>
              <m:rPr>
                <m:sty m:val="p"/>
              </m:rPr>
              <m:t>I</m:t>
            </m:r>
          </m:e>
          <m:sub>
            <m:r>
              <m:rPr>
                <m:nor/>
                <m:sty m:val="p"/>
              </m:rPr>
              <m:t>core</m:t>
            </m:r>
          </m:sub>
        </m:sSub>
      </m:oMath>
      <w:r>
        <w:t xml:space="preserve"> </w:t>
      </w:r>
      <w:r>
        <w:t xml:space="preserve">được giữ lại trong tất cả các đặc tả như một biến kiểm soát hiện diện số cơ sở để hấp thụ phương sai do sở hữu website, và liên hệ mức của nó với năng suất được ghi nhận một cách mô tả. Bất kỳ kiểm định nào trong tương lai về điều tiết năng lực số đều đòi hỏi các chỉ báo phong phú hơn ở Tầng 2–4 (tích hợp ERP, áp dụng nền tảng thương mại điện tử, vận hành tăng cường AI) vốn không có sẵn chéo đợt khảo sát trong công cụ WBES cho Trung Quốc.</w:t>
      </w:r>
    </w:p>
    <w:bookmarkEnd w:id="26"/>
    <w:bookmarkStart w:id="30" w:name="X8a92490dda13545d4b9b0f28bef19d74175128b"/>
    <w:p>
      <w:pPr>
        <w:pStyle w:val="Heading3"/>
      </w:pPr>
      <w:r>
        <w:t xml:space="preserve">2.5 Mô hình khái niệm</w:t>
      </w:r>
    </w:p>
    <w:p>
      <w:pPr>
        <w:pStyle w:val="FirstParagraph"/>
      </w:pPr>
      <w:r>
        <w:t xml:space="preserve">Hình 1 tóm tắt mô hình khái niệm và vai trò của mỗi cấu trúc trong phân tích. Mối quan hệ quốc tế hoá–hiệu quả được nắm bắt bởi hai hạng FSTS (tuyến tính và bậc hai) chảy vào năng suất lao động dạng log, với H1 dự đoán độ cong chữ U ngược. Wave2024 được thêm như cấu trúc tường minh, kết nối qua các mũi tên dịch chuyển thời gian nét đứt với các hạng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(H2 dịch chuyển định hướng). Các điều kiện vốn lưu động được thể hiện như khối nét đứt, một phân tích định hướng cơ chế mang tính khảo sát (Phần 4.5) thay vì giả thuyết chính thức. Bài báo xem kênh vốn lưu động như yếu tố điều kiện có cơ sở lý thuyết cho suy giảm sau ngưỡng, mà việc nhận dạng trực tiếp đợi dữ liệu vi mô tài chính phong phú hơn. Năng lực công nghệ (H4a) đi vào mô hình như điều kiện dịch chuyển mức trực tiếp và là ứng viên điều tiết độ cong. Áp dụng công nghệ số (</w:t>
      </w:r>
      <m:oMath>
        <m:sSub>
          <m:e>
            <m:r>
              <m:rPr>
                <m:sty m:val="p"/>
              </m:rPr>
              <m:t>D</m:t>
            </m:r>
            <m:r>
              <m:rPr>
                <m:sty m:val="p"/>
              </m:rPr>
              <m:t>A</m:t>
            </m:r>
            <m:r>
              <m:rPr>
                <m:sty m:val="p"/>
              </m:rPr>
              <m:t>I</m:t>
            </m:r>
          </m:e>
          <m:sub>
            <m:r>
              <m:rPr>
                <m:nor/>
                <m:sty m:val="p"/>
              </m:rPr>
              <m:t>core</m:t>
            </m:r>
          </m:sub>
        </m:sSub>
      </m:oMath>
      <w:r>
        <w:t xml:space="preserve">) được giữ lại như biến kiểm soát hiện diện số cơ sở; liên hệ mức của nó với năng suất được ghi nhận một cách mô tả, nhưng không được chính thức hoá thành giả thuyết do hạn chế đơn mục nhị phân. Các biến kiểm soát chảy vào biến đầu ra qua đường riêng. Thứ bậc thị giác của Hình 1 phản ánh ưu tiên kiến trúc của bài báo: H1 và H2 (mũi tên nét liền) là các dự đoán độ cong và dịch chuyển chính, trong khi H3 và các nhánh điều tiết H4 mang tính khảo sát.</w:t>
      </w:r>
    </w:p>
    <w:p>
      <w:pPr>
        <w:pStyle w:val="BodyText"/>
      </w:pPr>
      <w:r>
        <w:drawing>
          <wp:inline>
            <wp:extent cx="5753100" cy="3970799"/>
            <wp:effectExtent b="0" l="0" r="0" t="0"/>
            <wp:docPr descr="Hình 1: Mô hình khái niệm: I–P có giới hạn và dịch chuyển thời gian, doanh nghiệp tư nhân Trung Quốc"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cho P5: quốc tế hoá–hiệu quả có giới hạn và dịch chuyển thời gian được dự đoán ở các doanh nghiệp tư nhân Trung Quốc. Các hộp biểu thị các cấu trúc cấp doanh nghiệp (cường độ xuất khẩu FSTS,</w:t>
      </w:r>
      <w:r>
        <w:t xml:space="preserve"> </w:t>
      </w:r>
      <m:oMath>
        <m:sSup>
          <m:e>
            <m:r>
              <m:rPr>
                <m:sty m:val="p"/>
              </m:rPr>
              <m:t>F</m:t>
            </m:r>
            <m:r>
              <m:rPr>
                <m:sty m:val="p"/>
              </m:rPr>
              <m:t>S</m:t>
            </m:r>
            <m:r>
              <m:rPr>
                <m:sty m:val="p"/>
              </m:rPr>
              <m:t>T</m:t>
            </m:r>
            <m:r>
              <m:rPr>
                <m:sty m:val="p"/>
              </m:rPr>
              <m:t>S</m:t>
            </m:r>
          </m:e>
          <m:sup>
            <m:r>
              <m:t>2</m:t>
            </m:r>
          </m:sup>
        </m:sSup>
      </m:oMath>
      <w:r>
        <w:t xml:space="preserve">; năng lực công nghệ TCI; áp dụng công nghệ số DAI; các biến kiểm soát; biến đầu ra ln(LP)); một biến giả</w:t>
      </w:r>
      <w:r>
        <w:t xml:space="preserve"> </w:t>
      </w:r>
      <m:oMath>
        <m:sSub>
          <m:e>
            <m:r>
              <m:t>D</m:t>
            </m:r>
          </m:e>
          <m:sub>
            <m:r>
              <m:t>2024</m:t>
            </m:r>
          </m:sub>
        </m:sSub>
      </m:oMath>
      <w:r>
        <w:t xml:space="preserve"> </w:t>
      </w:r>
      <w:r>
        <w:t xml:space="preserve">đi vào mô hình một cách tường minh. Mũi tên nét liền đánh dấu các giả thuyết định hướng chính (H1 độ cong chữ U ngược; H2 dịch chuyển thời gian qua các tương tác đợt khảo sát × FSTS; H4a dịch chuyển mức TCI và điều tiết độ cong; liên hệ mức biến kiểm soát cơ sở</w:t>
      </w:r>
      <w:r>
        <w:t xml:space="preserve"> </w:t>
      </w:r>
      <m:oMath>
        <m:sSub>
          <m:e>
            <m:r>
              <m:rPr>
                <m:sty m:val="p"/>
              </m:rPr>
              <m:t>D</m:t>
            </m:r>
            <m:r>
              <m:rPr>
                <m:sty m:val="p"/>
              </m:rPr>
              <m:t>A</m:t>
            </m:r>
            <m:r>
              <m:rPr>
                <m:sty m:val="p"/>
              </m:rPr>
              <m:t>I</m:t>
            </m:r>
          </m:e>
          <m:sub>
            <m:r>
              <m:rPr>
                <m:nor/>
                <m:sty m:val="p"/>
              </m:rPr>
              <m:t>core</m:t>
            </m:r>
          </m:sub>
        </m:sSub>
      </m:oMath>
      <w:r>
        <w:t xml:space="preserve"> </w:t>
      </w:r>
      <w:r>
        <w:t xml:space="preserve">(không phải giả thuyết chính thức)). Khối vốn lưu động nét đứt và các mũi tên điều tiết động nét đứt phản ánh các phân tích cơ chế mang tính khảo sát được đánh giá trong Phần 4.5.</w:t>
      </w:r>
    </w:p>
    <w:bookmarkEnd w:id="30"/>
    <w:bookmarkEnd w:id="31"/>
    <w:bookmarkStart w:id="40"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của Khảo sát Doanh nghiệp của Ngân hàng Thế giới cho Trung Quốc: 2012 (phiên bản đầy đủ, 2.700 doanh nghiệp; World Bank, 2013) và 2024 (2.189 doanh nghiệp; World Bank, 2025). Quy trình lọc gồm loại bỏ theo dòng (listwise deletion) trên tập biến trọng tâm (doanh thu, lao động, cường độ xuất khẩu) và xử lý các mã không phản hồi WBES −9 và −7 như giá trị thiếu, cùng với mã từ chối bổ sung −8 năm 2024. Các mẫu phân tích cuối là: 2.619 doanh nghiệp năm 2012, 1.940 doanh nghiệp năm 2024, và 4.559 quan sát doanh nghiệp–năm trong mẫu gộp.</w:t>
      </w:r>
    </w:p>
    <w:p>
      <w:pPr>
        <w:pStyle w:val="BodyText"/>
      </w:pPr>
      <w:r>
        <w:t xml:space="preserve">Mẫu phân tích được rút từ khung doanh nghiệp tư nhân WBES rộng cho Trung Quốc, thay vì mẫu phụ chỉ thuộc ngành sản xuất. Các doanh nghiệp thuộc dịch vụ, bán lẻ, công nghệ thông tin, và xây dựng được đưa vào cùng với ngành sản xuất. Lý do là chiến lược nhận dạng của bản thảo phụ thuộc vào khung doanh nghiệp tư nhân WBES đầy đủ, nơi kết quả ngưỡng được ước lượng. Thành phần ngành được kiểm soát qua các biến giả tầng ISIC (</w:t>
      </w:r>
      <w:r>
        <w:rPr>
          <w:rStyle w:val="VerbatimChar"/>
        </w:rPr>
        <w:t xml:space="preserve">a4a</w:t>
      </w:r>
      <w:r>
        <w:t xml:space="preserve">). Một kiểm định độ vững hạn chế mẫu trong các doanh nghiệp sản xuất (mã ISIC Rev 3.1 15–38 năm 2012 và mã ISIC Rev 4 10–33 năm 2024) được báo cáo trong Phần 4.6.</w:t>
      </w:r>
    </w:p>
    <w:p>
      <w:pPr>
        <w:pStyle w:val="BodyText"/>
      </w:pPr>
      <w:r>
        <w:rPr>
          <w:bCs/>
          <w:b/>
        </w:rPr>
        <w:t xml:space="preserve">Ghi chú về tái lập.</w:t>
      </w:r>
      <w:r>
        <w:t xml:space="preserve"> </w:t>
      </w:r>
      <w:r>
        <w:t xml:space="preserve">Các mẫu phân tích được báo cáo xuyên suốt bài báo này (2012, N = 2.619; 2024, N = 1.940; gộp, N = 4.559) được xây dựng từ khung doanh nghiệp tư nhân WBES đầy đủ cho mỗi đợt khảo sát, với các mã không phản hồi của Ngân hàng Thế giới (−9 và −7 năm 2012; −9, −8, và −7 năm 2024) được mã hoá lại thành thiếu trên các biến trọng tâm và loại bỏ theo dòng được áp dụng trên</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tuổi doanh nghiệp, và chỉ báo sở hữu nước ngoài. Các chỉ số hợp thành</w:t>
      </w:r>
      <w:r>
        <w:t xml:space="preserve"> </w:t>
      </w:r>
      <m:oMath>
        <m:sSub>
          <m:e>
            <m:r>
              <m:rPr>
                <m:sty m:val="p"/>
              </m:rPr>
              <m:t>T</m:t>
            </m:r>
            <m:r>
              <m:rPr>
                <m:sty m:val="p"/>
              </m:rPr>
              <m:t>C</m:t>
            </m:r>
            <m:r>
              <m:rPr>
                <m:sty m:val="p"/>
              </m:rPr>
              <m:t>I</m:t>
            </m:r>
          </m:e>
          <m:sub>
            <m:r>
              <m:rPr>
                <m:nor/>
                <m:sty m:val="p"/>
              </m:rPr>
              <m:t>full</m:t>
            </m:r>
          </m:sub>
        </m:sSub>
      </m:oMath>
      <w:r>
        <w:t xml:space="preserve"> </w:t>
      </w:r>
      <w:r>
        <w:t xml:space="preserve">và</w:t>
      </w:r>
      <w:r>
        <w:t xml:space="preserve"> </w:t>
      </w:r>
      <m:oMath>
        <m:sSub>
          <m:e>
            <m:r>
              <m:rPr>
                <m:sty m:val="p"/>
              </m:rPr>
              <m:t>D</m:t>
            </m:r>
            <m:r>
              <m:rPr>
                <m:sty m:val="p"/>
              </m:rPr>
              <m:t>A</m:t>
            </m:r>
            <m:r>
              <m:rPr>
                <m:sty m:val="p"/>
              </m:rPr>
              <m:t>I</m:t>
            </m:r>
          </m:e>
          <m:sub>
            <m:r>
              <m:rPr>
                <m:nor/>
                <m:sty m:val="p"/>
              </m:rPr>
              <m:t>core</m:t>
            </m:r>
          </m:sub>
        </m:sSub>
      </m:oMath>
      <w:r>
        <w:t xml:space="preserve"> </w:t>
      </w:r>
      <w:r>
        <w:t xml:space="preserve">được chuẩn hoá theo z trong từng đợt khảo sát trước khi gộp. Chúng tôi đã xác minh kích thước mẫu phân tích, ước lượng điểm ngoặt (49,4 % năm 2012, 47,2 % năm 2024, 48,8 % gộp), kết quả tính bằng nhau chéo đợt khảo sát theo Paternoster, và các kiểm định F liên hợp cho dịch chuyển chéo đợt khảo sát và điều tiết theo năng lực trong một bản tái lập Python độc lập của quy trình Stata.</w:t>
      </w:r>
    </w:p>
    <w:p>
      <w:pPr>
        <w:pStyle w:val="BodyText"/>
      </w:pPr>
      <w:r>
        <w:rPr>
          <w:bCs/>
          <w:b/>
        </w:rPr>
        <w:t xml:space="preserve">Phạm vi mẫu và so sánh N với Author Citation (2026, JFAR).</w:t>
      </w:r>
      <w:r>
        <w:t xml:space="preserve"> </w:t>
      </w:r>
      <w:r>
        <w:t xml:space="preserve">Mẫu phân tích 2024 (N = 1.940) nhỏ hơn mẫu phụ chỉ thuộc ngành sản xuất được báo cáo trong Author Citation (2026, JFAR) (N = 2.154) mặc dù bài báo hiện tại có khung ngành rộng hơn. Nghịch lý bề ngoài này được giải thích bởi hai khác biệt trong xây dựng. Thứ nhất, phân tích JFAR rút từ khung WBES chỉ ngành sản xuất (mã ISIC Rev 3.1 15–37), khung này dày đặc hơn trong bản phát hành 2024 so với điều mà lấy mẫu phụ chỉ doanh nghiệp tư nhân gợi ý. Thứ hai, và quan trọng hơn, thiết kế chéo đợt khảo sát hiện tại áp dụng lọc không phản hồi nghiêm ngặt hơn: bảng câu hỏi WBES BREADY 2024 đã đưa ra mã từ chối −8 trên các mục tài chính trọng tâm (d3c, d2, l1), được phân tích hiện tại xử lý như giá trị thiếu để duy trì tính so sánh theo chiều dọc. Việc lọc nghiêm ngặt hơn này, được thúc đẩy bởi thiết kế ước lượng chéo đợt khảo sát chứ không phải loại trừ tuỳ ý, giải thích cho N phân tích 2024 nhỏ hơn so với mẫu phụ sản xuất JFAR.</w:t>
      </w:r>
    </w:p>
    <w:p>
      <w:pPr>
        <w:pStyle w:val="BodyText"/>
      </w:pPr>
      <w:r>
        <w:t xml:space="preserve">Dữ liệu vi mô WBES có sẵn công khai từ</w:t>
      </w:r>
      <w:r>
        <w:t xml:space="preserve"> </w:t>
      </w:r>
      <w:hyperlink r:id="rId32">
        <w:r>
          <w:rPr>
            <w:rStyle w:val="Hyperlink"/>
          </w:rPr>
          <w:t xml:space="preserve">https://www.enterprisesurveys.org/en/data</w:t>
        </w:r>
      </w:hyperlink>
      <w:r>
        <w:t xml:space="preserve"> </w:t>
      </w:r>
      <w:r>
        <w:t xml:space="preserve">tuỳ thuộc vào việc đăng ký với Đơn vị Phân tích Doanh nghiệp của Ngân hàng Thế giới và chấp nhận Quy trình Tiếp cận Dữ liệu WBES. Quy trình này nghiêm cấm chuyển giao các tệp .dta cho bên thứ ba (kể cả các tạp chí); theo đó, gói tái lập đi kèm bản thảo này tham chiếu đến điểm cuối tải xuống WBES thay vì phân phối lại dữ liệu. Nguồn: World Bank Enterprise Surveys,</w:t>
      </w:r>
      <w:r>
        <w:t xml:space="preserve"> </w:t>
      </w:r>
      <w:hyperlink r:id="rId33">
        <w:r>
          <w:rPr>
            <w:rStyle w:val="Hyperlink"/>
          </w:rPr>
          <w:t xml:space="preserve">www.enterprisesurveys.org</w:t>
        </w:r>
      </w:hyperlink>
      <w:r>
        <w:t xml:space="preserve">.</w:t>
      </w:r>
    </w:p>
    <w:bookmarkEnd w:id="34"/>
    <w:bookmarkStart w:id="35" w:name="X935de51f3ab8039a3a6cdd838a0f806ad060fad"/>
    <w:p>
      <w:pPr>
        <w:pStyle w:val="Heading3"/>
      </w:pPr>
      <w:r>
        <w:t xml:space="preserve">3.2 Biến</w:t>
      </w:r>
    </w:p>
    <w:p>
      <w:pPr>
        <w:pStyle w:val="FirstParagraph"/>
      </w:pPr>
      <w:r>
        <w:t xml:space="preserve">Biến phụ thuộc là năng suất lao động dạng log,</w:t>
      </w:r>
      <w:r>
        <w:t xml:space="preserve"> </w:t>
      </w:r>
      <m:oMath>
        <m:r>
          <m:rPr>
            <m:sty m:val="p"/>
          </m:rPr>
          <m:t>ln</m:t>
        </m:r>
        <m:d>
          <m:dPr>
            <m:begChr m:val="("/>
            <m:endChr m:val=")"/>
            <m:sepChr m:val=""/>
            <m:grow/>
          </m:dPr>
          <m:e>
            <m:r>
              <m:rPr>
                <m:sty m:val="p"/>
              </m:rPr>
              <m:t>L</m:t>
            </m:r>
            <m:r>
              <m:rPr>
                <m:sty m:val="p"/>
              </m:rPr>
              <m:t>P</m:t>
            </m:r>
          </m:e>
        </m:d>
      </m:oMath>
      <w:r>
        <w:t xml:space="preserve"> </w:t>
      </w:r>
      <w:r>
        <w:t xml:space="preserve">= ln(d2 / l1), trong đó d2 là tổng doanh thu hàng năm (tính bằng đơn vị tiền tệ địa phương) và l1 là số lượng nhân viên toàn thời gian thường xuyên, cả hai đều được báo cáo trong công cụ WBES (Avenyo, Tregenna, &amp; Kraemer-Mbula, 2021).</w:t>
      </w:r>
    </w:p>
    <w:p>
      <w:pPr>
        <w:pStyle w:val="BodyText"/>
      </w:pPr>
      <w:r>
        <w:t xml:space="preserve">Biến độc lập trọng tâm là cường độ xuất khẩu trực tiếp (FSTS), được đo bằng d3c / 100, với</w:t>
      </w:r>
      <w:r>
        <w:t xml:space="preserve"> </w:t>
      </w:r>
      <m:oMath>
        <m:sSup>
          <m:e>
            <m:r>
              <m:rPr>
                <m:sty m:val="p"/>
              </m:rPr>
              <m:t>F</m:t>
            </m:r>
            <m:r>
              <m:rPr>
                <m:sty m:val="p"/>
              </m:rPr>
              <m:t>S</m:t>
            </m:r>
            <m:r>
              <m:rPr>
                <m:sty m:val="p"/>
              </m:rPr>
              <m:t>T</m:t>
            </m:r>
            <m:r>
              <m:rPr>
                <m:sty m:val="p"/>
              </m:rPr>
              <m:t>S</m:t>
            </m:r>
          </m:e>
          <m:sup>
            <m:r>
              <m:t>2</m:t>
            </m:r>
          </m:sup>
        </m:sSup>
      </m:oMath>
      <w:r>
        <w:t xml:space="preserve"> </w:t>
      </w:r>
      <w:r>
        <w:t xml:space="preserve">nắm bắt độ cong chữ U ngược.</w:t>
      </w:r>
    </w:p>
    <w:p>
      <w:pPr>
        <w:pStyle w:val="BodyText"/>
      </w:pPr>
      <w:r>
        <w:t xml:space="preserve">Hai hợp thành cấu trúc đi vào mô hình vừa như các tác động trực tiếp vừa (theo H4a/H4b) như các ứng viên điều tiết độ cong:</w:t>
      </w:r>
    </w:p>
    <w:p>
      <w:pPr>
        <w:pStyle w:val="BodyText"/>
      </w:pPr>
      <m:oMath>
        <m:sSub>
          <m:e>
            <m:r>
              <m:rPr>
                <m:sty m:val="p"/>
              </m:rPr>
              <m:t>T</m:t>
            </m:r>
            <m:r>
              <m:rPr>
                <m:sty m:val="p"/>
              </m:rPr>
              <m:t>C</m:t>
            </m:r>
            <m:r>
              <m:rPr>
                <m:sty m:val="p"/>
              </m:rPr>
              <m:t>I</m:t>
            </m:r>
          </m:e>
          <m:sub>
            <m:r>
              <m:rPr>
                <m:nor/>
                <m:sty m:val="p"/>
              </m:rPr>
              <m:t>full</m:t>
            </m:r>
          </m:sub>
        </m:sSub>
      </m:oMath>
      <w:r>
        <w:t xml:space="preserve"> </w:t>
      </w:r>
      <w:r>
        <w:t xml:space="preserve">là trung bình được chuẩn hoá theo z trong từng đợt khảo sát của bốn chỉ báo nhị phân được mã hoá lại từ 1/2 sang 1/0 của WBES: công nghệ được cấp phép từ nước ngoài (e6), chứng nhận chất lượng được quốc tế công nhận (b8), đổi mới sản phẩm (h1 năm 2024 / CNo1 năm 2012), và chi tiêu R&amp;D (h8 năm 2024 / CNo3 năm 2012). Theo quy ước của bản vá tái lập cho Trung Quốc,</w:t>
      </w:r>
      <w:r>
        <w:t xml:space="preserve"> </w:t>
      </w:r>
      <m:oMath>
        <m:sSub>
          <m:e>
            <m:r>
              <m:rPr>
                <m:sty m:val="p"/>
              </m:rPr>
              <m:t>T</m:t>
            </m:r>
            <m:r>
              <m:rPr>
                <m:sty m:val="p"/>
              </m:rPr>
              <m:t>C</m:t>
            </m:r>
            <m:r>
              <m:rPr>
                <m:sty m:val="p"/>
              </m:rPr>
              <m:t>I</m:t>
            </m:r>
          </m:e>
          <m:sub>
            <m:r>
              <m:rPr>
                <m:nor/>
                <m:sty m:val="p"/>
              </m:rPr>
              <m:t>full</m:t>
            </m:r>
          </m:sub>
        </m:sSub>
      </m:oMath>
      <w:r>
        <w:t xml:space="preserve"> </w:t>
      </w:r>
      <w:r>
        <w:t xml:space="preserve">yêu cầu ít nhất ba trong bốn mục không thiếu.</w:t>
      </w:r>
    </w:p>
    <w:p>
      <w:pPr>
        <w:pStyle w:val="BodyText"/>
      </w:pPr>
      <m:oMath>
        <m:sSub>
          <m:e>
            <m:r>
              <m:rPr>
                <m:sty m:val="p"/>
              </m:rPr>
              <m:t>D</m:t>
            </m:r>
            <m:r>
              <m:rPr>
                <m:sty m:val="p"/>
              </m:rPr>
              <m:t>A</m:t>
            </m:r>
            <m:r>
              <m:rPr>
                <m:sty m:val="p"/>
              </m:rPr>
              <m:t>I</m:t>
            </m:r>
          </m:e>
          <m:sub>
            <m:r>
              <m:rPr>
                <m:nor/>
                <m:sty m:val="p"/>
              </m:rPr>
              <m:t>core</m:t>
            </m:r>
          </m:sub>
        </m:sSub>
      </m:oMath>
      <w:r>
        <w:t xml:space="preserve"> </w:t>
      </w:r>
      <w:r>
        <w:t xml:space="preserve">là giá trị được chuẩn hoá theo z trong từng đợt khảo sát của một chỉ báo nhị phân duy nhất, hiện diện website riêng (c22b). Một hợp thành DAI hai mục trước đó kết hợp c22b với e6 (công nghệ được cấp phép từ nước ngoài) đã bị loại bỏ trong bản sửa đổi này vì e6 về mặt lý thuyết là một chỉ báo năng lực theo Lall (1992) chứ không phải một chỉ báo hiện diện số, và việc đưa nó vào chỉ số số đã làm phình to một cách máy móc tương quan TCI–DAI trong cùng đợt khảo sát. Đặc tả</w:t>
      </w:r>
      <w:r>
        <w:t xml:space="preserve"> </w:t>
      </w:r>
      <m:oMath>
        <m:sSub>
          <m:e>
            <m:r>
              <m:rPr>
                <m:sty m:val="p"/>
              </m:rPr>
              <m:t>D</m:t>
            </m:r>
            <m:r>
              <m:rPr>
                <m:sty m:val="p"/>
              </m:rPr>
              <m:t>A</m:t>
            </m:r>
            <m:r>
              <m:rPr>
                <m:sty m:val="p"/>
              </m:rPr>
              <m:t>I</m:t>
            </m:r>
          </m:e>
          <m:sub>
            <m:r>
              <m:rPr>
                <m:nor/>
                <m:sty m:val="p"/>
              </m:rPr>
              <m:t>core</m:t>
            </m:r>
          </m:sub>
        </m:sSub>
      </m:oMath>
      <w:r>
        <w:t xml:space="preserve"> </w:t>
      </w:r>
      <w:r>
        <w:t xml:space="preserve">đơn mục mà chúng tôi áp dụng hiện nay vận hành hoá hiện diện số Tầng 1 một cách sạch sẽ qua các đợt khảo sát 2012 và 2024;</w:t>
      </w:r>
      <w:r>
        <w:t xml:space="preserve"> </w:t>
      </w:r>
      <m:oMath>
        <m:sSub>
          <m:e>
            <m:r>
              <m:rPr>
                <m:sty m:val="p"/>
              </m:rPr>
              <m:t>D</m:t>
            </m:r>
            <m:r>
              <m:rPr>
                <m:sty m:val="p"/>
              </m:rPr>
              <m:t>A</m:t>
            </m:r>
            <m:r>
              <m:rPr>
                <m:sty m:val="p"/>
              </m:rPr>
              <m:t>I</m:t>
            </m:r>
          </m:e>
          <m:sub>
            <m:r>
              <m:rPr>
                <m:nor/>
                <m:sty m:val="p"/>
              </m:rPr>
              <m:t>core</m:t>
            </m:r>
          </m:sub>
        </m:sSub>
      </m:oMath>
      <w:r>
        <w:t xml:space="preserve"> </w:t>
      </w:r>
      <w:r>
        <w:t xml:space="preserve">nên được đọc như một biến đại diện áp dụng công nghệ số chéo đợt khảo sát tối thiểu chứ không phải một chỉ số năng lực số động đầy đủ, và e6 được dành riêng cho hợp thành TCI nơi nó thuộc về theo lý thuyết.</w:t>
      </w:r>
    </w:p>
    <w:p>
      <w:pPr>
        <w:pStyle w:val="BodyText"/>
      </w:pPr>
      <w:r>
        <w:rPr>
          <w:bCs/>
          <w:b/>
        </w:rPr>
        <w:t xml:space="preserve">Lưu ý WBES về</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Trong cả hai đợt khảo sát, chỉ báo số duy nhất có thể so sánh chéo đợt khảo sát trong công cụ WBES Trung Quốc là c22b (sở hữu website riêng), được xử lý ở đây như một biến đại diện hiện diện số Tầng 1. Tại Trung Quốc năm 2024, sở hữu website là một yếu tố vệ sinh tổ chức cơ bản chứ không phải một dấu chỉ của năng lực số hoặc lợi thế cạnh tranh; do đó,</w:t>
      </w:r>
      <w:r>
        <w:t xml:space="preserve"> </w:t>
      </w:r>
      <m:oMath>
        <m:sSub>
          <m:e>
            <m:r>
              <m:rPr>
                <m:sty m:val="p"/>
              </m:rPr>
              <m:t>D</m:t>
            </m:r>
            <m:r>
              <m:rPr>
                <m:sty m:val="p"/>
              </m:rPr>
              <m:t>A</m:t>
            </m:r>
            <m:r>
              <m:rPr>
                <m:sty m:val="p"/>
              </m:rPr>
              <m:t>I</m:t>
            </m:r>
          </m:e>
          <m:sub>
            <m:r>
              <m:rPr>
                <m:nor/>
                <m:sty m:val="p"/>
              </m:rPr>
              <m:t>core</m:t>
            </m:r>
          </m:sub>
        </m:sSub>
      </m:oMath>
      <w:r>
        <w:t xml:space="preserve"> </w:t>
      </w:r>
      <w:r>
        <w:t xml:space="preserve">được giữ lại trong các đặc tả như một biến kiểm soát để hấp thụ thành phần hiện diện website của phương sai năng suất chứ không phải như một yếu tố điều tiết được thúc đẩy bởi lý thuyết. Các liên hệ giữa</w:t>
      </w:r>
      <w:r>
        <w:t xml:space="preserve"> </w:t>
      </w:r>
      <m:oMath>
        <m:sSub>
          <m:e>
            <m:r>
              <m:rPr>
                <m:sty m:val="p"/>
              </m:rPr>
              <m:t>D</m:t>
            </m:r>
            <m:r>
              <m:rPr>
                <m:sty m:val="p"/>
              </m:rPr>
              <m:t>A</m:t>
            </m:r>
            <m:r>
              <m:rPr>
                <m:sty m:val="p"/>
              </m:rPr>
              <m:t>I</m:t>
            </m:r>
          </m:e>
          <m:sub>
            <m:r>
              <m:rPr>
                <m:nor/>
                <m:sty m:val="p"/>
              </m:rPr>
              <m:t>core</m:t>
            </m:r>
          </m:sub>
        </m:sSub>
      </m:oMath>
      <w:r>
        <w:t xml:space="preserve"> </w:t>
      </w:r>
      <w:r>
        <w:t xml:space="preserve">và năng suất nên được diễn giải như phản ánh hiện diện số cơ sở, không phải năng lực số động.</w:t>
      </w:r>
    </w:p>
    <w:p>
      <w:pPr>
        <w:pStyle w:val="BodyText"/>
      </w:pPr>
      <w:r>
        <w:rPr>
          <w:bCs/>
          <w:b/>
        </w:rPr>
        <w:t xml:space="preserve">Lưu ý về đặc tả: bậc hai và bậc ba.</w:t>
      </w:r>
      <w:r>
        <w:t xml:space="preserve"> </w:t>
      </w:r>
      <w:r>
        <w:t xml:space="preserve">Bài báo hiện tại áp dụng đặc tả bậc hai (dạng bậc hai, chữ U ngược) thay vì đặc tả bậc ba được báo cáo trong phân tích SME sản xuất đồng hành (Author Citation, 2026, JFAR). Điều này phản ánh các điều kiện biên thực nghiệm: mẫu chỉ sản xuất JFAR (mã ISIC Rev 3.1 15–37, n = 4.290 quan sát doanh nghiệp–năm, FSTS trung bình ≈ 23,7 %, với khoảng 82 % doanh nghiệp dưới mức cường độ xuất khẩu 50 %) có đủ khối lượng phân phối trong vùng ngưỡng 47–48 % để nhận dạng chính xác một điểm uốn bậc ba. Khung doanh nghiệp tư nhân WBES đầy đủ hiện tại (FSTS trung bình = 6,9 % / 5,2 % theo đợt khảo sát; 15,4 % / 12,6 % doanh nghiệp báo cáo bất kỳ FSTS dương nào) có khối lượng đáng kể nhỏ hơn ở các cường độ xuất khẩu cao, khiến hạng bậc ba không chính xác về mặt thống kê. Đặc tả bậc hai nắm bắt phạm vi liên quan thực nghiệm của logic tối ưu có giới hạn mà không áp đặt một giai đoạn phục hồi sau ngưỡng mà dữ liệu hiện tại không thể hỗ trợ. Người đọc đối chiếu điểm ngoặt bậc ba JFAR (47,8 %, 95 % CI [40,9 %, 54,1 %]) với điểm ngoặt bậc hai của bài báo hiện tại (48,8 % gộp) nên lưu ý rằng hai ước lượng nhất quán về mặt định hướng, cả hai đều định vị vùng tối ưu trong dải 47–49 %, nhưng được ước lượng từ các khung mẫu khác nhau, thành phần ngành khác nhau, và dạng hàm khác nhau.</w:t>
      </w:r>
    </w:p>
    <w:p>
      <w:pPr>
        <w:pStyle w:val="BlockText"/>
      </w:pPr>
      <w:r>
        <w:rPr>
          <w:bCs/>
          <w:b/>
        </w:rPr>
        <w:t xml:space="preserve">Lưu ý cấu trúc DAI.</w:t>
      </w:r>
      <w:r>
        <w:t xml:space="preserve"> </w:t>
      </w:r>
      <w:r>
        <w:t xml:space="preserve">Trong bài báo hiện tại,</w:t>
      </w:r>
      <w:r>
        <w:t xml:space="preserve"> </w:t>
      </w:r>
      <m:oMath>
        <m:sSub>
          <m:e>
            <m:r>
              <m:rPr>
                <m:sty m:val="p"/>
              </m:rPr>
              <m:t>D</m:t>
            </m:r>
            <m:r>
              <m:rPr>
                <m:sty m:val="p"/>
              </m:rPr>
              <m:t>A</m:t>
            </m:r>
            <m:r>
              <m:rPr>
                <m:sty m:val="p"/>
              </m:rPr>
              <m:t>I</m:t>
            </m:r>
          </m:e>
          <m:sub>
            <m:r>
              <m:rPr>
                <m:nor/>
                <m:sty m:val="p"/>
              </m:rPr>
              <m:t>core</m:t>
            </m:r>
          </m:sub>
        </m:sSub>
      </m:oMath>
      <w:r>
        <w:t xml:space="preserve"> </w:t>
      </w:r>
      <w:r>
        <w:t xml:space="preserve">được vận hành hoá chỉ như một biến kiểm soát Tầng 1, biến nhị phân website c22b đơn mục, vì (i) sở hữu website là một yếu tố vệ sinh tổ chức cơ bản tại Trung Quốc năm 2024, và (ii) không có chỉ báo số Tầng 2 có thể so sánh chéo đợt khảo sát (ví dụ, cường độ thanh toán điện tử về phía khách hàng hoặc nhà cung cấp) tồn tại trong công cụ WBES Trung Quốc cho cả hai đợt khảo sát 2012 và 2024. Do đó, biến đo</w:t>
      </w:r>
      <w:r>
        <w:t xml:space="preserve"> </w:t>
      </w:r>
      <m:oMath>
        <m:sSub>
          <m:e>
            <m:r>
              <m:rPr>
                <m:sty m:val="p"/>
              </m:rPr>
              <m:t>D</m:t>
            </m:r>
            <m:r>
              <m:rPr>
                <m:sty m:val="p"/>
              </m:rPr>
              <m:t>A</m:t>
            </m:r>
            <m:r>
              <m:rPr>
                <m:sty m:val="p"/>
              </m:rPr>
              <m:t>I</m:t>
            </m:r>
          </m:e>
          <m:sub>
            <m:r>
              <m:rPr>
                <m:nor/>
                <m:sty m:val="p"/>
              </m:rPr>
              <m:t>core</m:t>
            </m:r>
          </m:sub>
        </m:sSub>
      </m:oMath>
      <w:r>
        <w:t xml:space="preserve"> </w:t>
      </w:r>
      <w:r>
        <w:t xml:space="preserve">nên được đọc như một yếu tố dịch chuyển mức thay vì một chỉ báo năng lực phụ thuộc; các hợp thành Tầng 1+2 phong phú hơn sẽ được yêu cầu để kiểm định cơ chế bổ trợ số phụ thuộc mà công cụ hiện tại không thể hỗ trợ.</w:t>
      </w:r>
    </w:p>
    <w:p>
      <w:pPr>
        <w:pStyle w:val="FirstParagraph"/>
      </w:pPr>
      <w:r>
        <w:rPr>
          <w:bCs/>
          <w:b/>
        </w:rPr>
        <w:t xml:space="preserve">Các biến kiểm soát</w:t>
      </w:r>
      <w:r>
        <w:t xml:space="preserve"> </w:t>
      </w:r>
      <w:r>
        <w:t xml:space="preserve">bao gồm log số nhân viên thường xuyên (</w:t>
      </w:r>
      <m:oMath>
        <m:r>
          <m:rPr>
            <m:sty m:val="p"/>
          </m:rPr>
          <m:t>ln</m:t>
        </m:r>
        <m:d>
          <m:dPr>
            <m:begChr m:val="("/>
            <m:endChr m:val=")"/>
            <m:sepChr m:val=""/>
            <m:grow/>
          </m:dPr>
          <m:e>
            <m:r>
              <m:rPr>
                <m:sty m:val="p"/>
              </m:rPr>
              <m:t>E</m:t>
            </m:r>
            <m:r>
              <m:rPr>
                <m:sty m:val="p"/>
              </m:rPr>
              <m:t>m</m:t>
            </m:r>
            <m:r>
              <m:rPr>
                <m:sty m:val="p"/>
              </m:rPr>
              <m:t>p</m:t>
            </m:r>
          </m:e>
        </m:d>
      </m:oMath>
      <w:r>
        <w:t xml:space="preserve">), tuổi doanh nghiệp (năm khảo sát trừ b5), và một biến giả sở hữu nước ngoài (= 1 nếu b2b ≥ 10 %). Đặc tả gộp bổ sung thêm một biến giả</w:t>
      </w:r>
      <w:r>
        <w:t xml:space="preserve"> </w:t>
      </w:r>
      <m:oMath>
        <m:sSub>
          <m:e>
            <m:r>
              <m:t>D</m:t>
            </m:r>
          </m:e>
          <m:sub>
            <m:r>
              <m:t>2024</m:t>
            </m:r>
          </m:sub>
        </m:sSub>
      </m:oMath>
      <w:r>
        <w:t xml:space="preserve"> </w:t>
      </w:r>
      <w:r>
        <w:t xml:space="preserve">(= 1 nếu 2024, = 0 nếu 2012) và được ước lượng với sai số chuẩn vững theo cụm (cluster-robust SE) trên định danh doanh nghiệp</w:t>
      </w:r>
      <w:r>
        <w:t xml:space="preserve"> </w:t>
      </w:r>
      <w:r>
        <w:rPr>
          <w:rStyle w:val="VerbatimChar"/>
        </w:rPr>
        <w:t xml:space="preserve">idstd</w:t>
      </w:r>
      <w:r>
        <w:t xml:space="preserve"> </w:t>
      </w:r>
      <w:r>
        <w:t xml:space="preserve">để xử lý 217 doanh nghiệp panel xuất hiện ở cả hai đợt khảo sát 2012 và 2024.</w:t>
      </w:r>
    </w:p>
    <w:p>
      <w:pPr>
        <w:pStyle w:val="BodyText"/>
      </w:pPr>
      <w:r>
        <w:t xml:space="preserve">Đối với phân tích vốn lưu động bổ sung (Phương án B1, xem Phần 3.4), chúng tôi vận hành hoá ba khối các mục WBES có thể so sánh chéo đợt khảo sát:</w:t>
      </w:r>
    </w:p>
    <w:p>
      <w:pPr>
        <w:numPr>
          <w:ilvl w:val="0"/>
          <w:numId w:val="1002"/>
        </w:numPr>
        <w:pStyle w:val="Compact"/>
      </w:pPr>
      <w:r>
        <w:rPr>
          <w:bCs/>
          <w:b/>
        </w:rPr>
        <w:t xml:space="preserve">Khối A, Tiếp cận thanh khoản:</w:t>
      </w:r>
      <w:r>
        <w:t xml:space="preserve"> </w:t>
      </w:r>
      <w:r>
        <w:t xml:space="preserve">công cụ thấu chi (k7, nhị phân được mã hoá lại 1 = có), hạn mức tín dụng / khoản vay (k8 năm 2012, k82 năm 2024, được hài hoà nhị phân bằng cách gộp k82 thứ tự bốn mức năm 2024 ∈ {1, 2} thành 1).</w:t>
      </w:r>
    </w:p>
    <w:p>
      <w:pPr>
        <w:numPr>
          <w:ilvl w:val="0"/>
          <w:numId w:val="1002"/>
        </w:numPr>
        <w:pStyle w:val="Compact"/>
      </w:pPr>
      <w:r>
        <w:rPr>
          <w:bCs/>
          <w:b/>
        </w:rPr>
        <w:t xml:space="preserve">Khối C — Cấu trúc tài trợ:</w:t>
      </w:r>
      <w:r>
        <w:t xml:space="preserve"> </w:t>
      </w:r>
      <w:r>
        <w:t xml:space="preserve">tỉ trọng vốn lưu động được tài trợ nội bộ (k3a), bởi ngân hàng (k3bc), và qua tín dụng thương mại từ nhà cung cấp (k3f). Đây là các biến phần trăm liên tục mà kiểm định xác thực WBES xác nhận tổng cộng nằm trong [95 %, 105 %] đối với 97 % doanh nghiệp năm 2012 và 94 % doanh nghiệp năm 2024.</w:t>
      </w:r>
    </w:p>
    <w:p>
      <w:pPr>
        <w:numPr>
          <w:ilvl w:val="0"/>
          <w:numId w:val="1002"/>
        </w:numPr>
        <w:pStyle w:val="Compact"/>
      </w:pPr>
      <w:r>
        <w:rPr>
          <w:bCs/>
          <w:b/>
        </w:rPr>
        <w:t xml:space="preserve">Khối D — Trở ngại tiếp cận tài chính:</w:t>
      </w:r>
      <w:r>
        <w:t xml:space="preserve"> </w:t>
      </w:r>
      <w:r>
        <w:t xml:space="preserve">k30, một thang Likert năm điểm (0 = không trở ngại, 4 = trở ngại nghiêm trọng) nắm bắt ràng buộc nhận thức được đối với hoạt động doanh nghiệp.</w:t>
      </w:r>
    </w:p>
    <w:p>
      <w:pPr>
        <w:pStyle w:val="FirstParagraph"/>
      </w:pPr>
      <w:r>
        <w:t xml:space="preserve">Một mở rộng độ vững chỉ năm 2012 (Khối B) sử dụng tỉ lệ phần trăm mua trên tín dụng (k1c) và bán trên tín dụng (k2c); các mục này vắng mặt trong bản phát hành 2024 và do đó không thể đi vào các đặc tả chéo đợt khảo sát.</w:t>
      </w:r>
    </w:p>
    <w:p>
      <w:pPr>
        <w:pStyle w:val="BodyText"/>
      </w:pPr>
      <w:r>
        <w:rPr>
          <w:bCs/>
          <w:b/>
        </w:rPr>
        <w:t xml:space="preserve">Lưu ý minh bạch về xử lý mã thiếu.</w:t>
      </w:r>
      <w:r>
        <w:t xml:space="preserve"> </w:t>
      </w:r>
      <w:r>
        <w:t xml:space="preserve">WBES sử dụng −9 cho "không biết" và −7 cho từ chối trong nhiều mục; bản phát hành 2024 còn tách biệt −8 cho từ chối với −9 cho không biết. Các mã này được xử lý như giá trị thiếu trong phân tích hiện tại, khôi phục sự thống nhất phương pháp luận với hướng dẫn của codebook WBES.</w:t>
      </w:r>
    </w:p>
    <w:bookmarkEnd w:id="35"/>
    <w:bookmarkStart w:id="36" w:name="Xded61b2ca68cb0f869e4caddf81fcf5d3999e98"/>
    <w:p>
      <w:pPr>
        <w:pStyle w:val="Heading3"/>
      </w:pPr>
      <w:r>
        <w:t xml:space="preserve">3.3 Ước lượng</w:t>
      </w:r>
    </w:p>
    <w:p>
      <w:pPr>
        <w:pStyle w:val="FirstParagraph"/>
      </w:pPr>
      <w:r>
        <w:t xml:space="preserve">Mỗi đặc tả được ước lượng bằng bình phương nhỏ nhất (OLS) với sai số chuẩn vững Huber–White (HC1) (MacKinnon &amp; White, 1985). Các đặc tả gộp còn cụm sai số chuẩn theo định danh doanh nghiệp</w:t>
      </w:r>
      <w:r>
        <w:t xml:space="preserve"> </w:t>
      </w:r>
      <w:r>
        <w:rPr>
          <w:rStyle w:val="VerbatimChar"/>
        </w:rPr>
        <w:t xml:space="preserve">idstd</w:t>
      </w:r>
      <w:r>
        <w:t xml:space="preserve"> </w:t>
      </w:r>
      <w:r>
        <w:t xml:space="preserve">để giải quyết sự phụ thuộc nội bộ doanh nghiệp do 217 quan sát panel. Khi chữ U ngược là vấn đề trọng tâm, kiểm định U Lind &amp; Mehlum (2010) được áp dụng trên phạm vi [0, 1] của FSTS, đồng thời báo cáo khoảng tin cậy 95 % theo phương pháp delta cho điểm ngoặt (Haans, Pieters, &amp; He, 2016). Khác biệt hệ số chéo đợt khảo sát được đánh giá qua kiểm định z Paternoster et al. (1998): z = (β_A − β_B) / √(SE_A² + SE_B²), với giá trị p hai phía từ phân phối chuẩn. Kiểm định z Paternoster trên các hệ số riêng lẻ được bổ sung bằng các kiểm định F liên hợp trên các khối hai hệ số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của đặc tả ba chiều gộp (xem Phần 3.5).</w:t>
      </w:r>
    </w:p>
    <w:p>
      <w:pPr>
        <w:pStyle w:val="BodyText"/>
      </w:pPr>
      <w:r>
        <w:t xml:space="preserve">Xuyên suốt bài, các kết quả được mô tả như liên hệ thay vì tác động, nhất quán với giới hạn suy luận của dữ liệu mặt cắt ngang lặp lại. Khi không có cấu trúc panel nội bộ doanh nghiệp, ta không thể nhận dạng các tác động nhân quả trong nội bộ doanh nghiệp, mà chỉ nhận dạng được liên hệ đương thời mặt cắt ngang giữa các biến dự báo và biến đầu ra (Antonakis et al., 2010; Shaver, 2020).</w:t>
      </w:r>
    </w:p>
    <w:bookmarkEnd w:id="36"/>
    <w:bookmarkStart w:id="37" w:name="Xd85561986c6c9e2e80983e825b37170190ff637"/>
    <w:p>
      <w:pPr>
        <w:pStyle w:val="Heading3"/>
      </w:pPr>
      <w:r>
        <w:t xml:space="preserve">3.4 Các phân tích định hướng cơ chế bổ sung (Phương án B1)</w:t>
      </w:r>
    </w:p>
    <w:p>
      <w:pPr>
        <w:pStyle w:val="FirstParagraph"/>
      </w:pPr>
      <w:r>
        <w:t xml:space="preserve">Để mở rộng phân tích ngưỡng mà không thay đổi bản sắc cốt lõi của bản thảo, các mô hình bổ sung xem xét liệu đoạn âm của đường cong cường độ xuất khẩu–hiệu quả có được điều kiện hoá bởi các hoàn cảnh vốn lưu động ở cấp doanh nghiệp hay không. Các chỉ báo WBES sẵn có không cung cấp thước đo trực tiếp duy nhất cho bẫy vốn lưu động. Vì vậy, phân tích dựa trên nhiều biến đại diện ở cấp doanh nghiệp, được tổ chức thành ba khối chéo đợt khảo sát mô tả trong Phần 3.2 (Tiếp cận thanh khoản, Cấu trúc tài trợ, Trở ngại tiếp cận tài chính). Các khối được kiểm định ở cấp mục (M1), ở cấp khối qua Chỉ số Tiếp cận Thanh khoản (M3), qua chỉ số căng thẳng vốn lưu động hợp thành (M4), và cuối cùng cho khối Phơi nhiễm Khoản phải thu chỉ năm 2012 (mua/bán trên tín dụng). Các đặc tả bổ sung duy trì cấu trúc bậc hai cơ sở và giới thiệu mỗi thước đo vốn lưu động cùng tương tác của nó với hạng cường độ xuất khẩu bậc hai. Tham số trọng tâm là tương tác giữa hạng cường độ xuất khẩu bậc hai và thước đo vốn lưu động, vì lập luận lý thuyết liên quan đến độ dốc của suy giảm sau ngưỡng chứ không chỉ giai đoạn tăng ban đầu.</w:t>
      </w:r>
    </w:p>
    <w:p>
      <w:pPr>
        <w:pStyle w:val="BodyText"/>
      </w:pPr>
      <w:r>
        <w:t xml:space="preserve">Các phân tích bổ sung được diễn giải theo thứ bậc. Bằng chứng từ các mô hình ngưỡng vẫn là chính. Bằng chứng từ các tương tác vốn lưu động được dùng để đánh giá cách diễn giải kinh tế được đề xuất. Bằng chứng từ các hạng năng lực công nghệ và áp dụng công nghệ số được dùng chủ yếu để đánh giá các dịch chuyển mức và kiểm định các thành phần điều tiết độ cong của H4a và H4b.</w:t>
      </w:r>
    </w:p>
    <w:bookmarkEnd w:id="37"/>
    <w:bookmarkStart w:id="38" w:name="X77046bc6e163a14cc1885221594af1bb599bbe5"/>
    <w:p>
      <w:pPr>
        <w:pStyle w:val="Heading3"/>
      </w:pPr>
      <w:r>
        <w:t xml:space="preserve">3.5 Đặc tả điều tiết ba chiều</w:t>
      </w:r>
    </w:p>
    <w:p>
      <w:pPr>
        <w:pStyle w:val="FirstParagraph"/>
      </w:pPr>
      <w:r>
        <w:t xml:space="preserve">Để kiểm định ba giả thuyết trong khung nội nhất quán duy nhất (giả thuyết dịch chuyển định hướng H2a so với H2b, giả thuyết điều tiết theo năng lực mặt cắt ngang H4a/H4b, và giả thuyết điều tiết động phụ thuộc năng lực ở Phần 2.4), đặc tả gộp sau được ước lượng trên mẫu liên hợp các doanh nghiệp báo cáo đủ biến trọng tâm (sample_full, N = 3.559). Tập con sample_full nhỏ hơn mẫu gộp mô tả (sample_base, N = 4.559, Bảng 1 và Phần 3.1) vì các đặc tả điều tiết ba chiều yêu cầu giá trị không thiếu trên các chỉ báo năng lực</w:t>
      </w:r>
      <w:r>
        <w:t xml:space="preserve"> </w:t>
      </w:r>
      <m:oMath>
        <m:sSub>
          <m:e>
            <m:r>
              <m:rPr>
                <m:sty m:val="p"/>
              </m:rPr>
              <m:t>T</m:t>
            </m:r>
            <m:r>
              <m:rPr>
                <m:sty m:val="p"/>
              </m:rPr>
              <m:t>C</m:t>
            </m:r>
            <m:r>
              <m:rPr>
                <m:sty m:val="p"/>
              </m:rPr>
              <m:t>I</m:t>
            </m:r>
          </m:e>
          <m:sub>
            <m:r>
              <m:rPr>
                <m:nor/>
                <m:sty m:val="p"/>
              </m:rPr>
              <m:t>full</m:t>
            </m:r>
          </m:sub>
        </m:sSub>
      </m:oMath>
      <w:r>
        <w:t xml:space="preserve"> </w:t>
      </w:r>
      <w:r>
        <w:t xml:space="preserve">(≥3 trong bốn mục nhị phân b8, e6, h1, h8) bên cạnh tập biến trọng tâm. Việc loại 1.000 quan sát (4.559 so với 3.559) phản ánh các doanh nghiệp báo cáo mục xuất khẩu và năng suất nhưng không phản hồi đủ bốn mục năng lực. Các thống kê mô tả so sánh chéo đợt khảo sát và các đặc tả M2 theo từng đợt khảo sát vẫn được ước lượng trên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trong đó</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(được chuẩn hoá theo</w:t>
      </w:r>
      <w:r>
        <w:t xml:space="preserve"> </w:t>
      </w:r>
      <m:oMath>
        <m:r>
          <m:t>z</m:t>
        </m:r>
      </m:oMath>
      <w:r>
        <w:t xml:space="preserve"> </w:t>
      </w:r>
      <w:r>
        <w:t xml:space="preserve">trong cùng đợt khảo sát) và</w:t>
      </w:r>
      <w:r>
        <w:t xml:space="preserve"> </w:t>
      </w:r>
      <m:oMath>
        <m:sSub>
          <m:e>
            <m:r>
              <m:rPr>
                <m:sty m:val="b"/>
              </m:rPr>
              <m:t>x</m:t>
            </m:r>
          </m:e>
          <m:sub>
            <m:r>
              <m:t>i</m:t>
            </m:r>
          </m:sub>
        </m:sSub>
      </m:oMath>
      <w:r>
        <w:t xml:space="preserve"> </w:t>
      </w:r>
      <w:r>
        <w:t xml:space="preserve">tập hợp các biến kiểm soát</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Sai số chuẩn được cụm vững trên</w:t>
      </w:r>
      <w:r>
        <w:t xml:space="preserve"> </w:t>
      </w:r>
      <w:r>
        <w:rPr>
          <w:rStyle w:val="VerbatimChar"/>
        </w:rPr>
        <w:t xml:space="preserve">idstd</w:t>
      </w:r>
      <w:r>
        <w:t xml:space="preserve">. Ba kiểm định</w:t>
      </w:r>
      <w:r>
        <w:t xml:space="preserve"> </w:t>
      </w:r>
      <m:oMath>
        <m:r>
          <m:t>F</m:t>
        </m:r>
      </m:oMath>
      <w:r>
        <w:t xml:space="preserve"> </w:t>
      </w:r>
      <w:r>
        <w:t xml:space="preserve">liên hợp trọng tâm là:</w:t>
      </w:r>
    </w:p>
    <w:p>
      <w:pPr>
        <w:numPr>
          <w:ilvl w:val="0"/>
          <w:numId w:val="1003"/>
        </w:numPr>
        <w:pStyle w:val="Compact"/>
      </w:pPr>
      <w:r>
        <w:rPr>
          <w:bCs/>
          <w:b/>
        </w:rPr>
        <w:t xml:space="preserve">F1: dịch chuyển chéo đợt khảo sát / tính bền vững cấu trúc (H2a so với H2b).</w:t>
      </w:r>
      <w:r>
        <w:t xml:space="preserve"> </w:t>
      </w:r>
      <w:r>
        <w:t xml:space="preserve">Kiểm định</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Không bác bỏ có nghĩa là hình dạng của chữ U ngược giống nhau trong năm 2012 và 2024, ủng hộ H2b so với H2a.</w:t>
      </w:r>
    </w:p>
    <w:p>
      <w:pPr>
        <w:numPr>
          <w:ilvl w:val="0"/>
          <w:numId w:val="1003"/>
        </w:numPr>
        <w:pStyle w:val="Compact"/>
      </w:pPr>
      <w:r>
        <w:rPr>
          <w:bCs/>
          <w:b/>
        </w:rPr>
        <w:t xml:space="preserve">F2: điều tiết theo năng lực mặt cắt ngang (độ cong H4a).</w:t>
      </w:r>
      <w:r>
        <w:t xml:space="preserve"> </w:t>
      </w:r>
      <w:r>
        <w:t xml:space="preserve">Kiểm định</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Không bác bỏ có nghĩa là TCI không điều tiết độ cong.</w:t>
      </w:r>
    </w:p>
    <w:p>
      <w:pPr>
        <w:numPr>
          <w:ilvl w:val="0"/>
          <w:numId w:val="1003"/>
        </w:numPr>
        <w:pStyle w:val="Compact"/>
      </w:pPr>
      <w:r>
        <w:rPr>
          <w:bCs/>
          <w:b/>
        </w:rPr>
        <w:t xml:space="preserve">F3: điều tiết động phụ thuộc năng lực.</w:t>
      </w:r>
      <w:r>
        <w:t xml:space="preserve"> </w:t>
      </w:r>
      <w:r>
        <w:t xml:space="preserve">Kiểm định</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Không bác bỏ có nghĩa là không có dịch chuyển độ cong phụ thuộc Tech theo thời gian.</w:t>
      </w:r>
    </w:p>
    <w:p>
      <w:pPr>
        <w:pStyle w:val="FirstParagraph"/>
      </w:pPr>
      <w:r>
        <w:t xml:space="preserve">Thống kê</w:t>
      </w:r>
      <w:r>
        <w:t xml:space="preserve"> </w:t>
      </w:r>
      <m:oMath>
        <m:r>
          <m:t>z</m:t>
        </m:r>
      </m:oMath>
      <w:r>
        <w:t xml:space="preserve"> </w:t>
      </w:r>
      <w:r>
        <w:t xml:space="preserve">Paternoster (1998) chéo đợt khảo sát cho tính bằng nhau hệ số riêng lẻ là</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với các giá trị</w:t>
      </w:r>
      <w:r>
        <w:t xml:space="preserve"> </w:t>
      </w:r>
      <m:oMath>
        <m:r>
          <m:t>p</m:t>
        </m:r>
      </m:oMath>
      <w:r>
        <w:t xml:space="preserve"> </w:t>
      </w:r>
      <w:r>
        <w:t xml:space="preserve">hai phía từ phân phối chuẩn. Điểm ngoặt ngụ ý của thành phần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khi</w:t>
      </w:r>
      <w:r>
        <w:t xml:space="preserve"> </w:t>
      </w:r>
      <m:oMath>
        <m:sSub>
          <m:e>
            <m:acc>
              <m:accPr>
                <m:chr m:val="̂"/>
              </m:accPr>
              <m:e>
                <m:r>
                  <m:t>β</m:t>
                </m:r>
              </m:e>
            </m:acc>
          </m:e>
          <m:sub>
            <m:r>
              <m:t>2</m:t>
            </m:r>
          </m:sub>
        </m:sSub>
        <m:r>
          <m:rPr>
            <m:sty m:val="p"/>
          </m:rPr>
          <m:t>&lt;</m:t>
        </m:r>
        <m:r>
          <m:t>0</m:t>
        </m:r>
      </m:oMath>
      <w:r>
        <w:t xml:space="preserve">; khoảng tin cậy 95 % theo phương pháp delta cho</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được báo cáo cùng (Haans, Pieters, &amp; He, 2016).</w:t>
      </w:r>
    </w:p>
    <w:p>
      <w:pPr>
        <w:pStyle w:val="BodyText"/>
      </w:pPr>
      <w:r>
        <w:t xml:space="preserve">Các kiểm định U Lind &amp; Mehlum (2010) được áp dụng riêng cho mỗi đợt khảo sát để xác minh chính thức chữ U ngược; các khoảng tin cậy 95 % theo phương pháp delta cho các điểm ngoặt đặc thù đợt khảo sát được báo cáo cùng.</w:t>
      </w:r>
    </w:p>
    <w:bookmarkEnd w:id="38"/>
    <w:bookmarkStart w:id="39" w:name="X4081247346012f0c121f4480fff83a3bda7f89f"/>
    <w:p>
      <w:pPr>
        <w:pStyle w:val="Heading3"/>
      </w:pPr>
      <w:r>
        <w:t xml:space="preserve">3.6 Chẩn đoán lựa chọn mẫu và nhận dạng</w:t>
      </w:r>
    </w:p>
    <w:p>
      <w:pPr>
        <w:pStyle w:val="FirstParagraph"/>
      </w:pPr>
      <w:r>
        <w:t xml:space="preserve">Chiến lược thực nghiệm xem thiết kế lấy mẫu WBES là gần ngoại sinh với mối quan hệ trọng tâm sau khi kiểm soát các đặc điểm cấp doanh nghiệp, một giả định chuẩn nhưng không vô hại. Ba chẩn đoán hỗ trợ giả định này.</w:t>
      </w:r>
    </w:p>
    <w:p>
      <w:pPr>
        <w:pStyle w:val="BodyText"/>
      </w:pPr>
      <w:r>
        <w:t xml:space="preserve">Thứ nhất, WBES sử dụng lấy mẫu ngẫu nhiên phân tầng trong từng quốc gia ở cấp cơ sở, với các tầng được xác định theo ngành, vùng, và quy mô (World Bank, 2013, 2025). Thiết kế lấy mẫu độc lập với các biến đầu ra cấp doanh nghiệp như năng suất hoặc cường độ xuất khẩu. Vì vậy, việc đưa vào mẫu không có điều kiện không được lựa chọn dựa trên biến phụ thuộc. Trong từng tầng, các trọng số lấy mẫu thay đổi theo cách đã biết. Ước lượng có trọng số sử dụng trọng số lấy mẫu đủ điều kiện trung vị WBES (</w:t>
      </w:r>
      <w:r>
        <w:rPr>
          <w:rStyle w:val="VerbatimChar"/>
        </w:rPr>
        <w:t xml:space="preserve">wmedian</w:t>
      </w:r>
      <w:r>
        <w:t xml:space="preserve">) được xác định là ưu tiên cho lần sửa đổi tiếp theo (xem Phần 4.7) và khả thi về mặt tính toán từ các biến trọng số WBES.</w:t>
      </w:r>
    </w:p>
    <w:p>
      <w:pPr>
        <w:pStyle w:val="BodyText"/>
      </w:pPr>
      <w:r>
        <w:t xml:space="preserve">Thứ hai,</w:t>
      </w:r>
      <w:r>
        <w:t xml:space="preserve"> </w:t>
      </w:r>
      <w:r>
        <w:rPr>
          <w:bCs/>
          <w:b/>
        </w:rPr>
        <w:t xml:space="preserve">vấn đề doanh nghiệp panel</w:t>
      </w:r>
      <w:r>
        <w:t xml:space="preserve"> </w:t>
      </w:r>
      <w:r>
        <w:t xml:space="preserve">(217 doanh nghiệp trong đợt khảo sát 2024 được phỏng vấn lại từ năm 2012) được giải quyết qua sai số chuẩn vững theo cụm trên định danh doanh nghiệp</w:t>
      </w:r>
      <w:r>
        <w:t xml:space="preserve"> </w:t>
      </w:r>
      <w:r>
        <w:rPr>
          <w:rStyle w:val="VerbatimChar"/>
        </w:rPr>
        <w:t xml:space="preserve">idstd</w:t>
      </w:r>
      <w:r>
        <w:t xml:space="preserve">. Độc lập với điều chỉnh SE, các đặc tả gộp được tái ước lượng loại trừ 217 doanh nghiệp panel, cho ra mẫu gộp hoàn toàn mặt cắt ngang với N = 4.358 (sample_base; 186 trong số 217 doanh nghiệp panel xuất hiện trong sample_base sau khi áp dụng bộ lọc biến trọng tâm). Ước lượng điểm ngoặt gộp dịch chuyển từ 48,78 % sang 46,88 %, thay đổi 1,9 điểm phần trăm nằm trong khoảng tin cậy 95 % theo phương pháp delta của ước lượng chính. Các kiểm định z Paternoster giữ nguyên hướng và mô thức ý nghĩa như trong mẫu gộp chính (xem Phần 4.7). Điều chỉnh cụm vững được xem là đặc tả ưa thích vì nó bảo toàn sức mạnh thống kê, nhưng kết luận định tính về tính ổn định ngưỡng vẫn đúng dưới cả hai cách xử lý.</w:t>
      </w:r>
    </w:p>
    <w:p>
      <w:pPr>
        <w:pStyle w:val="BodyText"/>
      </w:pPr>
      <w:r>
        <w:t xml:space="preserve">Thứ ba,</w:t>
      </w:r>
      <w:r>
        <w:t xml:space="preserve"> </w:t>
      </w:r>
      <w:r>
        <w:rPr>
          <w:bCs/>
          <w:b/>
        </w:rPr>
        <w:t xml:space="preserve">lựa chọn vào việc báo cáo các biến trọng tâm</w:t>
      </w:r>
      <w:r>
        <w:t xml:space="preserve">. Có điều kiện về doanh thu dương và lao động dương (tập trọng tâm), 2.619 trong 2.700 (97,0 %) doanh nghiệp năm 2012 và 1.940 trong 2.189 (88,6 %) doanh nghiệp năm 2024 báo cáo giá trị cường độ xuất khẩu trực tiếp (</w:t>
      </w:r>
      <w:r>
        <w:rPr>
          <w:rStyle w:val="VerbatimChar"/>
        </w:rPr>
        <w:t xml:space="preserve">d3c</w:t>
      </w:r>
      <w:r>
        <w:t xml:space="preserve">) không thiếu và vượt qua bộ lọc loại bỏ theo dòng trên tập biến kiểm soát. Tỉ lệ thiếu cao hơn trong năm 2024 phản ánh mã từ chối</w:t>
      </w:r>
      <w:r>
        <w:t xml:space="preserve"> </w:t>
      </w:r>
      <w:r>
        <w:rPr>
          <w:rStyle w:val="VerbatimChar"/>
        </w:rPr>
        <w:t xml:space="preserve">−8</w:t>
      </w:r>
      <w:r>
        <w:t xml:space="preserve"> </w:t>
      </w:r>
      <w:r>
        <w:t xml:space="preserve">riêng biệt của bảng câu hỏi BREADY 2024, được một số người trả lời dùng để bỏ qua các mục tài chính nhạy cảm. Việc lựa chọn vào mẫu phân tích được khảo sát thông qua mô hình Heckman hai bước (Heckman two-step), với vùng lấy mẫu (</w:t>
      </w:r>
      <w:r>
        <w:rPr>
          <w:rStyle w:val="VerbatimChar"/>
        </w:rPr>
        <w:t xml:space="preserve">a2</w:t>
      </w:r>
      <w:r>
        <w:t xml:space="preserve">) như giới hạn loại trừ trong bước probit đầu tiên. Hệ số tỉ số Mills nghịch đảo (inverse Mills ratio, IMR) trong giai đoạn thứ hai có ý nghĩa thống kê năm 2012 (z = −2,44, p = 0,015) và không thể phân biệt với 0 năm 2024 (z = −0,14, p = 0,89). Kết quả 2012 cho thấy đặc tả OLS trên đợt khảo sát 2012 có thể chịu lựa chọn nhẹ trên các biến không quan sát được. Do đó, M2 được tái ước lượng trên đợt khảo sát 2012 với IMR như biến kiểm soát trong kiểm định độ vững Phần 4.7. Các hệ số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nằm trong khoảng 0,10 so với các ước lượng OLS. Kết luận định tính về chữ U ngược (và tuyên bố ổn định ngưỡng chéo đợt khảo sát) được bảo toàn dưới điều chỉnh này, nhưng người đọc nên cân nhắc kết quả 2012 với lưu ý lựa chọn này.</w:t>
      </w:r>
    </w:p>
    <w:p>
      <w:pPr>
        <w:pStyle w:val="BodyText"/>
      </w:pPr>
      <w:r>
        <w:t xml:space="preserve">Ba chẩn đoán này, kết hợp với các trọng số lấy mẫu WBES và SE cụm vững trên</w:t>
      </w:r>
      <w:r>
        <w:t xml:space="preserve"> </w:t>
      </w:r>
      <w:r>
        <w:rPr>
          <w:rStyle w:val="VerbatimChar"/>
        </w:rPr>
        <w:t xml:space="preserve">idstd</w:t>
      </w:r>
      <w:r>
        <w:t xml:space="preserve">, hỗ trợ việc đọc các ước lượng OLS như các liên hệ được nhận dạng tốt trong các giả định thiết kế khảo sát, với lưu ý về lựa chọn năm 2012 vừa được nhắc đến. Tất nhiên, chúng không giải quyết nhận dạng nhân quả nội bộ doanh nghiệp, điều mà thiết kế mặt cắt ngang lặp lại không thể cung cấp.</w:t>
      </w:r>
    </w:p>
    <w:bookmarkEnd w:id="39"/>
    <w:bookmarkEnd w:id="40"/>
    <w:bookmarkStart w:id="58" w:name="Xc1528237297c4ce8999628372a6b48494fd6214"/>
    <w:p>
      <w:pPr>
        <w:pStyle w:val="Heading2"/>
      </w:pPr>
      <w:r>
        <w:t xml:space="preserve">4. Kết quả</w:t>
      </w:r>
    </w:p>
    <w:bookmarkStart w:id="41" w:name="Xc951dcce2c5c6672eadc5b901b983504017f146"/>
    <w:p>
      <w:pPr>
        <w:pStyle w:val="Heading3"/>
      </w:pPr>
      <w:r>
        <w:t xml:space="preserve">4.1 Thống kê mô tả</w:t>
      </w:r>
    </w:p>
    <w:p>
      <w:pPr>
        <w:pStyle w:val="FirstParagraph"/>
      </w:pPr>
      <w:r>
        <w:t xml:space="preserve">Bảng 1 báo cáo các thống kê mô tả cho mẫu phân tích chính (sample_base) theo đợt khảo sát. Đợt 2012 (N = 2.610) có năng suất lao động dạng log trung bình 12,52 (SD 1,19) và cường độ xuất khẩu trung bình 6,9 % (SD 20,4 %), với 15,4 % doanh nghiệp báo cáo cường độ xuất khẩu trực tiếp dương. Đợt 2024 (N = 1.934) cho thấy năng suất lao động dạng log trung bình 13,01 (SD 1,35), tức dịch chuyển mức tăng khoảng nửa điểm log, nhất quán với tăng trưởng năng suất chung giữa các đợt. Cường độ xuất khẩu trung bình năm 2024 là 5,2 % (SD 18,3 %), với 12,6 % doanh nghiệp báo cáo xuất khẩu trực tiếp dương. Quy mô doanh nghiệp trung bình (</w:t>
      </w:r>
      <m:oMath>
        <m:r>
          <m:rPr>
            <m:sty m:val="p"/>
          </m:rPr>
          <m:t>ln</m:t>
        </m:r>
        <m:d>
          <m:dPr>
            <m:begChr m:val="("/>
            <m:endChr m:val=")"/>
            <m:sepChr m:val=""/>
            <m:grow/>
          </m:dPr>
          <m:e>
            <m:r>
              <m:rPr>
                <m:sty m:val="p"/>
              </m:rPr>
              <m:t>E</m:t>
            </m:r>
            <m:r>
              <m:rPr>
                <m:sty m:val="p"/>
              </m:rPr>
              <m:t>m</m:t>
            </m:r>
            <m:r>
              <m:rPr>
                <m:sty m:val="p"/>
              </m:rPr>
              <m:t>p</m:t>
            </m:r>
          </m:e>
        </m:d>
      </m:oMath>
      <w:r>
        <w:t xml:space="preserve">) là 4,16 năm 2012 so với 3,60 năm 2024, phản ánh chuyển dịch trong mẫu WBES về phía các cơ sở nhỏ hơn. Tuổi doanh nghiệp trung bình tăng từ 12,6 lên 13,9 năm, phản ánh sự trưởng thành của nhóm doanh nghiệp tư nhân xuất khẩu Trung Quốc qua cửa sổ 12 năm. Tỉ lệ sở hữu nước ngoài khoảng 6 % trong cả hai đợt khảo sát.</w:t>
      </w:r>
    </w:p>
    <w:p>
      <w:pPr>
        <w:pStyle w:val="Block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dạng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cường độ xuất khẩu</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doanh nghiệp có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số nhân viên thường xuyên</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Tuổi doanh nghiệp (năm)</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Sở hữu nước ngoài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không thiếu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không thiếu (c22b sở hữu 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Có điều kiện trên FSTS &gt; 0, ln(LP) trung bình là 12,79 năm 2012 và 13,22 năm 2024.</w:t>
      </w:r>
    </w:p>
    <w:p>
      <w:pPr>
        <w:pStyle w:val="BodyText"/>
      </w:pPr>
      <w:r>
        <w:t xml:space="preserve">Tương quan trong cùng đợt khảo sát giữa</w:t>
      </w:r>
      <w:r>
        <w:t xml:space="preserve"> </w:t>
      </w:r>
      <m:oMath>
        <m:sSub>
          <m:e>
            <m:r>
              <m:rPr>
                <m:sty m:val="p"/>
              </m:rPr>
              <m:t>T</m:t>
            </m:r>
            <m:r>
              <m:rPr>
                <m:sty m:val="p"/>
              </m:rPr>
              <m:t>C</m:t>
            </m:r>
            <m:r>
              <m:rPr>
                <m:sty m:val="p"/>
              </m:rPr>
              <m:t>I</m:t>
            </m:r>
          </m:e>
          <m:sub>
            <m:r>
              <m:rPr>
                <m:nor/>
                <m:sty m:val="p"/>
              </m:rPr>
              <m:t>full</m:t>
            </m:r>
          </m:sub>
        </m:sSub>
      </m:oMath>
      <w:r>
        <w:t xml:space="preserve"> </w:t>
      </w:r>
      <w:r>
        <w:t xml:space="preserve">và</w:t>
      </w:r>
      <w:r>
        <w:t xml:space="preserve"> </w:t>
      </w:r>
      <m:oMath>
        <m:sSub>
          <m:e>
            <m:r>
              <m:rPr>
                <m:sty m:val="p"/>
              </m:rPr>
              <m:t>D</m:t>
            </m:r>
            <m:r>
              <m:rPr>
                <m:sty m:val="p"/>
              </m:rPr>
              <m:t>A</m:t>
            </m:r>
            <m:r>
              <m:rPr>
                <m:sty m:val="p"/>
              </m:rPr>
              <m:t>I</m:t>
            </m:r>
          </m:e>
          <m:sub>
            <m:r>
              <m:rPr>
                <m:nor/>
                <m:sty m:val="p"/>
              </m:rPr>
              <m:t>core</m:t>
            </m:r>
          </m:sub>
        </m:sSub>
      </m:oMath>
      <w:r>
        <w:t xml:space="preserve"> </w:t>
      </w:r>
      <w:r>
        <w:t xml:space="preserve">đã khử nhiễm là 0,27 năm 2012 và 0,42 năm 2024, thấp hơn đáng kể so với mức 0,58/0,51 bị phình to dưới đặc tả DAI hai mục trước đây vốn chia sẻ e6 với TCI. Tương quan dư phản ánh sự cùng biến thiên thực chất giữa năng lực công nghệ và hiện diện số Tầng 1 chứ không phải sự chồng lấp mục một cách máy móc. Mức tương quan này đủ nhỏ để cho phép nhận dạng độc lập trong các đặc tả liên hợp.</w:t>
      </w:r>
    </w:p>
    <w:p>
      <w:pPr>
        <w:pStyle w:val="BodyText"/>
      </w:pPr>
      <w:r>
        <w:rPr>
          <w:bCs/>
          <w:b/>
        </w:rPr>
        <w:t xml:space="preserve">Lưu ý phân tách tăng trưởng năng suất.</w:t>
      </w:r>
      <w:r>
        <w:t xml:space="preserve"> </w:t>
      </w:r>
      <w:r>
        <w:t xml:space="preserve">Dịch chuyển mức tăng 0,49 điểm log của</w:t>
      </w:r>
      <w:r>
        <w:t xml:space="preserve"> </w:t>
      </w:r>
      <m:oMath>
        <m:r>
          <m:rPr>
            <m:sty m:val="p"/>
          </m:rPr>
          <m:t>ln</m:t>
        </m:r>
        <m:d>
          <m:dPr>
            <m:begChr m:val="("/>
            <m:endChr m:val=")"/>
            <m:sepChr m:val=""/>
            <m:grow/>
          </m:dPr>
          <m:e>
            <m:r>
              <m:rPr>
                <m:sty m:val="p"/>
              </m:rPr>
              <m:t>L</m:t>
            </m:r>
            <m:r>
              <m:rPr>
                <m:sty m:val="p"/>
              </m:rPr>
              <m:t>P</m:t>
            </m:r>
          </m:e>
        </m:d>
      </m:oMath>
      <w:r>
        <w:t xml:space="preserve"> </w:t>
      </w:r>
      <w:r>
        <w:t xml:space="preserve">trung bình giữa năm 2012 (trung bình 12,52) và 2024 (trung bình 13,01), tương đương với năng suất cao hơn khoảng 64 % về mức (exp(0,49) ≈ 1,64), phản ánh cả lợi ích hiệu quả trong cùng ngành lẫn các dịch chuyển thành phần ngành trong khung mẫu WBES. Một phân tách Oaxaca-Blinder không chính thức sử dụng tỉ trọng ngành rộng ISIC (sản xuất, dịch vụ, bán lẻ, xây dựng) quy gán khoảng 70 % của dịch chuyển</w:t>
      </w:r>
      <w:r>
        <w:t xml:space="preserve"> </w:t>
      </w:r>
      <m:oMath>
        <m:r>
          <m:rPr>
            <m:sty m:val="p"/>
          </m:rPr>
          <m:t>ln</m:t>
        </m:r>
        <m:d>
          <m:dPr>
            <m:begChr m:val="("/>
            <m:endChr m:val=")"/>
            <m:sepChr m:val=""/>
            <m:grow/>
          </m:dPr>
          <m:e>
            <m:r>
              <m:rPr>
                <m:sty m:val="p"/>
              </m:rPr>
              <m:t>L</m:t>
            </m:r>
            <m:r>
              <m:rPr>
                <m:sty m:val="p"/>
              </m:rPr>
              <m:t>P</m:t>
            </m:r>
          </m:e>
        </m:d>
      </m:oMath>
      <w:r>
        <w:t xml:space="preserve"> </w:t>
      </w:r>
      <w:r>
        <w:t xml:space="preserve">tổng hợp cho tăng trưởng năng suất trong cùng ngành và khoảng 30 % cho thay đổi thành phần (tỉ trọng ngành dịch vụ lớn hơn trong mẫu WBES Trung Quốc 2024). Mẫu phụ chỉ ngành sản xuất (Phần 4.6) chứng thực điều này: năng suất lao động trung bình trong ngành sản xuất tăng từ khoảng 261 nghìn RMB/nhân viên năm 2012 lên khoảng 440 nghìn RMB/nhân viên năm 2024 (+68,3 %), cung cấp một chuẩn so sánh sạch hơn cho tăng trưởng hiệu quả trong cùng ngành mà không bị nhiễu bởi dịch chuyển thành phần sản xuất–dịch vụ. Việc tái ước lượng ngưỡng cấp ngành cho ra các ước lượng điểm ngoặt trong dải 44–52 % qua các ngành rộng ISIC, nhất quán với ước lượng gộp 48,8 % của phân tích chính.</w:t>
      </w:r>
    </w:p>
    <w:bookmarkEnd w:id="41"/>
    <w:bookmarkStart w:id="45" w:name="X2bc957d2d9bf6a40dee8f3a869c20d8033adbe6"/>
    <w:p>
      <w:pPr>
        <w:pStyle w:val="Heading3"/>
      </w:pPr>
      <w:r>
        <w:t xml:space="preserve">4.2 Mối quan hệ quốc tế hoá–hiệu quả: chữ U ngược được xác nhận (H1)</w:t>
      </w:r>
    </w:p>
    <w:p>
      <w:pPr>
        <w:pStyle w:val="FirstParagraph"/>
      </w:pPr>
      <w:r>
        <w:t xml:space="preserve">Qua cả hai đợt khảo sát và mẫu gộp, dữ liệu ủng hộ mối quan hệ hình chữ U ngược giữa cường độ xuất khẩu và năng suất lao động, hỗ trợ H1. Bảng 2 báo cáo các hệ số và sai số chuẩn của mô hình ngưỡng chính M2 theo đợt khảo sát. Hạng cường độ xuất khẩu tuyến tính là dương trong mỗi mẫu (β = +2,07, p &lt; 0,001 năm 2012; β = +1,50, p = 0,010 năm 2024; β = +1,78, p &lt; 0,001 gộp). Hạng cường độ xuất khẩu bậc hai là âm trong mỗi mẫu (β = −2,09, p &lt; 0,001 năm 2012; β = −1,59, p = 0,026 năm 2024; β = −1,83, p &lt; 0,001 gộp). Các kiểm định U Lind–Mehlum xác nhận chữ U ngược một cách chính thức trong các mẫu năm 2012 và mẫu gộp (cả hai p &lt; 0,001) và ở mức ý nghĩa thông thường trong mẫu năm 2024 (p = 0,037).</w:t>
      </w:r>
    </w:p>
    <w:p>
      <w:pPr>
        <w:pStyle w:val="BlockText"/>
      </w:pPr>
      <w:r>
        <w:rPr>
          <w:bCs/>
          <w:b/>
        </w:rPr>
        <w:t xml:space="preserve">Bảng 2.</w:t>
      </w:r>
      <w:r>
        <w:t xml:space="preserve"> </w:t>
      </w:r>
      <w:r>
        <w:t xml:space="preserve">Mô hình ngưỡng chính M2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Hệ số chặn</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Điểm ngoặt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(phương pháp delta)</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Kiểm định U Lind–Mehlum p</w:t>
            </w:r>
          </w:p>
        </w:tc>
        <w:tc>
          <w:tcPr/>
          <w:p>
            <w:pPr>
              <w:pStyle w:val="Compact"/>
              <w:jc w:val="left"/>
            </w:pPr>
            <w:r>
              <w:t xml:space="preserve">&lt; 0,001</w:t>
            </w:r>
          </w:p>
        </w:tc>
        <w:tc>
          <w:tcPr/>
          <w:p>
            <w:pPr>
              <w:pStyle w:val="Compact"/>
              <w:jc w:val="left"/>
            </w:pPr>
            <w:r>
              <w:t xml:space="preserve">0,037</w:t>
            </w:r>
          </w:p>
        </w:tc>
        <w:tc>
          <w:tcPr/>
          <w:p>
            <w:pPr>
              <w:pStyle w:val="Compact"/>
              <w:jc w:val="left"/>
            </w:pPr>
            <w:r>
              <w:t xml:space="preserve">&lt; 0,001</w:t>
            </w:r>
          </w:p>
        </w:tc>
      </w:tr>
    </w:tbl>
    <w:p>
      <w:pPr>
        <w:pStyle w:val="BodyText"/>
      </w:pPr>
      <w:r>
        <w:t xml:space="preserve">Sai số chuẩn trong ngoặc đơn. Đặc tả gộp được cụm trên idstd. *** p &lt; 0,01; ** p &lt; 0,05; * p &lt; 0,10.</w:t>
      </w:r>
    </w:p>
    <w:p>
      <w:pPr>
        <w:pStyle w:val="BodyText"/>
      </w:pPr>
      <w:r>
        <w:t xml:space="preserve">Điểm ngoặt ước lượng là 49,4 % tổng doanh thu năm 2012 (95 % CI theo phương pháp delta [43,2 %; 55,6 %]), 47,2 % năm 2024 (CI [34,5 %; 59,9 %]), và 48,8 % trong mẫu gộp (CI [42,7 %; 54,9 %]). Hình 2 hiển thị ba ước lượng điểm ngoặt với các khoảng tin cậy 95 %. Để đặt độ lớn vào ngữ cảnh thực tế: tại điểm ngoặt đặc thù đợt khảo sát, ln(LP) dự đoán cao hơn khoảng 0,51 điểm log (2012) và 0,35 điểm log (2024) so với mức cơ sở FSTS = 0. Mức này tương ứng 67 % và 42 % chênh lệch năng suất ở mức kiểm soát trung bình hình học. Ngược lại, tại FSTS = 1 (nhà xuất khẩu 100 % giả định), ln(LP) dự đoán xấp xỉ ngang bằng mức cơ sở FSTS = 0 trong cả hai đợt khảo sát, minh hoạ logic tối ưu có giới hạn ở trung tâm H1.</w:t>
      </w:r>
    </w:p>
    <w:p>
      <w:pPr>
        <w:pStyle w:val="BodyText"/>
      </w:pPr>
      <w:r>
        <w:drawing>
          <wp:inline>
            <wp:extent cx="5753100" cy="3010157"/>
            <wp:effectExtent b="0" l="0" r="0" t="0"/>
            <wp:docPr descr="Hình 2: Ước lượng điểm ngoặt với khoảng tin cậy 95 % theo đợt khảo sát (Trung Quốc 2012, 2024, gộp)"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Ngưỡng cường độ xuất khẩu tối ưu (điểm ngoặt của mối quan hệ hình chữ U ngược) cho các doanh nghiệp tư nhân Trung Quốc năm 2012, 2024, và mẫu gộp. Các điểm đánh dấu là ước lượng điểm từ ước lượng OLS–HC1 của</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các thanh dọc là khoảng tin cậy 95 % theo phương pháp delta.</w:t>
      </w:r>
    </w:p>
    <w:bookmarkEnd w:id="45"/>
    <w:bookmarkStart w:id="49" w:name="Xbf79168db7f05c3c3e9c8bc06ccb07e2c1734cc"/>
    <w:p>
      <w:pPr>
        <w:pStyle w:val="Heading3"/>
      </w:pPr>
      <w:r>
        <w:t xml:space="preserve">4.3 Kiểm định cơ chế cạnh tranh: H2b được hỗ trợ, tính bền vững cấu trúc được xác nhận</w:t>
      </w:r>
    </w:p>
    <w:p>
      <w:pPr>
        <w:pStyle w:val="FirstParagraph"/>
      </w:pPr>
      <w:r>
        <w:t xml:space="preserve">H2 dự đoán rằng hình dạng, độ dốc, hoặc vị trí của mối quan hệ hình chữ U ngược sẽ khác biệt giữa năm 2012 và 2024, được thúc đẩy bởi những thay đổi cấu trúc và chính sách đáng kể trong nền kinh tế Trung Quốc trong thập kỷ chen giữa (Phần 2.2). Để kiểm định dự đoán này, chúng tôi áp dụng hai kiểm định bổ trợ: kiểm định z Paternoster (1998) trên các hệ số riêng lẻ, và một kiểm định F liên hợp trên tập đầy đủ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trong đặc tả gộp.</w:t>
      </w:r>
    </w:p>
    <w:p>
      <w:pPr>
        <w:pStyle w:val="BodyText"/>
      </w:pPr>
      <w:r>
        <w:t xml:space="preserve">Các kiểm định z Paternoster (1998) cho tính bằng nhau chéo đợt khảo sát của các hệ số cường độ xuất khẩu tuyến tính và bậc hai</w:t>
      </w:r>
      <w:r>
        <w:t xml:space="preserve"> </w:t>
      </w:r>
      <w:r>
        <w:rPr>
          <w:bCs/>
          <w:b/>
        </w:rPr>
        <w:t xml:space="preserve">không bác bỏ tính bằng nhau</w:t>
      </w:r>
      <w:r>
        <w:t xml:space="preserve"> </w:t>
      </w:r>
      <w:r>
        <w:t xml:space="preserve">ở các ngưỡng thông thường. Đối với hạng FSTS tuyến tính, chênh lệch giữa các đợt khảo sát cho z = +0,82, p = 0,412. Đối với hạng</w:t>
      </w:r>
      <w:r>
        <w:t xml:space="preserve"> </w:t>
      </w:r>
      <m:oMath>
        <m:sSup>
          <m:e>
            <m:r>
              <m:rPr>
                <m:sty m:val="p"/>
              </m:rPr>
              <m:t>F</m:t>
            </m:r>
            <m:r>
              <m:rPr>
                <m:sty m:val="p"/>
              </m:rPr>
              <m:t>S</m:t>
            </m:r>
            <m:r>
              <m:rPr>
                <m:sty m:val="p"/>
              </m:rPr>
              <m:t>T</m:t>
            </m:r>
            <m:r>
              <m:rPr>
                <m:sty m:val="p"/>
              </m:rPr>
              <m:t>S</m:t>
            </m:r>
          </m:e>
          <m:sup>
            <m:r>
              <m:t>2</m:t>
            </m:r>
          </m:sup>
        </m:sSup>
      </m:oMath>
      <w:r>
        <w:t xml:space="preserve"> </w:t>
      </w:r>
      <w:r>
        <w:t xml:space="preserve">bậc hai, chênh lệch cho z = −0,61, p = 0,545. Kiểm định F liên hợp trên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trong đặc tả điều tiết ba chiều gộp cho F(2, 3.558) = 2,24, p = 0,107, cũng không bác bỏ tính bằng nhau ở các ngưỡng thông thường (Bảng 3).</w:t>
      </w:r>
    </w:p>
    <w:p>
      <w:pPr>
        <w:pStyle w:val="BodyText"/>
      </w:pPr>
      <w:r>
        <w:rPr>
          <w:bCs/>
          <w:b/>
        </w:rPr>
        <w:t xml:space="preserve">Dữ liệu hỗ trợ H2b (tính bền vững cấu trúc) so với H2a (dịch chuyển môi trường).</w:t>
      </w:r>
      <w:r>
        <w:t xml:space="preserve"> </w:t>
      </w:r>
      <w:r>
        <w:t xml:space="preserve">Bất chấp nhiều cơ chế có lý thúc đẩy H2a, tái cân bằng thương mại hậu 2008, leo thang thuế quan Mỹ–Trung, đứt gãy do COVID-19, và các thể chế tài trợ thương mại đang phát triển, dữ liệu không cho thấy dịch chuyển độ cong có thể phát hiện được. Kết hợp với sự chồng lấp chặt chẽ của các khoảng tin cậy điểm ngoặt trong Hình 2 và sự gần gũi của các ước lượng điểm trong bảng ngưỡng, bằng chứng cho thấy ngưỡng cường độ xuất khẩu cho các doanh nghiệp tư nhân Trung Quốc</w:t>
      </w:r>
      <w:r>
        <w:t xml:space="preserve"> </w:t>
      </w:r>
      <w:r>
        <w:rPr>
          <w:iCs/>
          <w:i/>
        </w:rPr>
        <w:t xml:space="preserve">ổn định về mặt cấu trúc</w:t>
      </w:r>
      <w:r>
        <w:t xml:space="preserve"> </w:t>
      </w:r>
      <w:r>
        <w:t xml:space="preserve">qua các đợt khảo sát 2012 và 2024. Điều này</w:t>
      </w:r>
      <w:r>
        <w:t xml:space="preserve"> </w:t>
      </w:r>
      <w:r>
        <w:rPr>
          <w:bCs/>
          <w:b/>
        </w:rPr>
        <w:t xml:space="preserve">xác nhận H2b</w:t>
      </w:r>
      <w:r>
        <w:t xml:space="preserve">: chữ U ngược phản ánh các ràng buộc sâu ở cấp doanh nghiệp tồn tại qua một thập kỷ thay đổi môi trường đáng kể. Hình 3 chồng các đường cong quốc tế hoá–hiệu quả được dự đoán cho hai đợt khảo sát, minh hoạ hình dạng gần song song với một dịch chuyển mức nhưng không có thay đổi độ cong.</w:t>
      </w:r>
    </w:p>
    <w:p>
      <w:pPr>
        <w:pStyle w:val="BodyText"/>
      </w:pPr>
      <w:r>
        <w:drawing>
          <wp:inline>
            <wp:extent cx="5753100" cy="3330862"/>
            <wp:effectExtent b="0" l="0" r="0" t="0"/>
            <wp:docPr descr="Hình 3: Đường cong dự đoán ln(năng suất lao động) theo đợt khảo sát (Trung Quốc,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dạng log dự đoán theo cường độ xuất khẩu cho các doanh nghiệp tư nhân Trung Quốc trong năm 2012 và 2024, giữ các biến kiểm soát ở mức trung bình trong cùng mẫu. Các dải bóng là khoảng tin cậy 95 %. Các đường nét chấm dọc đánh dấu các điểm ngoặt đặc thù đợt khảo sát (49,4 % năm 2012, 47,2 % năm 2024). Dải xanh ngang cho thấy một "vùng vận hành an toàn" theo định nghĩa quản trị từ 30 % đến 60 % cường độ xuất khẩu, trong đó</w:t>
      </w:r>
      <w:r>
        <w:t xml:space="preserve"> </w:t>
      </w:r>
      <m:oMath>
        <m:r>
          <m:rPr>
            <m:sty m:val="p"/>
          </m:rPr>
          <m:t>ln</m:t>
        </m:r>
        <m:d>
          <m:dPr>
            <m:begChr m:val="("/>
            <m:endChr m:val=")"/>
            <m:sepChr m:val=""/>
            <m:grow/>
          </m:dPr>
          <m:e>
            <m:r>
              <m:rPr>
                <m:sty m:val="p"/>
              </m:rPr>
              <m:t>L</m:t>
            </m:r>
            <m:r>
              <m:rPr>
                <m:sty m:val="p"/>
              </m:rPr>
              <m:t>P</m:t>
            </m:r>
          </m:e>
        </m:d>
      </m:oMath>
      <w:r>
        <w:t xml:space="preserve"> </w:t>
      </w:r>
      <w:r>
        <w:t xml:space="preserve">dự đoán vẫn gần đỉnh của nó trong cả hai đợt khảo sát. Hai đường cong gần song song về hình dạng nhưng được dịch chuyển mức lên trên trong năm 2024, nhất quán với tăng trưởng năng suất chung giữa các đợt khảo sát trong khi cấu trúc chữ U ngược được bảo toàn, tức là dịch chuyển được dự đoán bị bác bỏ; mô thức quan sát được là tính ổn định.</w:t>
      </w:r>
    </w:p>
    <w:bookmarkEnd w:id="49"/>
    <w:bookmarkStart w:id="53" w:name="Xc79e4e0f266001c2ab9eb914b4d16662f73fa50"/>
    <w:p>
      <w:pPr>
        <w:pStyle w:val="Heading3"/>
      </w:pPr>
      <w:r>
        <w:t xml:space="preserve">4.4 Các điều kiện năng lực: H4a, dịch chuyển mức bền vững, điều tiết độ cong yếu;</w:t>
      </w:r>
      <w:r>
        <w:t xml:space="preserve"> </w:t>
      </w:r>
      <m:oMath>
        <m:sSub>
          <m:e>
            <m:r>
              <m:rPr>
                <m:sty m:val="p"/>
              </m:rPr>
              <m:t>D</m:t>
            </m:r>
            <m:r>
              <m:rPr>
                <m:sty m:val="p"/>
              </m:rPr>
              <m:t>A</m:t>
            </m:r>
            <m:r>
              <m:rPr>
                <m:sty m:val="p"/>
              </m:rPr>
              <m:t>I</m:t>
            </m:r>
          </m:e>
          <m:sub>
            <m:r>
              <m:rPr>
                <m:nor/>
                <m:sty m:val="p"/>
              </m:rPr>
              <m:t>core</m:t>
            </m:r>
          </m:sub>
        </m:sSub>
      </m:oMath>
      <w:r>
        <w:t xml:space="preserve"> </w:t>
      </w:r>
      <w:r>
        <w:t xml:space="preserve">như biến kiểm soát cơ sở</w:t>
      </w:r>
    </w:p>
    <w:p>
      <w:pPr>
        <w:pStyle w:val="FirstParagraph"/>
      </w:pPr>
      <w:r>
        <w:t xml:space="preserve">Năng lực công nghệ có liên hệ thuận chiều và thực chất với hiệu quả hoạt động kinh doanh trong cả hai đợt khảo sát và mẫu gộp, hỗ trợ thành phần dịch chuyển mức của H4a. Hệ số TCI được chuẩn hoá theo z trong cùng đợt khảo sát: β_z = +0,260 năm 2012 (SE = 0,049, p &lt; 0,001), β_z = +0,426 năm 2024 (SE = 0,047, p &lt; 0,001), và β_z = +0,380 trong mẫu gộp (SE = 0,035, p &lt; 0,001). Do đó, mỗi mức tăng một độ lệch chuẩn của TCI liên hệ với mức thay đổi 26–43 % năng suất lao động ở mức cơ sở trung bình hình học. Kiểm định z Paternoster về thay đổi chéo đợt khảo sát của TCI cho z = −2,55, p = 0,011, cho thấy sự củng cố có thể phát hiện được về mặt thống kê của liên hệ TCI–năng suất giữa 2012 và 2024. Kết quả này nhất quán với logic năng lực hấp thụ: tích luỹ năng lực đã gia tăng thành cổ tức năng suất ngày càng tăng khi các nhà xuất khẩu Trung Quốc đối mặt với nhu cầu cạnh tranh quốc tế ngày càng cao. Áp dụng công nghệ số (</w:t>
      </w:r>
      <m:oMath>
        <m:sSub>
          <m:e>
            <m:r>
              <m:rPr>
                <m:sty m:val="p"/>
              </m:rPr>
              <m:t>D</m:t>
            </m:r>
            <m:r>
              <m:rPr>
                <m:sty m:val="p"/>
              </m:rPr>
              <m:t>A</m:t>
            </m:r>
            <m:r>
              <m:rPr>
                <m:sty m:val="p"/>
              </m:rPr>
              <m:t>I</m:t>
            </m:r>
          </m:e>
          <m:sub>
            <m:r>
              <m:rPr>
                <m:nor/>
                <m:sty m:val="p"/>
              </m:rPr>
              <m:t>core</m:t>
            </m:r>
          </m:sub>
        </m:sSub>
      </m:oMath>
      <w:r>
        <w:t xml:space="preserve">) cũng có liên hệ thuận chiều với năng suất, ở mức khiêm tốn (β_z = +0,05 đến +0,13, p ≤ 0,03), nhất quán với vai trò biến kiểm soát hiện diện số cơ sở.</w:t>
      </w:r>
    </w:p>
    <w:p>
      <w:pPr>
        <w:pStyle w:val="BodyText"/>
      </w:pPr>
      <w:r>
        <w:t xml:space="preserve">Thành phần điều tiết độ cong của H4a được kiểm định bằng cách thêm các tương tác TCI × FSTS và TCI ×</w:t>
      </w:r>
      <w:r>
        <w:t xml:space="preserve"> </w:t>
      </w:r>
      <m:oMath>
        <m:sSup>
          <m:e>
            <m:r>
              <m:rPr>
                <m:sty m:val="p"/>
              </m:rPr>
              <m:t>F</m:t>
            </m:r>
            <m:r>
              <m:rPr>
                <m:sty m:val="p"/>
              </m:rPr>
              <m:t>S</m:t>
            </m:r>
            <m:r>
              <m:rPr>
                <m:sty m:val="p"/>
              </m:rPr>
              <m:t>T</m:t>
            </m:r>
            <m:r>
              <m:rPr>
                <m:sty m:val="p"/>
              </m:rPr>
              <m:t>S</m:t>
            </m:r>
          </m:e>
          <m:sup>
            <m:r>
              <m:t>2</m:t>
            </m:r>
          </m:sup>
        </m:sSup>
      </m:oMath>
      <w:r>
        <w:t xml:space="preserve"> </w:t>
      </w:r>
      <w:r>
        <w:t xml:space="preserve">vào đặc tả điều tiết ba chiều gộp (Bảng 3). Kiểm định F liên hợp trên (TCI × FSTS, TCI ×</w:t>
      </w:r>
      <w:r>
        <w:t xml:space="preserve"> </w:t>
      </w:r>
      <m:oMath>
        <m:sSup>
          <m:e>
            <m:r>
              <m:rPr>
                <m:sty m:val="p"/>
              </m:rPr>
              <m:t>F</m:t>
            </m:r>
            <m:r>
              <m:rPr>
                <m:sty m:val="p"/>
              </m:rPr>
              <m:t>S</m:t>
            </m:r>
            <m:r>
              <m:rPr>
                <m:sty m:val="p"/>
              </m:rPr>
              <m:t>T</m:t>
            </m:r>
            <m:r>
              <m:rPr>
                <m:sty m:val="p"/>
              </m:rPr>
              <m:t>S</m:t>
            </m:r>
          </m:e>
          <m:sup>
            <m:r>
              <m:t>2</m:t>
            </m:r>
          </m:sup>
        </m:sSup>
      </m:oMath>
      <w:r>
        <w:t xml:space="preserve">) cho F(2, 3.558) = 3,26, p = 0,039, có ý nghĩa biên. Tuy nhiên, không hệ số tương tác riêng lẻ nào có thể phân biệt với 0 về mặt thống kê (TCI × FSTS β = −0,41, p = 0,443; TCI ×</w:t>
      </w:r>
      <w:r>
        <w:t xml:space="preserve"> </w:t>
      </w:r>
      <m:oMath>
        <m:sSup>
          <m:e>
            <m:r>
              <m:rPr>
                <m:sty m:val="p"/>
              </m:rPr>
              <m:t>F</m:t>
            </m:r>
            <m:r>
              <m:rPr>
                <m:sty m:val="p"/>
              </m:rPr>
              <m:t>S</m:t>
            </m:r>
            <m:r>
              <m:rPr>
                <m:sty m:val="p"/>
              </m:rPr>
              <m:t>T</m:t>
            </m:r>
            <m:r>
              <m:rPr>
                <m:sty m:val="p"/>
              </m:rPr>
              <m:t>S</m:t>
            </m:r>
          </m:e>
          <m:sup>
            <m:r>
              <m:t>2</m:t>
            </m:r>
          </m:sup>
        </m:sSup>
      </m:oMath>
      <w:r>
        <w:t xml:space="preserve"> </w:t>
      </w:r>
      <w:r>
        <w:t xml:space="preserve">β = +0,05, p = 0,934). Các kiểm định điều tiết theo từng đợt khảo sát (Phụ lục Trực tuyến C) cho thấy không hệ số tương tác TCI hoặc DAI riêng lẻ nào đạt p &lt; 0,05 trong bất kỳ đặc tả đặc thù đợt khảo sát nào. Các tương tác DAI × FSTS được kiểm định cho tính đầy đủ nhưng diễn giải một cách mô tả do vai trò kiểm soát của</w:t>
      </w:r>
      <w:r>
        <w:t xml:space="preserve"> </w:t>
      </w:r>
      <m:oMath>
        <m:sSub>
          <m:e>
            <m:r>
              <m:rPr>
                <m:sty m:val="p"/>
              </m:rPr>
              <m:t>D</m:t>
            </m:r>
            <m:r>
              <m:rPr>
                <m:sty m:val="p"/>
              </m:rPr>
              <m:t>A</m:t>
            </m:r>
            <m:r>
              <m:rPr>
                <m:sty m:val="p"/>
              </m:rPr>
              <m:t>I</m:t>
            </m:r>
          </m:e>
          <m:sub>
            <m:r>
              <m:rPr>
                <m:nor/>
                <m:sty m:val="p"/>
              </m:rPr>
              <m:t>core</m:t>
            </m:r>
          </m:sub>
        </m:sSub>
      </m:oMath>
      <w:r>
        <w:t xml:space="preserve">. Do đó, thành phần điều tiết độ cong của H4a được diễn giải là</w:t>
      </w:r>
      <w:r>
        <w:t xml:space="preserve"> </w:t>
      </w:r>
      <w:r>
        <w:rPr>
          <w:bCs/>
          <w:b/>
        </w:rPr>
        <w:t xml:space="preserve">không được hỗ trợ bền vững</w:t>
      </w:r>
      <w:r>
        <w:t xml:space="preserve">. Mặc dù kiểm định F liên hợp gợi ý một số điều tiết gộp, mô thức hệ số riêng lẻ và tính không ổn định theo từng đợt khảo sát cho thấy TCI hoạt động chủ yếu như</w:t>
      </w:r>
      <w:r>
        <w:t xml:space="preserve"> </w:t>
      </w:r>
      <w:r>
        <w:rPr>
          <w:bCs/>
          <w:b/>
        </w:rPr>
        <w:t xml:space="preserve">yếu tố dịch chuyển mức</w:t>
      </w:r>
      <w:r>
        <w:t xml:space="preserve"> </w:t>
      </w:r>
      <w:r>
        <w:t xml:space="preserve">thay vì yếu tố điều tiết độ cong.</w:t>
      </w:r>
    </w:p>
    <w:p>
      <w:pPr>
        <w:pStyle w:val="BodyText"/>
      </w:pPr>
      <w:r>
        <w:t xml:space="preserve">Giả thuyết điều tiết động, theo đó các dịch chuyển độ cong phụ thuộc năng lực tiến hoá theo thời gian, được kiểm định qua kiểm định F liên hợp ba chiều trên (FSTS ×</w:t>
      </w:r>
      <w:r>
        <w:t xml:space="preserve"> </w:t>
      </w:r>
      <m:oMath>
        <m:sSub>
          <m:e>
            <m:r>
              <m:t>D</m:t>
            </m:r>
          </m:e>
          <m:sub>
            <m:r>
              <m:t>2024</m:t>
            </m:r>
          </m:sub>
        </m:sSub>
      </m:oMath>
      <w:r>
        <w:t xml:space="preserve"> </w:t>
      </w:r>
      <w:r>
        <w:t xml:space="preserve">× TCI,</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TCI). Kết quả F(2, 3.558) = 0,27, p = 0,760, cung cấp</w:t>
      </w:r>
      <w:r>
        <w:t xml:space="preserve"> </w:t>
      </w:r>
      <w:r>
        <w:rPr>
          <w:bCs/>
          <w:b/>
        </w:rPr>
        <w:t xml:space="preserve">không hỗ trợ</w:t>
      </w:r>
      <w:r>
        <w:t xml:space="preserve"> </w:t>
      </w:r>
      <w:r>
        <w:t xml:space="preserve">cho điều tiết động phụ thuộc năng lực.</w:t>
      </w:r>
    </w:p>
    <w:p>
      <w:pPr>
        <w:pStyle w:val="BlockText"/>
      </w:pPr>
      <w:r>
        <w:rPr>
          <w:bCs/>
          <w:b/>
        </w:rPr>
        <w:t xml:space="preserve">Bảng 3.</w:t>
      </w:r>
      <w:r>
        <w:t xml:space="preserve"> </w:t>
      </w:r>
      <w:r>
        <w:t xml:space="preserve">Đặc tả điều tiết ba chiều: ước lượng gộp và các kiểm định F liên hợp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giá trị p</w:t>
            </w:r>
          </w:p>
        </w:tc>
        <w:tc>
          <w:tcPr/>
          <w:p>
            <w:pPr>
              <w:pStyle w:val="Compact"/>
              <w:jc w:val="left"/>
            </w:pPr>
            <w:r>
              <w:t xml:space="preserve">Mức 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0,439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0,766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0,443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0,934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0,675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0,817</w:t>
            </w:r>
          </w:p>
        </w:tc>
        <w:tc>
          <w:tcPr/>
          <w:p>
            <w:pPr>
              <w:pStyle w:val="Compact"/>
            </w:pPr>
          </w:p>
        </w:tc>
      </w:tr>
      <w:tr>
        <w:tc>
          <w:tcPr/>
          <w:p>
            <w:pPr>
              <w:pStyle w:val="Compact"/>
              <w:jc w:val="left"/>
            </w:pPr>
            <w:r>
              <w:rPr>
                <w:bCs/>
                <w:b/>
              </w:rPr>
              <w:t xml:space="preserve">Các kiểm định F liên hợp</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0,107</w:t>
            </w:r>
          </w:p>
        </w:tc>
        <w:tc>
          <w:tcPr/>
          <w:p>
            <w:pPr>
              <w:pStyle w:val="Compact"/>
              <w:jc w:val="left"/>
            </w:pPr>
            <w:r>
              <w:t xml:space="preserve">KHÔNG bác bỏ</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0,039</w:t>
            </w:r>
          </w:p>
        </w:tc>
        <w:tc>
          <w:tcPr/>
          <w:p>
            <w:pPr>
              <w:pStyle w:val="Compact"/>
              <w:jc w:val="left"/>
            </w:pPr>
            <w:r>
              <w:t xml:space="preserve">biên</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0,760</w:t>
            </w:r>
          </w:p>
        </w:tc>
        <w:tc>
          <w:tcPr/>
          <w:p>
            <w:pPr>
              <w:pStyle w:val="Compact"/>
              <w:jc w:val="left"/>
            </w:pPr>
            <w:r>
              <w:t xml:space="preserve">KHÔNG bác bỏ</w:t>
            </w:r>
          </w:p>
        </w:tc>
      </w:tr>
    </w:tbl>
    <w:p>
      <w:pPr>
        <w:pStyle w:val="BodyText"/>
      </w:pPr>
      <w:r>
        <w:t xml:space="preserve">N = 3.559 (sample_full). SE cụm vững trên idstd. Các biến kiểm soát (</w:t>
      </w:r>
      <m:oMath>
        <m:r>
          <m:rPr>
            <m:sty m:val="p"/>
          </m:rPr>
          <m:t>ln</m:t>
        </m:r>
        <m:d>
          <m:dPr>
            <m:begChr m:val="("/>
            <m:endChr m:val=")"/>
            <m:sepChr m:val=""/>
            <m:grow/>
          </m:dPr>
          <m:e>
            <m:r>
              <m:rPr>
                <m:sty m:val="p"/>
              </m:rPr>
              <m:t>E</m:t>
            </m:r>
            <m:r>
              <m:rPr>
                <m:sty m:val="p"/>
              </m:rPr>
              <m:t>m</m:t>
            </m:r>
            <m:r>
              <m:rPr>
                <m:sty m:val="p"/>
              </m:rPr>
              <m:t>p</m:t>
            </m:r>
          </m:e>
        </m:d>
      </m:oMath>
      <w:r>
        <w:t xml:space="preserve">, firmage, foreigndummy) được đưa vào.</w:t>
      </w:r>
      <w:r>
        <w:t xml:space="preserve"> </w:t>
      </w:r>
      <w:r>
        <w:t xml:space="preserve">F1 tương ứng với H2a so với H2b (dịch chuyển chéo đợt khảo sát so với tính bền vững cấu trúc); F2 với điều tiết độ cong mặt cắt ngang H4a; F3 với điều tiết động phụ thuộc năng lực.</w:t>
      </w:r>
    </w:p>
    <w:p>
      <w:pPr>
        <w:pStyle w:val="BodyText"/>
      </w:pPr>
      <w:r>
        <w:drawing>
          <wp:inline>
            <wp:extent cx="5753100" cy="2591800"/>
            <wp:effectExtent b="0" l="0" r="0" t="0"/>
            <wp:docPr descr="Hình 4: Hệ số tác động trực tiếp TCI và DAI theo đợt khảo sát (Trung Quốc, OLS được chuẩn hoá)"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trực tiếp của năng lực công nghệ (</w:t>
      </w:r>
      <m:oMath>
        <m:sSub>
          <m:e>
            <m:r>
              <m:rPr>
                <m:sty m:val="p"/>
              </m:rPr>
              <m:t>T</m:t>
            </m:r>
            <m:r>
              <m:rPr>
                <m:sty m:val="p"/>
              </m:rPr>
              <m:t>C</m:t>
            </m:r>
            <m:r>
              <m:rPr>
                <m:sty m:val="p"/>
              </m:rPr>
              <m:t>I</m:t>
            </m:r>
          </m:e>
          <m:sub>
            <m:r>
              <m:rPr>
                <m:nor/>
                <m:sty m:val="p"/>
              </m:rPr>
              <m:t>full</m:t>
            </m:r>
          </m:sub>
        </m:sSub>
      </m:oMath>
      <w:r>
        <w:t xml:space="preserve">) và áp dụng công nghệ số (</w:t>
      </w:r>
      <m:oMath>
        <m:sSub>
          <m:e>
            <m:r>
              <m:rPr>
                <m:sty m:val="p"/>
              </m:rPr>
              <m:t>D</m:t>
            </m:r>
            <m:r>
              <m:rPr>
                <m:sty m:val="p"/>
              </m:rPr>
              <m:t>A</m:t>
            </m:r>
            <m:r>
              <m:rPr>
                <m:sty m:val="p"/>
              </m:rPr>
              <m:t>I</m:t>
            </m:r>
          </m:e>
          <m:sub>
            <m:r>
              <m:rPr>
                <m:nor/>
                <m:sty m:val="p"/>
              </m:rPr>
              <m:t>core</m:t>
            </m:r>
          </m:sub>
        </m:sSub>
      </m:oMath>
      <w:r>
        <w:t xml:space="preserve">) theo đợt khảo sát cho các doanh nghiệp tư nhân Trung Quốc. Các thanh là hệ số được chuẩn hoá theo z trong cùng đợt khảo sát từ đặc tả OLS–HC1 với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tuổi doanh nghiệp, biến giả sở hữu nước ngoài, và (trong mẫu gộp) một biến giả đợt khảo sát làm các hiệp biến. Thanh sai số là khoảng tin cậy 95 %.</w:t>
      </w:r>
    </w:p>
    <w:bookmarkEnd w:id="53"/>
    <w:bookmarkStart w:id="54" w:name="Xa9970c47d8d51ed85675bd68db561da94ecdbf4"/>
    <w:p>
      <w:pPr>
        <w:pStyle w:val="Heading3"/>
      </w:pPr>
      <w:r>
        <w:t xml:space="preserve">4.5 Các phân tích bổ sung: khảo sát cơ chế vốn lưu động</w:t>
      </w:r>
    </w:p>
    <w:p>
      <w:pPr>
        <w:pStyle w:val="FirstParagraph"/>
      </w:pPr>
      <w:r>
        <w:t xml:space="preserve">Sau khi đã thiết lập tính ổn định của ngưỡng cường độ xuất khẩu chữ U ngược và vai trò dịch chuyển mức nhất quán của năng lực công nghệ, phân tích chuyển sang xem xét liệu các điều kiện vốn lưu động ở cấp doanh nghiệp có giúp giải thích biến thiên về độ dốc của suy giảm sau ngưỡng (H3) hay không. Các kiểm định vốn lưu động bổ sung không cho ra sự hỗ trợ đủ vững qua các định nghĩa biến đại diện và các mô hình đặc thù đợt khảo sát. Một số hệ số di chuyển theo các hướng có lý về mặt lý thuyết, nhưng mô thức không đủ ổn định để hỗ trợ một tuyên bố mạnh rằng suy giảm sau ngưỡng đã được nhận dạng trực tiếp như cơ chế vốn lưu động trong dữ liệu hiện tại.</w:t>
      </w:r>
    </w:p>
    <w:p>
      <w:pPr>
        <w:pStyle w:val="BodyText"/>
      </w:pPr>
      <w:r>
        <w:t xml:space="preserve">Trong Khối A (Tiếp cận Thanh khoản), tương tác thấu chi ×</w:t>
      </w:r>
      <w:r>
        <w:t xml:space="preserve"> </w:t>
      </w:r>
      <m:oMath>
        <m:sSup>
          <m:e>
            <m:r>
              <m:rPr>
                <m:sty m:val="p"/>
              </m:rPr>
              <m:t>F</m:t>
            </m:r>
            <m:r>
              <m:rPr>
                <m:sty m:val="p"/>
              </m:rPr>
              <m:t>S</m:t>
            </m:r>
            <m:r>
              <m:rPr>
                <m:sty m:val="p"/>
              </m:rPr>
              <m:t>T</m:t>
            </m:r>
            <m:r>
              <m:rPr>
                <m:sty m:val="p"/>
              </m:rPr>
              <m:t>S</m:t>
            </m:r>
          </m:e>
          <m:sup>
            <m:r>
              <m:t>2</m:t>
            </m:r>
          </m:sup>
        </m:sSup>
      </m:oMath>
      <w:r>
        <w:t xml:space="preserve"> </w:t>
      </w:r>
      <w:r>
        <w:t xml:space="preserve">dương biên trong năm 2012 (β = +0,27, p = 0,050) nhưng âm biên trong năm 2024 (β = −0,38, p = 0,081). Trong Khối C (Cấu trúc Tài trợ), tương tác tín dụng thương mại ×</w:t>
      </w:r>
      <w:r>
        <w:t xml:space="preserve"> </w:t>
      </w:r>
      <m:oMath>
        <m:sSup>
          <m:e>
            <m:r>
              <m:rPr>
                <m:sty m:val="p"/>
              </m:rPr>
              <m:t>F</m:t>
            </m:r>
            <m:r>
              <m:rPr>
                <m:sty m:val="p"/>
              </m:rPr>
              <m:t>S</m:t>
            </m:r>
            <m:r>
              <m:rPr>
                <m:sty m:val="p"/>
              </m:rPr>
              <m:t>T</m:t>
            </m:r>
            <m:r>
              <m:rPr>
                <m:sty m:val="p"/>
              </m:rPr>
              <m:t>S</m:t>
            </m:r>
          </m:e>
          <m:sup>
            <m:r>
              <m:t>2</m:t>
            </m:r>
          </m:sup>
        </m:sSup>
      </m:oMath>
      <w:r>
        <w:t xml:space="preserve"> </w:t>
      </w:r>
      <w:r>
        <w:t xml:space="preserve">âm có ý nghĩa thống kê trong năm 2012 (β = −0,017, p = 0,009) nhưng null trong năm 2024 (p = 0,660). Trong Khối D (Trở ngại Tiếp cận Tài chính), tương tác trở ngại ×</w:t>
      </w:r>
      <w:r>
        <w:t xml:space="preserve"> </w:t>
      </w:r>
      <m:oMath>
        <m:sSup>
          <m:e>
            <m:r>
              <m:rPr>
                <m:sty m:val="p"/>
              </m:rPr>
              <m:t>F</m:t>
            </m:r>
            <m:r>
              <m:rPr>
                <m:sty m:val="p"/>
              </m:rPr>
              <m:t>S</m:t>
            </m:r>
            <m:r>
              <m:rPr>
                <m:sty m:val="p"/>
              </m:rPr>
              <m:t>T</m:t>
            </m:r>
            <m:r>
              <m:rPr>
                <m:sty m:val="p"/>
              </m:rPr>
              <m:t>S</m:t>
            </m:r>
          </m:e>
          <m:sup>
            <m:r>
              <m:t>2</m:t>
            </m:r>
          </m:sup>
        </m:sSup>
      </m:oMath>
      <w:r>
        <w:t xml:space="preserve"> </w:t>
      </w:r>
      <w:r>
        <w:t xml:space="preserve">lớn và dương một cách bất ngờ trong năm 2024 (β = +1,64, p = 0,001) nhưng null trong năm 2012, đọc điều này như một bất thường ô nhỏ thay vì bằng chứng về cơ chế. Mở rộng phơi nhiễm khoản phải thu Khối B chỉ năm 2012 cho ra các tương tác null cho cả k1c và k2c. Qua tất cả các khối, cơ chế vốn lưu động</w:t>
      </w:r>
      <w:r>
        <w:t xml:space="preserve"> </w:t>
      </w:r>
      <w:r>
        <w:rPr>
          <w:bCs/>
          <w:b/>
        </w:rPr>
        <w:t xml:space="preserve">không được nhận dạng như một yếu tố điều tiết bền vững chéo đợt khảo sát</w:t>
      </w:r>
      <w:r>
        <w:t xml:space="preserve">, nhất quán với mô thức rộng hơn rằng không có lực điều tiết độ cong nào hoạt động đáng tin cậy qua cửa sổ 2012–2024.</w:t>
      </w:r>
    </w:p>
    <w:p>
      <w:pPr>
        <w:pStyle w:val="BodyText"/>
      </w:pPr>
      <w:r>
        <w:t xml:space="preserve">Các phân tích bổ sung này, cùng với kiểm định H2a so với H2b và kết quả điều tiết H4a, hội tụ về một diễn giải thực chất duy nhất:</w:t>
      </w:r>
      <w:r>
        <w:t xml:space="preserve"> </w:t>
      </w:r>
      <w:r>
        <w:rPr>
          <w:bCs/>
          <w:b/>
        </w:rPr>
        <w:t xml:space="preserve">đánh đổi quốc tế hoá–hiệu quả tại Trung Quốc là bền vững về mặt cấu trúc, không phụ thuộc năng lực hay đặc thù theo đợt khảo sát</w:t>
      </w:r>
      <w:r>
        <w:t xml:space="preserve">. H2b (tính bền vững cấu trúc) được khẳng định so với H2a. Các tương tác vốn lưu động và độ cong năng lực cho ra bằng chứng null hoặc không ổn định. Chỉ có chính hình chữ U ngược (H1) và vai trò dịch chuyển mức trực tiếp của năng lực công nghệ nổi lên như các mô thức bền vững.</w:t>
      </w:r>
    </w:p>
    <w:bookmarkEnd w:id="54"/>
    <w:bookmarkStart w:id="55" w:name="Xffda6bcceafef37108258ef4cbf22c262ad510a"/>
    <w:p>
      <w:pPr>
        <w:pStyle w:val="Heading3"/>
      </w:pPr>
      <w:r>
        <w:t xml:space="preserve">4.5.1 Bằng chứng hội tụ từ các kiểm định điều tiết null</w:t>
      </w:r>
    </w:p>
    <w:p>
      <w:pPr>
        <w:pStyle w:val="FirstParagraph"/>
      </w:pPr>
      <w:r>
        <w:t xml:space="preserve">Ba kiểm định điều tiết độc lập hội tụ về cùng một kết luận thực chất: độ cong chữ U ngược được cố định về mặt cấu trúc và không phụ thuộc một cách có ý nghĩa vào các đặc điểm số, giới tính, hoặc nhiệm kỳ quản trị của doanh nghiệp. Kết quả này nhất quán với (nhưng không xác nhận) cơ chế bẫy vốn lưu động (Manova, 2013; Foley &amp; Manova, 2015) như một giải thích ứng viên nhất quán về mặt lý thuyết nhưng không kết luận về mặt thực nghiệm. Sự đảo dấu của tương tác thấu chi ×</w:t>
      </w:r>
      <w:r>
        <w:t xml:space="preserve"> </w:t>
      </w:r>
      <m:oMath>
        <m:sSup>
          <m:e>
            <m:r>
              <m:rPr>
                <m:sty m:val="p"/>
              </m:rPr>
              <m:t>F</m:t>
            </m:r>
            <m:r>
              <m:rPr>
                <m:sty m:val="p"/>
              </m:rPr>
              <m:t>S</m:t>
            </m:r>
            <m:r>
              <m:rPr>
                <m:sty m:val="p"/>
              </m:rPr>
              <m:t>T</m:t>
            </m:r>
            <m:r>
              <m:rPr>
                <m:sty m:val="p"/>
              </m:rPr>
              <m:t>S</m:t>
            </m:r>
          </m:e>
          <m:sup>
            <m:r>
              <m:t>2</m:t>
            </m:r>
          </m:sup>
        </m:sSup>
      </m:oMath>
      <w:r>
        <w:t xml:space="preserve"> </w:t>
      </w:r>
      <w:r>
        <w:t xml:space="preserve">giữa các đợt khảo sát (Khối A: β = +0,27 năm 2012, β = −0,38 năm 2024) và tương tác tín dụng thương mại null trong năm 2024 (Khối C: p = 0,660) ngăn cản kênh này được nhận dạng như nguồn chính của suy giảm sau ngưỡng trong dữ liệu hiện tại. Việc nhận dạng trực tiếp cơ chế vốn lưu động đòi hỏi dữ liệu vi mô tài chính (chẳng hạn thời gian chu kỳ chuyển đổi tiền mặt, số ngày khoản phải thu chưa thanh toán, và định giá tài trợ thương mại), hiện không có sẵn trong công cụ WBES Trung Quốc.</w:t>
      </w:r>
    </w:p>
    <w:p>
      <w:pPr>
        <w:pStyle w:val="BodyText"/>
      </w:pPr>
      <w:r>
        <w:rPr>
          <w:bCs/>
          <w:b/>
        </w:rPr>
        <w:t xml:space="preserve">Áp dụng công nghệ số (</w:t>
      </w:r>
      <m:oMath>
        <m:sSub>
          <m:e>
            <m:r>
              <m:rPr>
                <m:sty m:val="p"/>
              </m:rPr>
              <m:t>D</m:t>
            </m:r>
            <m:r>
              <m:rPr>
                <m:sty m:val="p"/>
              </m:rPr>
              <m:t>A</m:t>
            </m:r>
            <m:r>
              <m:rPr>
                <m:sty m:val="p"/>
              </m:rPr>
              <m:t>I</m:t>
            </m:r>
          </m:e>
          <m:sub>
            <m:r>
              <m:rPr>
                <m:nor/>
                <m:sty m:val="p"/>
              </m:rPr>
              <m:t>core</m:t>
            </m:r>
          </m:sub>
        </m:sSub>
      </m:oMath>
      <w:r>
        <w:rPr>
          <w:bCs/>
          <w:b/>
        </w:rPr>
        <w:t xml:space="preserve">) như yếu tố dịch chuyển mức, không phải yếu tố thay đổi độ dốc.</w:t>
      </w:r>
      <w:r>
        <w:t xml:space="preserve"> </w:t>
      </w:r>
      <m:oMath>
        <m:sSub>
          <m:e>
            <m:r>
              <m:rPr>
                <m:sty m:val="p"/>
              </m:rPr>
              <m:t>D</m:t>
            </m:r>
            <m:r>
              <m:rPr>
                <m:sty m:val="p"/>
              </m:rPr>
              <m:t>A</m:t>
            </m:r>
            <m:r>
              <m:rPr>
                <m:sty m:val="p"/>
              </m:rPr>
              <m:t>I</m:t>
            </m:r>
          </m:e>
          <m:sub>
            <m:r>
              <m:rPr>
                <m:nor/>
                <m:sty m:val="p"/>
              </m:rPr>
              <m:t>core</m:t>
            </m:r>
          </m:sub>
        </m:sSub>
      </m:oMath>
      <w:r>
        <w:t xml:space="preserve"> </w:t>
      </w:r>
      <w:r>
        <w:t xml:space="preserve">(hiện diện website Tầng 1) có liên hệ thuận chiều với năng suất như hạng dịch chuyển mức trực tiếp (β_z = +0,05 đến +0,13, p ≤ 0,03 qua các đợt khảo sát và mẫu gộp). Tuy nhiên, các kiểm định điều tiết độ cong DAI × FSTS cho kết quả null trong tất cả đặc tả, nhất quán với việc hiện diện số hoạt động như yếu tố nâng sàn năng suất thay vì yếu tố dịch chuyển ngưỡng. Phát hiện này được xác nhận về mặt định hướng trong phân tích SME sản xuất đồng hành (Author Citation, 2026, JFAR), nơi kiểm định F độ cong DDC × FSTS cho p = 0,89. Kết quả này củng cố cách diễn giải dịch chuyển mức qua các khung mẫu khác nhau và các định nghĩa hoạt động khác nhau về áp dụng công nghệ số.</w:t>
      </w:r>
    </w:p>
    <w:p>
      <w:pPr>
        <w:pStyle w:val="BodyText"/>
      </w:pPr>
      <w:r>
        <w:t xml:space="preserve">Sự nhất quán null về điều tiết độ dốc của DAI qua P5 và JFAR (bất chấp các khung mẫu khác nhau và các cách vận hành hoá DAI khác nhau) củng cố điểm về độ nhạy đo lường ở Phần 3.2.</w:t>
      </w:r>
      <w:r>
        <w:t xml:space="preserve"> </w:t>
      </w:r>
      <m:oMath>
        <m:sSub>
          <m:e>
            <m:r>
              <m:rPr>
                <m:sty m:val="p"/>
              </m:rPr>
              <m:t>D</m:t>
            </m:r>
            <m:r>
              <m:rPr>
                <m:sty m:val="p"/>
              </m:rPr>
              <m:t>A</m:t>
            </m:r>
            <m:r>
              <m:rPr>
                <m:sty m:val="p"/>
              </m:rPr>
              <m:t>I</m:t>
            </m:r>
          </m:e>
          <m:sub>
            <m:r>
              <m:rPr>
                <m:nor/>
                <m:sty m:val="p"/>
              </m:rPr>
              <m:t>core</m:t>
            </m:r>
          </m:sub>
        </m:sSub>
      </m:oMath>
      <w:r>
        <w:t xml:space="preserve"> </w:t>
      </w:r>
      <w:r>
        <w:t xml:space="preserve">của bài báo hiện tại rút gọn về mục hiện diện website nhị phân đơn lẻ (c22b), hoạt động như yếu tố vệ sinh tổ chức tại Trung Quốc năm 2024. Cấu trúc đồng hành JFAR cũng tương tự thô về năng lực phân biệt cho đợt khảo sát sản xuất 2012. Cả hai phân tích hội tụ về cùng cách diễn giải: trong bối cảnh doanh nghiệp tư nhân Trung Quốc, hiện diện số Tầng 1 nâng cao mức cơ sở năng suất một cách đồng đều nhưng không sửa đổi ràng buộc cấu trúc ở phần đuôi trên của cường độ xuất khẩu. Các chỉ báo Tầng 2 phong phú hơn (áp dụng nền tảng thương mại điện tử, tích hợp ERP) sẽ được yêu cầu để kiểm định liệu năng lực số bậc cao hơn có điều tiết độ cong của đánh đổi I–P. Đây là câu hỏi mà công cụ WBES Trung Quốc sẵn có không thể hỗ trợ qua các đợt khảo sát.</w:t>
      </w:r>
    </w:p>
    <w:p>
      <w:pPr>
        <w:pStyle w:val="BodyText"/>
      </w:pPr>
      <w:r>
        <w:rPr>
          <w:bCs/>
          <w:b/>
        </w:rPr>
        <w:t xml:space="preserve">Bình đẳng giới về độ cong I–P.</w:t>
      </w:r>
      <w:r>
        <w:t xml:space="preserve"> </w:t>
      </w:r>
      <w:r>
        <w:t xml:space="preserve">Bằng chứng đồng hành từ phân tích chỉ ngành sản xuất (Author Citation, 2026, JFAR) cho thấy sự hiện diện của quản lý nữ không điều tiết độ cong I–P (quản lý nữ × FSTS β = 0,003, p = 0,892). Phát hiện này cho thấy ngưỡng chữ U ngược bất biến về mặt cấu trúc với thành phần giới tính của lãnh đạo doanh nghiệp. Kết quả null này là phát hiện tích cực mang thông tin: nó loại trừ các ưu tiên rủi ro quản trị và phong cách phối hợp liên kết với giới tính như các giải thích cho vị trí ngưỡng.</w:t>
      </w:r>
    </w:p>
    <w:p>
      <w:pPr>
        <w:pStyle w:val="BodyText"/>
      </w:pPr>
      <w:r>
        <w:rPr>
          <w:bCs/>
          <w:b/>
        </w:rPr>
        <w:t xml:space="preserve">Kinh nghiệm quản lý như yếu tố dịch chuyển mức.</w:t>
      </w:r>
      <w:r>
        <w:t xml:space="preserve"> </w:t>
      </w:r>
      <w:r>
        <w:t xml:space="preserve">Kinh nghiệm quản lý có liên hệ thuận chiều với năng suất như một hạng trực tiếp (β = 0,015, p = 0,005 trong phân tích đồng hành), nhưng không điều tiết độ cong của mối quan hệ I–P, một lần nữa nhất quán với cách diễn giải dịch chuyển mức thay vì thay đổi độ dốc. Các nhà quản lý có kinh nghiệm nâng cao năng suất tổng thể của doanh nghiệp nhưng không làm thay đổi ràng buộc cấu trúc giới hạn lợi nhuận năng suất của cường độ xuất khẩu cao.</w:t>
      </w:r>
    </w:p>
    <w:p>
      <w:pPr>
        <w:pStyle w:val="BodyText"/>
      </w:pPr>
      <w:r>
        <w:t xml:space="preserve">Tổng hợp lại, ba phát hiện điều tiết null này tam giác hoá về cùng cách diễn giải:</w:t>
      </w:r>
      <w:r>
        <w:t xml:space="preserve"> </w:t>
      </w:r>
      <w:r>
        <w:rPr>
          <w:bCs/>
          <w:b/>
        </w:rPr>
        <w:t xml:space="preserve">suy giảm sau ngưỡng phản ánh các ràng buộc cấu trúc sâu trong năng lực phối hợp và thanh khoản tài chính, không phải vốn con người hay năng lực số của các doanh nghiệp cụ thể</w:t>
      </w:r>
      <w:r>
        <w:t xml:space="preserve">. Cơ chế nhất quán nhất về mặt lý thuyết vẫn là bẫy vốn lưu động, trong đó khoảng cách chuyển đổi tiền mặt mở rộng khi cường độ xuất khẩu vượt quá khả năng hấp thụ vận hành của doanh nghiệp (Manova, 2013; Niepmann &amp; Schmidt-Eisenlohr, 2017). Việc nhận dạng trực tiếp kênh này đợi dữ liệu vi mô tài chính phong phú hơn (chu kỳ chuyển đổi tiền mặt, số ngày khoản phải thu chưa thanh toán, định giá tài trợ thương mại), hiện không có sẵn trong công cụ WBES Trung Quốc.</w:t>
      </w:r>
    </w:p>
    <w:bookmarkEnd w:id="55"/>
    <w:bookmarkStart w:id="56" w:name="X3a6a1a12c286f7b8aaf2d95da15f52c2ce0d5e4"/>
    <w:p>
      <w:pPr>
        <w:pStyle w:val="Heading3"/>
      </w:pPr>
      <w:r>
        <w:t xml:space="preserve">4.6 Độ vững, mẫu phụ chỉ ngành sản xuất</w:t>
      </w:r>
    </w:p>
    <w:p>
      <w:pPr>
        <w:pStyle w:val="FirstParagraph"/>
      </w:pPr>
      <w:r>
        <w:t xml:space="preserve">Để giải quyết các quan ngại tiềm tàng rằng khung doanh nghiệp tư nhân WBES đầy đủ trộn lẫn ngành sản xuất với dịch vụ, bán lẻ, công nghệ thông tin, và xây dựng, chúng tôi tái ước lượng mô hình ngưỡng chính M2 trên một mẫu phụ chỉ ngành sản xuất. Đối với năm 2012, chúng tôi áp dụng</w:t>
      </w:r>
      <w:r>
        <w:t xml:space="preserve"> </w:t>
      </w:r>
      <w:r>
        <w:rPr>
          <w:rStyle w:val="VerbatimChar"/>
        </w:rPr>
        <w:t xml:space="preserve">a4a 15–38</w:t>
      </w:r>
      <w:r>
        <w:t xml:space="preserve"> </w:t>
      </w:r>
      <w:r>
        <w:t xml:space="preserve">(ISIC Rev 3.1 ngành sản xuất bao gồm phần dư Sản xuất Khác), cho ra N = 1.656 (sample_base). Đối với năm 2024, chúng tôi áp dụng các mã ISIC Rev 4 hai chữ số đầu</w:t>
      </w:r>
      <w:r>
        <w:t xml:space="preserve"> </w:t>
      </w:r>
      <w:r>
        <w:rPr>
          <w:rStyle w:val="VerbatimChar"/>
        </w:rPr>
        <w:t xml:space="preserve">d1a2_v4</w:t>
      </w:r>
      <w:r>
        <w:t xml:space="preserve"> </w:t>
      </w:r>
      <w:r>
        <w:t xml:space="preserve">10–33, cho ra N = 1.062. Mẫu gộp chỉ ngành sản xuất là N = 2.718.</w:t>
      </w:r>
    </w:p>
    <w:p>
      <w:pPr>
        <w:pStyle w:val="BodyText"/>
      </w:pPr>
      <w:r>
        <w:t xml:space="preserve">Dưới hạn chế chỉ ngành sản xuất, điểm ngoặt M2 dịch chuyển sang khoảng 42 % năm 2012 (95 % CI [37,8; 46,8]) và 30 % năm 2024 (95 % CI [15,1; 44,2]). Khoảng cuối rộng hơn nhiều, phản ánh sức mạnh thống kê giảm. Cả hai vẫn nằm trong phạm vi vận hành có giới hạn 30–60 % của phân tích chính nhưng lệch về phía cạnh dưới. Kiểm định z Paternoster trên mẫu phụ chỉ ngành sản xuất nhất quán về mặt định hướng với cách diễn giải kết quả chính: tính bằng nhau chéo đợt khảo sát không bị bác bỏ (z = +1,51, p = 0,130 cho FSTS; z = −0,96, p = 0,337 cho</w:t>
      </w:r>
      <w:r>
        <w:t xml:space="preserve"> </w:t>
      </w:r>
      <m:oMath>
        <m:sSup>
          <m:e>
            <m:r>
              <m:rPr>
                <m:sty m:val="p"/>
              </m:rPr>
              <m:t>F</m:t>
            </m:r>
            <m:r>
              <m:rPr>
                <m:sty m:val="p"/>
              </m:rPr>
              <m:t>S</m:t>
            </m:r>
            <m:r>
              <m:rPr>
                <m:sty m:val="p"/>
              </m:rPr>
              <m:t>T</m:t>
            </m:r>
            <m:r>
              <m:rPr>
                <m:sty m:val="p"/>
              </m:rPr>
              <m:t>S</m:t>
            </m:r>
          </m:e>
          <m:sup>
            <m:r>
              <m:t>2</m:t>
            </m:r>
          </m:sup>
        </m:sSup>
      </m:oMath>
      <w:r>
        <w:t xml:space="preserve">). Kiểm định độ vững này được báo cáo chủ yếu vì sự minh bạch. Phân tích chính theo khung doanh nghiệp tư nhân WBES đầy đủ vì ba lý do: (a) hạn chế chỉ ngành sản xuất làm giảm sức mạnh thống kê mà không củng cố cách diễn giải nhân quả; (b) các trọng số lấy mẫu WBES và chiến lược nhận dạng hoạt động trên khung doanh nghiệp tư nhân đầy đủ mà các suy luận hướng đến; và (c) bức tranh định tính (chữ U ngược có giới hạn, ổn định bền vững qua các đợt khảo sát, năng lực như yếu tố dịch chuyển mức) sống sót qua sự hạn chế. Các kết quả từ đặc tả chỉ ngành sản xuất xuất hiện trong Phụ lục Trực tuyến D.</w:t>
      </w:r>
    </w:p>
    <w:bookmarkEnd w:id="56"/>
    <w:bookmarkStart w:id="57" w:name="Xd76b09a80461a54939711da8914bab2a05435c4"/>
    <w:p>
      <w:pPr>
        <w:pStyle w:val="Heading3"/>
      </w:pPr>
      <w:r>
        <w:t xml:space="preserve">4.7 Độ vững theo kích thước mẫu và đặc tả</w:t>
      </w:r>
    </w:p>
    <w:p>
      <w:pPr>
        <w:pStyle w:val="FirstParagraph"/>
      </w:pPr>
      <w:r>
        <w:t xml:space="preserve">Kết quả ngưỡng vững với nhiều biến thể đặc tả có sẵn trong dữ liệu WBES. Việc hạn chế trong các doanh nghiệp có hoạt động xuất khẩu dương (FSTS &gt; 0) tái lập hình dạng chữ U ngược với một điểm ngoặt được định vị tương tự nhưng với độ chính xác thống kê giảm vì giai đoạn tăng bị co lại.</w:t>
      </w:r>
    </w:p>
    <w:p>
      <w:pPr>
        <w:pStyle w:val="BodyText"/>
      </w:pPr>
      <w:r>
        <w:rPr>
          <w:bCs/>
          <w:b/>
        </w:rPr>
        <w:t xml:space="preserve">Thêm tầng ngành (</w:t>
      </w:r>
      <w:r>
        <w:rPr>
          <w:rStyle w:val="VerbatimChar"/>
          <w:bCs/>
          <w:b/>
        </w:rPr>
        <w:t xml:space="preserve">a4a</w:t>
      </w:r>
      <w:r>
        <w:rPr>
          <w:bCs/>
          <w:b/>
        </w:rPr>
        <w:t xml:space="preserve">) như một hiệu ứng cố định</w:t>
      </w:r>
      <w:r>
        <w:t xml:space="preserve"> </w:t>
      </w:r>
      <w:r>
        <w:t xml:space="preserve">vào đặc tả M2 gộp thay đổi hệ số FSTS từ +1,78 sang +1,56 (giảm 12,8 % về độ lớn)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 −1,83 sang −1,55 (giảm 15,2 %); chữ U ngược được bảo toàn và điểm ngoặt ngụ ý vẫn trong phạm vi 30–60 %, nhưng các độ lớn thay đổi không tầm thường khi biến thiên trong cùng ngành được khai thác. Chúng tôi giữ đặc tả kiểm soát ngành rộng làm kết quả chính theo nguyên tắc rằng kết quả ngưỡng được nhận dạng ở cấp dân số chứ không phải trong nội bộ ngành, nhưng chúng tôi lưu ý sự nhạy cảm này cho người đọc tập trung vào động lực trong nội bộ ngành.</w:t>
      </w:r>
    </w:p>
    <w:p>
      <w:pPr>
        <w:pStyle w:val="BodyText"/>
      </w:pPr>
      <w:r>
        <w:rPr>
          <w:bCs/>
          <w:b/>
        </w:rPr>
        <w:t xml:space="preserve">Hiệu chỉnh lựa chọn Heckman.</w:t>
      </w:r>
      <w:r>
        <w:t xml:space="preserve"> </w:t>
      </w:r>
      <w:r>
        <w:t xml:space="preserve">Như đã báo cáo trong Phần 3.6, tỉ số Mills nghịch đảo có ý nghĩa năm 2012 (z = −2,44, p = 0,015) và không có ý nghĩa năm 2024 (z = −0,14, p = 0,89). Việc tái ước lượng M2 với IMR như một biến kiểm soát trên đợt khảo sát 2012 thay đổi hệ số FSTS ít hơn 0,10 về giá trị tuyệt đối và bảo toàn hình dạng chữ U ngược; kiểm định U Lind–Mehlum vẫn xác nhận chữ U ngược ở p &lt; 0,001. Do đó, hiệu chỉnh lựa chọn không lật ngược kết luận chính, mặc dù nó nhắc nhở người đọc rằng các ước lượng 2012 có thể chịu lựa chọn nhẹ trên các biến không quan sát được.</w:t>
      </w:r>
    </w:p>
    <w:p>
      <w:pPr>
        <w:pStyle w:val="BodyText"/>
      </w:pPr>
      <w:r>
        <w:rPr>
          <w:bCs/>
          <w:b/>
        </w:rPr>
        <w:t xml:space="preserve">Loại trừ 217 doanh nghiệp panel khỏi đợt khảo sát 2024</w:t>
      </w:r>
      <w:r>
        <w:t xml:space="preserve"> </w:t>
      </w:r>
      <w:r>
        <w:t xml:space="preserve">(cho ra một mẫu gộp hoàn toàn mặt cắt ngang gồm N = 4.358 quan sát sample_base) thay đổi ước lượng điểm ngoặt gộp từ 48,78 % sang 46,88 %, một dịch chuyển 1,9 điểm phần trăm, và để các kiểm định z Paternoster không thay đổi về cả dấu và ý nghĩa. Dịch chuyển khiêm tốn và vẫn nằm trong khoảng tin cậy 95 % theo phương pháp delta của ước lượng chính.</w:t>
      </w:r>
    </w:p>
    <w:p>
      <w:pPr>
        <w:pStyle w:val="BodyText"/>
      </w:pPr>
      <w:r>
        <w:rPr>
          <w:bCs/>
          <w:b/>
        </w:rPr>
        <w:t xml:space="preserve">Độ vững hiệu ứng cố định doanh nghiệp panel.</w:t>
      </w:r>
      <w:r>
        <w:t xml:space="preserve"> </w:t>
      </w:r>
      <w:r>
        <w:t xml:space="preserve">217 doanh nghiệp được quan sát ở cả hai đợt khảo sát 2012 và 2024 cung cấp một panel nội bộ doanh nghiệp hạn chế (N = 434 quan sát doanh nghiệp–đợt khảo sát trước khi áp dụng bộ lọc biến trọng tâm; khoảng N ≈ 186 quan sát hoàn chỉnh sau khi áp dụng yêu cầu TCI không thiếu của sample_full). Một bản tái ước lượng hiệu ứng cố định trong nội bộ doanh nghiệp trên mẫu phụ chỉ panel này cho một ước lượng điểm ngoặt trong dải 47–49 %, nhất quán với ước lượng gộp mặt cắt ngang chính là 48,8 %, cho thấy ngưỡng chữ U ngược không phải là một sản phẩm phụ của các khác biệt thành phần mặt cắt ngang hoặc các mô thức lựa chọn giữa hai đợt khảo sát. Sức mạnh tự nhiên bị giảm trong mẫu phụ nhỏ này và CI theo phương pháp delta rộng; chúng tôi xem điều này như một kiểm tra tính có lý mang tính định hướng thay vì một chiến lược nhận dạng chính. OLS cụm vững trên mẫu gộp đầy đủ (với cụm idstd để tính đến sự phụ thuộc nội bộ doanh nghiệp) vẫn là đặc tả ưa thích.</w:t>
      </w:r>
    </w:p>
    <w:p>
      <w:pPr>
        <w:pStyle w:val="BodyText"/>
      </w:pPr>
      <w:r>
        <w:t xml:space="preserve">Chúng tôi không báo cáo ước lượng có trọng số (</w:t>
      </w:r>
      <w:r>
        <w:rPr>
          <w:rStyle w:val="VerbatimChar"/>
        </w:rPr>
        <w:t xml:space="preserve">wmedian</w:t>
      </w:r>
      <w:r>
        <w:t xml:space="preserve">) như một đặc tả riêng biệt trong phiên bản này; điều này có khả thi về mặt tính toán từ các biến trọng số WBES nhưng đòi hỏi xử lý cẩn thận cấu trúc cụm doanh nghiệp panel vượt ra ngoài phạm vi của bản sửa đổi hiện tại. Chúng tôi xác định ước lượng có trọng số là một ưu tiên cho lần sửa đổi tiếp theo; chúng tôi không kỳ vọng rằng nó sẽ thay đổi kết luận định tính về tính ổn định ngưỡng, nhưng nó có thể tinh chỉnh các ước lượng điểm của điểm ngoặt thêm 1–2 điểm phần trăm.</w:t>
      </w:r>
    </w:p>
    <w:bookmarkEnd w:id="57"/>
    <w:bookmarkEnd w:id="58"/>
    <w:bookmarkStart w:id="65" w:name="X3923f9545aa9c992e02ccb4472a40e02686b4e2"/>
    <w:p>
      <w:pPr>
        <w:pStyle w:val="Heading2"/>
      </w:pPr>
      <w:r>
        <w:t xml:space="preserve">5. Thảo luận</w:t>
      </w:r>
    </w:p>
    <w:bookmarkStart w:id="59" w:name="Xefac1fbede22df99af9e5cd66a9e141b8b3d547"/>
    <w:p>
      <w:pPr>
        <w:pStyle w:val="Heading3"/>
      </w:pPr>
      <w:r>
        <w:t xml:space="preserve">5.1 Tính bền vững trước dịch chuyển được kỳ vọng: đóng góp chính</w:t>
      </w:r>
    </w:p>
    <w:p>
      <w:pPr>
        <w:pStyle w:val="FirstParagraph"/>
      </w:pPr>
      <w:r>
        <w:t xml:space="preserve">Thảo luận sẽ rõ ràng nhất khi bài báo được đọc như nghiên cứu về</w:t>
      </w:r>
      <w:r>
        <w:t xml:space="preserve"> </w:t>
      </w:r>
      <w:r>
        <w:rPr>
          <w:bCs/>
          <w:b/>
        </w:rPr>
        <w:t xml:space="preserve">tính bền vững cấu trúc trước dịch chuyển thời gian được kỳ vọng</w:t>
      </w:r>
      <w:r>
        <w:t xml:space="preserve">. H2a (Phần 2.2) dự đoán rằng mối quan hệ chữ U ngược giữa cường độ xuất khẩu và năng suất lao động trong các doanh nghiệp tư nhân Trung Quốc sẽ khác biệt giữa năm 2012 và 2024. Dự đoán này được thúc đẩy bởi nhiều thay đổi cấu trúc đáng kể trong nền kinh tế Trung Quốc: tái cân bằng thương mại hậu 2008, chu kỳ leo thang thuế quan Mỹ–Trung, đứt gãy do COVID-19, sự trưởng thành của hạ tầng số (Vial, 2019; Hanelt et al., 2021), củng cố năng lực hấp thụ, sự tham gia ngày càng sâu của các doanh nghiệp Trung Quốc vào chuỗi giá trị toàn cầu (Kano, Tsang, &amp; Yeung, 2020), và sự tiến hoá của các thể chế tài trợ thương mại (Author Citation, 2026, VEFR; Manova, 2013; Foley &amp; Manova, 2015; Niepmann &amp; Schmidt-Eisenlohr, 2017; Demir &amp; Javorcik, 2018). Dưới bất kỳ cơ chế nào trong số này, điểm ngoặt hoặc độ cong lẽ ra phải dịch chuyển.</w:t>
      </w:r>
    </w:p>
    <w:p>
      <w:pPr>
        <w:pStyle w:val="BodyText"/>
      </w:pPr>
      <w:r>
        <w:t xml:space="preserve">Điều đó đã không xảy ra. Các kiểm định z Paternoster (1998) trên các hệ số tuyến tính và bậc hai không bác bỏ tính bằng nhau (p = 0,412 và p = 0,545 tương ứng); kiểm định F liên hợp gộp trên các tương tác chéo đợt khảo sát cho F(2, 3.558) = 2,24, p = 0,107. Các ước lượng điểm của điểm ngoặt vẫn nằm trong một phạm vi rất chặt, 49,4 % năm 2012, 47,2 % năm 2024, 48,8 % trong mẫu gộp, với các khoảng tin cậy 95 % chồng lấn qua cả ba mẫu (Hình 2).</w:t>
      </w:r>
    </w:p>
    <w:p>
      <w:pPr>
        <w:pStyle w:val="BodyText"/>
      </w:pPr>
      <w:r>
        <w:t xml:space="preserve">Đóng góp thực chất của bài báo dựa trên kết quả null bất ngờ này. Đánh đổi quốc tế hoá–hiệu quả tại Trung Quốc là</w:t>
      </w:r>
      <w:r>
        <w:t xml:space="preserve"> </w:t>
      </w:r>
      <w:r>
        <w:rPr>
          <w:bCs/>
          <w:b/>
        </w:rPr>
        <w:t xml:space="preserve">bền vững về mặt cấu trúc</w:t>
      </w:r>
      <w:r>
        <w:t xml:space="preserve">. Nó đã sống sót qua một thập kỷ các cú sốc bên ngoài đáng kể, tiến hoá thể chế, và chuyển đổi công nghệ mà không dịch chuyển đo lường được về hình dạng, độ dốc, hoặc vị trí. Tính bền vững này có ý nghĩa về mặt lý thuyết và quản trị. Về mặt lý thuyết, kết quả gợi ý rằng chữ U ngược dựa trên các ràng buộc sâu ở cấp doanh nghiệp (cấu trúc, năng lực phối hợp, khoảng đệm tài chính, chiều sâu tổ chức) thay vì các điều kiện thể chế hoặc cạnh tranh đặc thù theo thời gian (Hennart, 2007; Buckley et al., 2007). Về mặt quản trị, các khoảng tin cậy rộng và chồng lấn trên các ước lượng điểm ngoặt lập luận chống lại việc xem bất kỳ con số nào như mục tiêu cực kỳ chính xác. Lượng có liên quan đến chính sách là</w:t>
      </w:r>
      <w:r>
        <w:t xml:space="preserve"> </w:t>
      </w:r>
      <w:r>
        <w:rPr>
          <w:iCs/>
          <w:i/>
        </w:rPr>
        <w:t xml:space="preserve">phạm vi vận hành có giới hạn</w:t>
      </w:r>
      <w:r>
        <w:t xml:space="preserve"> </w:t>
      </w:r>
      <w:r>
        <w:t xml:space="preserve">(khoảng 30 % đến 60 % tổng doanh thu) trong đó năng suất dự đoán vẫn gần đỉnh. Trong phạm vi này, các doanh nghiệp có thể thực hiện thận trọng chiến lược mà không vượt qua đuôi xói mòn năng suất.</w:t>
      </w:r>
    </w:p>
    <w:p>
      <w:pPr>
        <w:pStyle w:val="BodyText"/>
      </w:pPr>
      <w:r>
        <w:t xml:space="preserve">Các kết quả điều tiết phụ thuộc năng lực hội tụ về cùng kết luận về tính bền vững. H4a/H4b giả thuyết rằng năng lực công nghệ và áp dụng công nghệ số nên điều tiết độ cong của chữ U ngược, có khả năng thông qua logic năng lực hấp thụ của Lall (1992) và Cohen và Levinthal (1990). Dữ liệu một phần ủng hộ vai trò dịch chuyển mức. TCI có liên hệ với năng suất cao hơn đáng kể (β_z = +0,26 đến +0,43, p &lt; 0,001 trong mỗi đợt khảo sát). DAI cho thấy các dịch chuyển mức dương khiêm tốn (β_z = +0,05 đến +0,13, p ≤ 0,03 qua các đợt khảo sát và mẫu gộp). Tuy nhiên, bằng chứng điều tiết độ cong yếu: kiểm định F liên hợp trên các tương tác TCI × FSTS cho p = 0,039 (biên), các hệ số tương tác riêng lẻ không thể phân biệt với 0 về mặt thống kê, và các kiểm định điều tiết đặc thù đợt khảo sát không hỗ trợ H4a hoặc H4b trong bất kỳ đợt khảo sát nào. Giả thuyết điều tiết động ba chiều (dịch chuyển phụ thuộc năng lực theo thời gian) cho F(2, 3.558) = 0,27, p = 0,760, rõ ràng không được hỗ trợ.</w:t>
      </w:r>
    </w:p>
    <w:p>
      <w:pPr>
        <w:pStyle w:val="BodyText"/>
      </w:pPr>
      <w:r>
        <w:t xml:space="preserve">Các phân tích vốn lưu động bổ sung (Phần 5.2) kể cùng câu chuyện. Bất chấp nhiều kỳ vọng định hướng có lý (Manova, 2013; Foley &amp; Manova, 2015), bằng chứng điều tiết chéo đợt khảo sát phân mảnh qua các biến đại diện và các đợt khảo sát. Một số hệ số di chuyển theo hướng có lý về mặt lý thuyết, đáng chú ý nhất là tương tác tín dụng thương mại ×</w:t>
      </w:r>
      <w:r>
        <w:t xml:space="preserve"> </w:t>
      </w:r>
      <m:oMath>
        <m:sSup>
          <m:e>
            <m:r>
              <m:rPr>
                <m:sty m:val="p"/>
              </m:rPr>
              <m:t>F</m:t>
            </m:r>
            <m:r>
              <m:rPr>
                <m:sty m:val="p"/>
              </m:rPr>
              <m:t>S</m:t>
            </m:r>
            <m:r>
              <m:rPr>
                <m:sty m:val="p"/>
              </m:rPr>
              <m:t>T</m:t>
            </m:r>
            <m:r>
              <m:rPr>
                <m:sty m:val="p"/>
              </m:rPr>
              <m:t>S</m:t>
            </m:r>
          </m:e>
          <m:sup>
            <m:r>
              <m:t>2</m:t>
            </m:r>
          </m:sup>
        </m:sSup>
      </m:oMath>
      <w:r>
        <w:t xml:space="preserve"> </w:t>
      </w:r>
      <w:r>
        <w:t xml:space="preserve">trong năm 2012 (β = −0,017, p = 0,009). Tuy nhiên, mô thức rộng hơn quá không nhất quán qua các khối và đợt khảo sát để hỗ trợ suy luận mạnh hơn. Cách diễn giải vốn lưu động được giữ như giải thích có cơ sở lý thuyết thay vì kênh thực nghiệm được thiết lập trực tiếp. Việc tích hợp dữ liệu vi mô tài chính phong phú hơn (chu kỳ chuyển đổi tiền mặt, số ngày khoản phải thu chưa thanh toán, định giá tài trợ thương mại) được xác định rõ ràng là ưu tiên cho nghiên cứu tương lai.</w:t>
      </w:r>
    </w:p>
    <w:p>
      <w:pPr>
        <w:pStyle w:val="BodyText"/>
      </w:pPr>
      <w:r>
        <w:t xml:space="preserve">Việc khẳng định H2b so với H2a, cùng với điều tiết độ cong năng lực null và các tương tác vốn lưu động không ổn định, làm cho đóng góp chính sắc nét hơn thay vì yếu hơn.</w:t>
      </w:r>
      <w:r>
        <w:t xml:space="preserve"> </w:t>
      </w:r>
      <w:r>
        <w:rPr>
          <w:bCs/>
          <w:b/>
        </w:rPr>
        <w:t xml:space="preserve">Đánh đổi quốc tế hoá–hiệu quả tại Trung Quốc là chính nó: một chữ U ngược có giới hạn bền vững mà vị trí và hình dạng của nó không bị di chuyển đo lường được bởi đợt khảo sát, biến đại diện tài chính, hoặc kho năng lực.</w:t>
      </w:r>
      <w:r>
        <w:t xml:space="preserve"> </w:t>
      </w:r>
      <w:r>
        <w:t xml:space="preserve">Đây là tuyên bố thực nghiệm mạnh hơn so với những gì tài liệu chữ U ngược chuẩn cung cấp. Phát hiện này trực tiếp giải quyết câu hỏi về tính không đồng nhất trong tài liệu meta-analytic về quốc tế hoá–hiệu quả (Author Citation, 2025, ICBEF; Bausch &amp; Krist, 2007; Kirca et al., 2012; Marano et al., 2016; Schwens et al., 2018). Cụ thể, tính không đồng nhất rất lớn giữa các nghiên cứu (I² ≈ 88 %) trong các tổng quan đó có thể phản ánh biến thiên thể chế đa quốc gia chứ không phải thay đổi thời gian trong nội bộ quốc gia. Bằng cách giữ cố định quốc gia và kiểm định chiều thời gian, thiết kế hiện tại cô lập chiều thời gian và thấy nó nhỏ. Kết quả nhất quán với cách diễn giải trong đó bối cảnh thể chế (Filatotchev et al., 2020) thúc đẩy nhiều sự phân tán độ lớn hiệu ứng quan sát được hơn so với tiến hoá nội bộ quốc gia.</w:t>
      </w:r>
    </w:p>
    <w:bookmarkEnd w:id="59"/>
    <w:bookmarkStart w:id="60" w:name="X044e47dec64bd1c2b013fdaa35d47ccc361ed2b"/>
    <w:p>
      <w:pPr>
        <w:pStyle w:val="Heading3"/>
      </w:pPr>
      <w:r>
        <w:t xml:space="preserve">5.2 Các cơ chế thay thế được khảo sát</w:t>
      </w:r>
    </w:p>
    <w:p>
      <w:pPr>
        <w:pStyle w:val="FirstParagraph"/>
      </w:pPr>
      <w:r>
        <w:t xml:space="preserve">Để khảo sát cơ chế xuôi dòng liên kết suy giảm sau ngưỡng với các ràng buộc tài chính, các biến đại diện vốn lưu động có sẵn trong công cụ WBES đã được kiểm định. Các chỉ báo so sánh chéo đợt khảo sát gồm: công cụ thấu chi (k7), hạn mức tín dụng (k8/k82), tỉ trọng cấu trúc tài trợ (chuỗi k3), và điểm trở ngại tiếp cận tài chính (k30). Các chỉ báo này được kiểm định như các hạng tương tác với</w:t>
      </w:r>
      <w:r>
        <w:t xml:space="preserve"> </w:t>
      </w:r>
      <m:oMath>
        <m:sSup>
          <m:e>
            <m:r>
              <m:rPr>
                <m:sty m:val="p"/>
              </m:rPr>
              <m:t>F</m:t>
            </m:r>
            <m:r>
              <m:rPr>
                <m:sty m:val="p"/>
              </m:rPr>
              <m:t>S</m:t>
            </m:r>
            <m:r>
              <m:rPr>
                <m:sty m:val="p"/>
              </m:rPr>
              <m:t>T</m:t>
            </m:r>
            <m:r>
              <m:rPr>
                <m:sty m:val="p"/>
              </m:rPr>
              <m:t>S</m:t>
            </m:r>
          </m:e>
          <m:sup>
            <m:r>
              <m:t>2</m:t>
            </m:r>
          </m:sup>
        </m:sSup>
      </m:oMath>
      <w:r>
        <w:t xml:space="preserve"> </w:t>
      </w:r>
      <w:r>
        <w:t xml:space="preserve">để xem độ dốc của đuôi sau ngưỡng có được điều kiện hoá bởi thanh khoản doanh nghiệp hay không. Dẫu vậy, do thay đổi trong thiết kế bảng câu hỏi giữa hai đợt khảo sát, các chỉ báo thu thập không đạt được tính nhất quán cần thiết cho suy luận kết luận. Cụ thể, tương tác Khối A thay đổi dấu qua các đợt khảo sát, Khối C đạt ý nghĩa năm 2012 nhưng không năm 2024, và bất thường Khối D trong năm 2024 đọc như sản phẩm phụ của ô nhỏ. Khối B chỉ năm 2012 (mua và bán trên tín dụng, k1c/k2c) cũng cho ra các tương tác null. Tổng hợp lại, các phân tích bổ sung này nhất quán với cách diễn giải bẫy vốn lưu động (Manova, 2013) như cơ chế nhất quán về mặt lý thuyết cho suy giảm sau ngưỡng. Tuy nhiên, các biến đại diện WBES hiện tại không đủ chính xác để nhận dạng kênh này trực tiếp. Cần có nghiên cứu tương lai với dữ liệu báo cáo tài chính cấp doanh nghiệp (chu kỳ chuyển đổi tiền mặt, số ngày khoản phải thu chưa thanh toán, định giá tài trợ thương mại) để kiểm định cơ chế một cách kết luận.</w:t>
      </w:r>
    </w:p>
    <w:bookmarkEnd w:id="60"/>
    <w:bookmarkStart w:id="61" w:name="Xb6d50b9dee3d5fdf0120c2e4bf7c8909666ed2e"/>
    <w:p>
      <w:pPr>
        <w:pStyle w:val="Heading3"/>
      </w:pPr>
      <w:r>
        <w:t xml:space="preserve">5.3 Hàm ý quản trị</w:t>
      </w:r>
    </w:p>
    <w:p>
      <w:pPr>
        <w:pStyle w:val="FirstParagraph"/>
      </w:pPr>
      <w:r>
        <w:t xml:space="preserve">Đối với các doanh nghiệp tư nhân Trung Quốc, các phát hiện mang lại bốn hàm ý quản trị.</w:t>
      </w:r>
      <w:r>
        <w:t xml:space="preserve"> </w:t>
      </w:r>
      <w:r>
        <w:rPr>
          <w:bCs/>
          <w:b/>
        </w:rPr>
        <w:t xml:space="preserve">Thứ nhất</w:t>
      </w:r>
      <w:r>
        <w:t xml:space="preserve">, vấn đề chiến lược về mở rộng xuất khẩu nên được định khung như</w:t>
      </w:r>
      <w:r>
        <w:t xml:space="preserve"> </w:t>
      </w:r>
      <w:r>
        <w:rPr>
          <w:iCs/>
          <w:i/>
        </w:rPr>
        <w:t xml:space="preserve">tối ưu có giới hạn</w:t>
      </w:r>
      <w:r>
        <w:t xml:space="preserve"> </w:t>
      </w:r>
      <w:r>
        <w:t xml:space="preserve">thay vì mục tiêu tăng trưởng không bị ràng buộc. Việc vượt qua vùng cường độ xuất khẩu tối ưu (mà dữ liệu hiện tại định vị ở khoảng 30 % đến 60 % tổng doanh thu và không dịch chuyển trong thập kỷ qua) có liên hệ với năng suất suy giảm thay vì lợi nhuận tiếp tục tăng. Các nhà quản lý nên giám sát cường độ xuất khẩu so với phạm vi vận hành có giới hạn này. Đồng thời, họ cần chú ý đặc biệt đến kỷ luật vận hành và tài chính cần thiết để duy trì sự phơi nhiễm xuất khẩu vượt quá nó. Tính ổn định theo thời gian của ngưỡng có nghĩa là hướng dẫn này áp dụng</w:t>
      </w:r>
      <w:r>
        <w:t xml:space="preserve"> </w:t>
      </w:r>
      <w:r>
        <w:rPr>
          <w:iCs/>
          <w:i/>
        </w:rPr>
        <w:t xml:space="preserve">bền vững</w:t>
      </w:r>
      <w:r>
        <w:t xml:space="preserve"> </w:t>
      </w:r>
      <w:r>
        <w:t xml:space="preserve">thay vì gắn liền với điều kiện kinh tế vĩ mô hiện tại. Các nhà quản lý sử dụng các chuẩn này có thể lập kế hoạch với tự tin rằng chúng vẫn có hiệu lực qua thay đổi kinh tế vĩ mô và thể chế trong tương lai.</w:t>
      </w:r>
    </w:p>
    <w:p>
      <w:pPr>
        <w:pStyle w:val="BodyText"/>
      </w:pPr>
      <w:r>
        <w:rPr>
          <w:bCs/>
          <w:b/>
        </w:rPr>
        <w:t xml:space="preserve">Thứ hai</w:t>
      </w:r>
      <w:r>
        <w:t xml:space="preserve">, đầu tư vào năng lực công nghệ (gồm cấp phép công nghệ nước ngoài, chứng nhận chất lượng, đổi mới sản phẩm, và hoạt động R&amp;D) hỗ trợ cơ sở năng suất đáng kể, vững với phân phối cường độ xuất khẩu, và đã</w:t>
      </w:r>
      <w:r>
        <w:t xml:space="preserve"> </w:t>
      </w:r>
      <w:r>
        <w:rPr>
          <w:iCs/>
          <w:i/>
        </w:rPr>
        <w:t xml:space="preserve">củng cố</w:t>
      </w:r>
      <w:r>
        <w:t xml:space="preserve"> </w:t>
      </w:r>
      <w:r>
        <w:t xml:space="preserve">giữa các đợt khảo sát 2012 và 2024 (Paternoster z = −2,55, p = 0,011). Do đó, xây dựng năng lực là khoản đầu tư có thể bảo vệ về mặt chiến lược với lợi nhuận ngày càng tăng. Quan trọng nhất, bằng chứng cho thấy năng lực hoạt động như</w:t>
      </w:r>
      <w:r>
        <w:t xml:space="preserve"> </w:t>
      </w:r>
      <w:r>
        <w:rPr>
          <w:iCs/>
          <w:i/>
        </w:rPr>
        <w:t xml:space="preserve">yếu tố dịch chuyển mức</w:t>
      </w:r>
      <w:r>
        <w:t xml:space="preserve"> </w:t>
      </w:r>
      <w:r>
        <w:t xml:space="preserve">thay vì yếu tố điều tiết độ cong. Xây dựng năng lực nâng cao năng suất đồng đều, nhưng không thay đổi</w:t>
      </w:r>
      <w:r>
        <w:t xml:space="preserve"> </w:t>
      </w:r>
      <w:r>
        <w:rPr>
          <w:iCs/>
          <w:i/>
        </w:rPr>
        <w:t xml:space="preserve">vị trí</w:t>
      </w:r>
      <w:r>
        <w:t xml:space="preserve"> </w:t>
      </w:r>
      <w:r>
        <w:t xml:space="preserve">điểm ngoặt xói mòn năng suất. Hàm ý thực tế là các doanh nghiệp không thể kỳ vọng đầu tư năng lực sẽ đẩy ngưỡng bền vững sang phải. Năng lực củng cố doanh nghiệp ở mọi mức cường độ xuất khẩu nhưng không nới lỏng ràng buộc mở rộng quá mức cấu trúc ở phần đuôi trên. Doanh nghiệp ở mức cường độ xuất khẩu 70 % sẽ phơi nhiễm với chi phí mở rộng quá mức xấp xỉ như khi không có đầu tư TCI. Đầu tư TCI nâng cao năng suất tổng thể của doanh nghiệp nhưng không cứu doanh nghiệp khỏi ràng buộc tối ưu có giới hạn.</w:t>
      </w:r>
    </w:p>
    <w:p>
      <w:pPr>
        <w:pStyle w:val="BodyText"/>
      </w:pPr>
      <w:r>
        <w:rPr>
          <w:bCs/>
          <w:b/>
        </w:rPr>
        <w:t xml:space="preserve">Thứ ba</w:t>
      </w:r>
      <w:r>
        <w:t xml:space="preserve">, hiện diện số cơ bản (sở hữu website riêng) có liên hệ thuận chiều với năng suất trong đợt khảo sát 2024 và mẫu gộp, ở mức khiêm tốn trong năm 2012, nhưng không loại bỏ ngưỡng cấu trúc giới hạn lợi nhuận năng suất của mở rộng xuất khẩu. Các nhà quản lý nên xem áp dụng công nghệ số Tầng 1 như một bổ trợ cho, thay vì thay thế, sự chuẩn bị tài chính và vận hành cần thiết để duy trì cường độ xuất khẩu cao. Các doanh nghiệp tham gia chuyển đổi số sâu hơn (nền tảng thương mại điện tử, tích hợp ERP, vận hành tăng cường AI. Tầng 2 đến Tầng 4 trong hệ thống phân cấp của Verhoef et al. 2021) có thể cuối cùng thấy rằng ngưỡng được nới lỏng, nhưng dữ liệu của chúng tôi không thể kiểm định trực tiếp đề xuất này.</w:t>
      </w:r>
    </w:p>
    <w:p>
      <w:pPr>
        <w:pStyle w:val="BodyText"/>
      </w:pPr>
      <w:r>
        <w:rPr>
          <w:bCs/>
          <w:b/>
        </w:rPr>
        <w:t xml:space="preserve">Thứ tư và tổng quát hơn</w:t>
      </w:r>
      <w:r>
        <w:t xml:space="preserve">, bằng chứng ủng hộ một khung định khung quyết định chiến lược trong đó</w:t>
      </w:r>
      <w:r>
        <w:t xml:space="preserve"> </w:t>
      </w:r>
      <w:r>
        <w:rPr>
          <w:iCs/>
          <w:i/>
        </w:rPr>
        <w:t xml:space="preserve">tính bền vững của phạm vi quốc tế hoá có giới hạn</w:t>
      </w:r>
      <w:r>
        <w:t xml:space="preserve"> </w:t>
      </w:r>
      <w:r>
        <w:t xml:space="preserve">tự nó là tài sản quản trị. Các doanh nghiệp đưa ra quyết định đầu tư dài hạn (gia nhập các thị trường xuất khẩu mới, mở rộng quy mô hoạt động quốc tế, xây dựng chuỗi cung ứng xuyên biên giới) có thể lập kế hoạch dựa trên ngưỡng ổn định, thay vì liên tục điều chỉnh chiến lược quốc tế hoá để phản ứng với điều kiện đặc thù theo đợt khảo sát. Tính ổn định này có hàm ý về thiết kế tổ chức: các doanh nghiệp có thể xây dựng năng lực vận hành quốc tế với tự tin rằng cấu trúc ngưỡng nền tảng sẽ không dịch chuyển bất ngờ trong thời kỳ hoàn vốn đầu tư.</w:t>
      </w:r>
    </w:p>
    <w:bookmarkEnd w:id="61"/>
    <w:bookmarkStart w:id="62" w:name="X79ed7da00fc676b1751cb116606699101e79ad1"/>
    <w:p>
      <w:pPr>
        <w:pStyle w:val="Heading3"/>
      </w:pPr>
      <w:r>
        <w:t xml:space="preserve">5.4 Các cân nhắc chính sách dự kiến</w:t>
      </w:r>
    </w:p>
    <w:p>
      <w:pPr>
        <w:pStyle w:val="FirstParagraph"/>
      </w:pPr>
      <w:r>
        <w:t xml:space="preserve">Chúng tôi định khung thảo luận dưới đây như các cân nhắc chính sách dự kiến thay vì các đơn thuốc chính sách. Bản chất liên hệ của bằng chứng, các khoảng tin cậy điểm ngoặt rộng, và sự vắng mặt của hỗ trợ trực tiếp ổn định cho điều tiết phụ thuộc năng lực đều cân nhắc chống lại việc chuyển đổi các phát hiện thành các mục tiêu chính sách chỉ thị. Với các lưu ý đó được đặt lên trước, ba cân nhắc theo sau cho chính sách công nghiệp hướng đến doanh nghiệp tư nhân Trung Quốc.</w:t>
      </w:r>
    </w:p>
    <w:p>
      <w:pPr>
        <w:pStyle w:val="BodyText"/>
      </w:pPr>
      <w:r>
        <w:t xml:space="preserve">Thứ nhất, vấn đề thiết kế chương trình thúc đẩy xuất khẩu SME có thể nhiều hơn về</w:t>
      </w:r>
      <w:r>
        <w:t xml:space="preserve"> </w:t>
      </w:r>
      <w:r>
        <w:rPr>
          <w:iCs/>
          <w:i/>
        </w:rPr>
        <w:t xml:space="preserve">mở rộng có giới hạn</w:t>
      </w:r>
      <w:r>
        <w:t xml:space="preserve"> </w:t>
      </w:r>
      <w:r>
        <w:t xml:space="preserve">thay vì tham vọng xuất khẩu tối đa. Các chương trình thúc đẩy xuất khẩu khuyến khích cường độ xuất khẩu vượt quá phạm vi bền vững 30–60 %, mà không có đầu tư song song vào hạ tầng thanh khoản và năng lực, có thể liên hệ với lợi nhuận năng suất giảm dần hoặc âm. Các chương trình được thiết kế để đẩy doanh nghiệp vượt qua phạm vi này mà không đồng thời giải quyết các ràng buộc tài chính và vận hành thúc đẩy suy giảm sau ngưỡng có nguy cơ tạo ra các doanh nghiệp phơi nhiễm mà năng suất bị xói mòn, bất chấp lợi ích chính sách dự kiến.</w:t>
      </w:r>
    </w:p>
    <w:p>
      <w:pPr>
        <w:pStyle w:val="BodyText"/>
      </w:pPr>
      <w:r>
        <w:t xml:space="preserve">Thứ hai, các cải cách thị trường tín dụng SME nhắm vào các hạn mức vốn lưu động, bao thanh toán, bảo hiểm tín dụng xuất khẩu, và tiếp cận tài trợ thương mại (Manova, 2013; Niepmann &amp; Schmidt-Eisenlohr, 2017; Demir &amp; Javorcik, 2018) có thể giúp dịch chuyển ngưỡng sang phải và mở rộng vùng vận hành an toàn. Tuy nhiên, bài báo hiện tại không kiểm định trực tiếp tác động chính sách này. Các phát hiện null về điều tiết vốn lưu động H3 gợi ý rằng các cải cách như vậy có thể cần đáng kể hơn so với biến thiên được nắm bắt bởi các biến đại diện WBES hiện tại để tạo ra dịch chuyển ngưỡng có thể phát hiện được. Nghiên cứu đánh giá chính sách định lượng tương lai (sử dụng dữ liệu tài chính phong phú hơn) là cần thiết để xác định cường độ cải cách tối thiểu thực nghiệm cần thiết để di chuyển ngưỡng.</w:t>
      </w:r>
    </w:p>
    <w:p>
      <w:pPr>
        <w:pStyle w:val="BodyText"/>
      </w:pPr>
      <w:r>
        <w:t xml:space="preserve">Thứ ba, tính bền vững của chữ U ngược qua một thập kỷ thay đổi môi trường đáng kể ngụ ý rằng khung quốc tế hoá có giới hạn là hướng dẫn chính sách vững cho một loạt các điều kiện kinh tế vĩ mô và thể chế, không phải là một khuyến nghị đặc thù theo đợt khảo sát. Chính sách công nghiệp được thiết kế xung quanh vùng vận hành an toàn 30–60 % cung cấp một cấu trúc mục tiêu ổn định không đòi hỏi hiệu chỉnh lại thường xuyên khi điều kiện kinh tế vĩ mô tiến hoá.</w:t>
      </w:r>
    </w:p>
    <w:bookmarkEnd w:id="62"/>
    <w:bookmarkStart w:id="63" w:name="Xbef12aed5ab96d6cb1fef899fa01326f49f5fc9"/>
    <w:p>
      <w:pPr>
        <w:pStyle w:val="Heading3"/>
      </w:pPr>
      <w:r>
        <w:t xml:space="preserve">5.5 Đóng góp lý thuyết</w:t>
      </w:r>
    </w:p>
    <w:p>
      <w:pPr>
        <w:pStyle w:val="FirstParagraph"/>
      </w:pPr>
      <w:r>
        <w:t xml:space="preserve">Bài báo đưa ra bốn đóng góp lý thuyết cho tài liệu kinh doanh quốc tế và quản trị chiến lược.</w:t>
      </w:r>
    </w:p>
    <w:p>
      <w:pPr>
        <w:pStyle w:val="BodyText"/>
      </w:pPr>
      <w:r>
        <w:rPr>
          <w:bCs/>
          <w:b/>
        </w:rPr>
        <w:t xml:space="preserve">Thứ nhất</w:t>
      </w:r>
      <w:r>
        <w:t xml:space="preserve">, nghiên cứu đóng góp vào tài liệu</w:t>
      </w:r>
      <w:r>
        <w:t xml:space="preserve"> </w:t>
      </w:r>
      <w:r>
        <w:rPr>
          <w:iCs/>
          <w:i/>
        </w:rPr>
        <w:t xml:space="preserve">quốc tế hoá–hiệu quả</w:t>
      </w:r>
      <w:r>
        <w:t xml:space="preserve"> </w:t>
      </w:r>
      <w:r>
        <w:t xml:space="preserve">bằng cách mở rộng phạm vi của nó từ câu hỏi "hình dạng nào" sang câu hỏi "liệu hình dạng có tồn tại bền vững hay không". Phần lớn công việc I–P trước đây, bao gồm các nghiên cứu phi tuyến nền tảng (Hitt et al., 1997; Contractor et al., 2003; Lu &amp; Beamish, 2004) và các tổng hợp meta-analytic (Bausch &amp; Krist, 2007; Kirca et al., 2012; Marano et al., 2016; Schwens et al., 2018), đã thiết lập chữ U ngược như mô thức bền vững nhưng hiếm khi kiểm định tính ổn định theo thời gian của nó trong một bối cảnh quốc gia đơn lẻ. Phát hiện về tính bền vững của nghiên cứu thiết lập rằng, ít nhất ở Trung Quốc và qua cửa sổ 2012–2024, chữ U ngược nhiều hơn một quy luật đặc thù mẫu: nó là đặc trưng cấu trúc bền vững của đánh đổi. Phát hiện này bổ sung cho sự nhấn mạnh về tính không đồng nhất đa quốc gia của truyền thống meta-analytic bằng bằng chứng thời gian trong nội bộ quốc gia. Nó cung cấp chuẩn cho các nghiên cứu tái lập tương lai trong các bối cảnh kinh tế mới nổi khác.</w:t>
      </w:r>
    </w:p>
    <w:p>
      <w:pPr>
        <w:pStyle w:val="BodyText"/>
      </w:pPr>
      <w:r>
        <w:rPr>
          <w:bCs/>
          <w:b/>
        </w:rPr>
        <w:t xml:space="preserve">Thứ hai</w:t>
      </w:r>
      <w:r>
        <w:t xml:space="preserve">, chúng tôi đóng góp vào</w:t>
      </w:r>
      <w:r>
        <w:t xml:space="preserve"> </w:t>
      </w:r>
      <w:r>
        <w:rPr>
          <w:iCs/>
          <w:i/>
        </w:rPr>
        <w:t xml:space="preserve">câu đố meta-analytic</w:t>
      </w:r>
      <w:r>
        <w:t xml:space="preserve"> </w:t>
      </w:r>
      <w:r>
        <w:t xml:space="preserve">rộng hơn về lý do tại sao tính không đồng nhất giữa các nghiên cứu trong mối quan hệ quốc tế hoá–hiệu quả lại lớn như vậy. Bằng cách giữ cố định quốc gia và tìm thấy tính ổn định theo thời gian trong nội bộ quốc gia, bài báo ủng hộ một cách diễn giải trong đó bối cảnh thể chế đa quốc gia, thay vì sự tiến hoá trong nội bộ quốc gia, chiếm phần lớn sự phân tán độ lớn hiệu ứng quan sát được (Filatotchev et al., 2020). Điều này có hàm ý phương pháp luận cho các phân tích meta-analytic tương lai: tính không đồng nhất theo thời gian trong cùng quốc gia có thể là một nguồn biến thiên nhỏ hơn so với tài liệu đã ngầm giả định, trong khi các khác biệt thể chế đa quốc gia có thể đáng được chú ý lý thuyết nhiều hơn so với hiện tại.</w:t>
      </w:r>
    </w:p>
    <w:p>
      <w:pPr>
        <w:pStyle w:val="BodyText"/>
      </w:pPr>
      <w:r>
        <w:rPr>
          <w:bCs/>
          <w:b/>
        </w:rPr>
        <w:t xml:space="preserve">Thứ ba</w:t>
      </w:r>
      <w:r>
        <w:t xml:space="preserve">, nghiên cứu đóng góp vào truyền thống</w:t>
      </w:r>
      <w:r>
        <w:t xml:space="preserve"> </w:t>
      </w:r>
      <w:r>
        <w:rPr>
          <w:iCs/>
          <w:i/>
        </w:rPr>
        <w:t xml:space="preserve">năng lực và năng lực hấp thụ</w:t>
      </w:r>
      <w:r>
        <w:t xml:space="preserve"> </w:t>
      </w:r>
      <w:r>
        <w:t xml:space="preserve">bằng cách phân biệt rõ ràng vai trò dịch chuyển mức của năng lực với vai trò điều tiết độ cong được phỏng đoán. Các nghiên cứu trước thường làm mờ hai chức năng này, xem năng lực như vừa nâng cao năng suất</w:t>
      </w:r>
      <w:r>
        <w:t xml:space="preserve"> </w:t>
      </w:r>
      <w:r>
        <w:rPr>
          <w:iCs/>
          <w:i/>
        </w:rPr>
        <w:t xml:space="preserve">vừa</w:t>
      </w:r>
      <w:r>
        <w:t xml:space="preserve"> </w:t>
      </w:r>
      <w:r>
        <w:t xml:space="preserve">nới lỏng ràng buộc mở rộng quá mức. Bằng chứng ở đây ủng hộ mạnh vai trò dịch chuyển mức qua các đợt khảo sát, nhưng thấy vai trò điều tiết độ cong yếu và không ổn định. Phát hiện này gợi ý rằng xây dựng năng lực, tự nó, không đẩy điểm ngoặt chữ U ngược ra xa. Sự tinh chỉnh này có ý nghĩa về mặt lý thuyết: logic năng lực hấp thụ của Lall (1992) và Cohen và Levinthal (1990) nên được đọc như ủng hộ sự củng cố cơ sở năng suất, thay vì như nới lỏng đánh đổi cấu trúc ở phần đuôi sau ngưỡng. Doanh nghiệp với TCI cao có thể chuyển hoạt động xuất khẩu hiệu quả hơn thành đầu ra sản xuất. Tuy nhiên, giới hạn trên của lợi ích hiệu quả đó tự nó bị giới hạn bởi các ràng buộc phối hợp và tài chính nền tảng mà chữ U ngược nắm bắt.</w:t>
      </w:r>
    </w:p>
    <w:p>
      <w:pPr>
        <w:pStyle w:val="BodyText"/>
      </w:pPr>
      <w:r>
        <w:rPr>
          <w:bCs/>
          <w:b/>
        </w:rPr>
        <w:t xml:space="preserve">Thứ tư</w:t>
      </w:r>
      <w:r>
        <w:t xml:space="preserve">, nghiên cứu đóng góp về mặt phương pháp luận cho tài liệu IB về</w:t>
      </w:r>
      <w:r>
        <w:t xml:space="preserve"> </w:t>
      </w:r>
      <w:r>
        <w:rPr>
          <w:iCs/>
          <w:i/>
        </w:rPr>
        <w:t xml:space="preserve">kiểm định tính ổn định ngưỡng</w:t>
      </w:r>
      <w:r>
        <w:t xml:space="preserve"> </w:t>
      </w:r>
      <w:r>
        <w:t xml:space="preserve">bằng cách chứng minh giá trị của việc kết hợp ba thành phần: (a) các ước lượng riêng theo từng đợt khảo sát; (b) các kiểm định z Paternoster trên các hệ số riêng lẻ; và (c) các kiểm định F liên hợp trong các đặc tả ba chiều gộp. Sự tam giác hoá cung cấp phán quyết vững hơn bất kỳ kiểm định đơn lẻ nào, đặc biệt quan trọng khi tuyên bố thực chất phụ thuộc vào</w:t>
      </w:r>
      <w:r>
        <w:t xml:space="preserve"> </w:t>
      </w:r>
      <w:r>
        <w:rPr>
          <w:iCs/>
          <w:i/>
        </w:rPr>
        <w:t xml:space="preserve">sự không bác bỏ</w:t>
      </w:r>
      <w:r>
        <w:t xml:space="preserve"> </w:t>
      </w:r>
      <w:r>
        <w:t xml:space="preserve">của null. Quy trình báo cáo này có thể được áp dụng bởi các nghiên cứu tương lai kiểm định tính ổn định theo thời gian của các mối quan hệ phi tuyến trong các bối cảnh khác. Nó cũng bổ sung các khuyến nghị thực hành tốt nhất về phương pháp luận của Eden và Nielsen (2020), Antonakis et al. (2010), và Meyer et al. (2017).</w:t>
      </w:r>
    </w:p>
    <w:p>
      <w:pPr>
        <w:pStyle w:val="BodyText"/>
      </w:pPr>
      <w:r>
        <w:rPr>
          <w:bCs/>
          <w:b/>
        </w:rPr>
        <w:t xml:space="preserve">Lưu ý về mô thức DAI.</w:t>
      </w:r>
      <w:r>
        <w:t xml:space="preserve"> </w:t>
      </w:r>
      <w:r>
        <w:t xml:space="preserve">Phát hiện của bài báo hiện tại rằng</w:t>
      </w:r>
      <w:r>
        <w:t xml:space="preserve"> </w:t>
      </w:r>
      <m:oMath>
        <m:sSub>
          <m:e>
            <m:r>
              <m:rPr>
                <m:sty m:val="p"/>
              </m:rPr>
              <m:t>D</m:t>
            </m:r>
            <m:r>
              <m:rPr>
                <m:sty m:val="p"/>
              </m:rPr>
              <m:t>A</m:t>
            </m:r>
            <m:r>
              <m:rPr>
                <m:sty m:val="p"/>
              </m:rPr>
              <m:t>I</m:t>
            </m:r>
          </m:e>
          <m:sub>
            <m:r>
              <m:rPr>
                <m:nor/>
                <m:sty m:val="p"/>
              </m:rPr>
              <m:t>core</m:t>
            </m:r>
          </m:sub>
        </m:sSub>
      </m:oMath>
      <w:r>
        <w:t xml:space="preserve"> </w:t>
      </w:r>
      <w:r>
        <w:t xml:space="preserve">hoạt động như yếu tố dịch chuyển mức thay vì yếu tố thay đổi độ dốc nhất quán với đường cơ sở SME sản xuất trong tài liệu đặc thù Trung Quốc (Author Citation, 2026, JFAR), nơi điều tiết độ cong DAI cho kiểm định F null (p = 0,89). Trong bối cảnh thu nhập trung bình cao của Trung Quốc, hiện diện số Tầng 1 nâng cao cơ sở năng suất đồng đều nhưng không sửa đổi ràng buộc cấu trúc ở phần đuôi trên của cường độ xuất khẩu. Câu hỏi liệu áp dụng công nghệ số bậc cao (hợp thành Tầng 1+2) có đóng vai trò phụ thuộc mạnh hơn trong các bối cảnh thể chế khác nhau hay không được để lại cho nghiên cứu tương lai, khi công cụ WBES hỗ trợ đo lường như vậy.</w:t>
      </w:r>
    </w:p>
    <w:bookmarkEnd w:id="63"/>
    <w:bookmarkStart w:id="64" w:name="X4ea48d95139dbd41730383ae4a4d548effaef46"/>
    <w:p>
      <w:pPr>
        <w:pStyle w:val="Heading3"/>
      </w:pPr>
      <w:r>
        <w:t xml:space="preserve">5.6 Điều kiện biên</w:t>
      </w:r>
    </w:p>
    <w:p>
      <w:pPr>
        <w:pStyle w:val="FirstParagraph"/>
      </w:pPr>
      <w:r>
        <w:t xml:space="preserve">Các phát hiện bị giới hạn bởi một số điều kiện cần được làm rõ.</w:t>
      </w:r>
      <w:r>
        <w:t xml:space="preserve"> </w:t>
      </w:r>
      <w:r>
        <w:rPr>
          <w:bCs/>
          <w:b/>
        </w:rPr>
        <w:t xml:space="preserve">Thứ nhất</w:t>
      </w:r>
      <w:r>
        <w:t xml:space="preserve">, mô thức chữ U ngược được phát hiện trong khung doanh nghiệp tư nhân WBES và có thể không mở rộng đến các doanh nghiệp Trung Quốc niêm yết công khai, những doanh nghiệp đối mặt với các điều kiện quản lý, quản trị, và thị trường vốn khác.</w:t>
      </w:r>
      <w:r>
        <w:t xml:space="preserve"> </w:t>
      </w:r>
      <w:r>
        <w:rPr>
          <w:bCs/>
          <w:b/>
        </w:rPr>
        <w:t xml:space="preserve">Thứ hai</w:t>
      </w:r>
      <w:r>
        <w:t xml:space="preserve">, tuyên bố tính bền vững được kiểm định qua hai đợt khảo sát cách nhau 12 năm; liệu ngưỡng có ổn định qua các cửa sổ dài hơn hoặc các giai đoạn phụ khác nhau (ví dụ, trước so với sau COVID) là một câu hỏi thực nghiệm mà thiết kế hiện tại không thể trả lời.</w:t>
      </w:r>
      <w:r>
        <w:t xml:space="preserve"> </w:t>
      </w:r>
      <w:r>
        <w:rPr>
          <w:bCs/>
          <w:b/>
        </w:rPr>
        <w:t xml:space="preserve">Thứ ba</w:t>
      </w:r>
      <w:r>
        <w:t xml:space="preserve">, phát hiện tính ổn định ngưỡng đặc thù Trung Quốc; tài liệu quốc tế hoá–hiệu quả rộng hơn gợi ý sự biến thiên đa quốc gia đáng kể, và tính bền vững mà chúng tôi ghi nhận có thể không mở rộng đến các nền kinh tế mới nổi khác, một câu hỏi chúng tôi xác định cho tái lập WBES đa quốc gia trong tương lai.</w:t>
      </w:r>
      <w:r>
        <w:t xml:space="preserve"> </w:t>
      </w:r>
      <w:r>
        <w:rPr>
          <w:bCs/>
          <w:b/>
        </w:rPr>
        <w:t xml:space="preserve">Thứ tư</w:t>
      </w:r>
      <w:r>
        <w:t xml:space="preserve">, kết quả null về điều tiết năng lực có điều kiện trên các công cụ năng lực WBES; các chỉ báo phong phú hơn (tích hợp số Tầng 3–4, các thước đo cường độ R&amp;D sâu hơn) có thể vẫn tiết lộ hiệu ứng điều tiết độ cong mà các công cụ hiện tại không phát hiện được.</w:t>
      </w:r>
    </w:p>
    <w:bookmarkEnd w:id="64"/>
    <w:bookmarkEnd w:id="65"/>
    <w:bookmarkStart w:id="66" w:name="X034d0a9e594689c1c83bf20f4d68a2017baeb0a"/>
    <w:p>
      <w:pPr>
        <w:pStyle w:val="Heading2"/>
      </w:pPr>
      <w:r>
        <w:t xml:space="preserve">6. Hạn chế và hướng nghiên cứu tiếp theo</w:t>
      </w:r>
    </w:p>
    <w:p>
      <w:pPr>
        <w:pStyle w:val="FirstParagraph"/>
      </w:pPr>
      <w:r>
        <w:t xml:space="preserve">Bài báo này có sáu hạn chế chính.</w:t>
      </w:r>
    </w:p>
    <w:p>
      <w:pPr>
        <w:pStyle w:val="BodyText"/>
      </w:pPr>
      <w:r>
        <w:rPr>
          <w:bCs/>
          <w:b/>
        </w:rPr>
        <w:t xml:space="preserve">Thứ nhất và cơ bản nhất</w:t>
      </w:r>
      <w:r>
        <w:t xml:space="preserve">, dữ liệu vi mô WBES là các mặt cắt ngang lặp lại chứ không phải panel doanh nghiệp thực sự. Vì vậy, nghiên cứu không thể nhận dạng thay đổi trong nội bộ doanh nghiệp theo thời gian và không thể kiểm soát tính không đồng nhất không quan sát được không thay đổi theo thời gian (Antonakis et al., 2010; Eden &amp; Nielsen, 2020; Shaver, 2020). Ngôn ngữ liên hệ được áp dụng xuyên suốt phản ánh ràng buộc này và không nên được nới lỏng trong cách diễn giải. Do đó, phát hiện về tính bền vững cấu trúc H2b (Phần 4.3) nên được đọc như phát hiện về</w:t>
      </w:r>
      <w:r>
        <w:t xml:space="preserve"> </w:t>
      </w:r>
      <w:r>
        <w:rPr>
          <w:iCs/>
          <w:i/>
        </w:rPr>
        <w:t xml:space="preserve">tính tương tự cấu trúc mặt cắt ngang</w:t>
      </w:r>
      <w:r>
        <w:t xml:space="preserve"> </w:t>
      </w:r>
      <w:r>
        <w:t xml:space="preserve">qua hai mẫu lặp lại, không phải về quỹ đạo thời gian trong nội bộ doanh nghiệp. Một thiết kế panel với cùng các doanh nghiệp được phỏng vấn lại theo thời gian sẽ cho phép tuyên bố mạnh hơn về việc liệu ngưỡng của doanh nghiệp nhất định có ổn định khi năng lực và vị thế thị trường tiến hoá hay không. 217 doanh nghiệp panel chung cho cả 2012 và 2024 là nguồn lực chưa được khai thác đầy đủ cho mục đích này. Kết hợp chúng với đợt khảo sát 2032 tương lai (nếu WBES Trung Quốc tiếp tục mô thức mỗi thập kỷ) sẽ cho ra tập con 3 đợt khảo sát hỗ trợ ước lượng hiệu ứng cố định nội bộ doanh nghiệp. Đây được xác định là mở rộng ưu tiên cao một khi dữ liệu có sẵn.</w:t>
      </w:r>
    </w:p>
    <w:p>
      <w:pPr>
        <w:pStyle w:val="BodyText"/>
      </w:pPr>
      <w:r>
        <w:rPr>
          <w:bCs/>
          <w:b/>
        </w:rPr>
        <w:t xml:space="preserve">Thứ hai</w:t>
      </w:r>
      <w:r>
        <w:t xml:space="preserve">, bằng chứng vốn lưu động bổ sung bị giới hạn bởi các biến đại diện WBES có sẵn chéo đợt khảo sát. Các chỉ báo phơi nhiễm khoản phải thu trực tiếp nhất (k1c mua trên tín dụng và k2c bán trên tín dụng) có mặt trong bản 2012 nhưng vắng mặt trong bản 2024. Do đó, nghiên cứu không thể kiểm định kênh khoản phải thu chéo đợt khảo sát (Manova, 2013; Foley &amp; Manova, 2015; Niepmann &amp; Schmidt-Eisenlohr, 2017; Demir &amp; Javorcik, 2018). Việc xem xét điều kiện hoá vốn lưu động sử dụng các biến đại diện có sẵn (k7, k8/k82, chuỗi k3, k30, cộng với k1c/k2c chỉ năm 2012) không cho ra hỗ trợ vững cho cơ chế bẫy. Vì vậy, bài báo giữ cách diễn giải vốn lưu động như giải thích có cơ sở lý thuyết thay vì kênh thực nghiệm được thiết lập trực tiếp. Một kiểm định thực nghiệm phong phú hơn sẽ đòi hỏi dữ liệu báo cáo tài chính cấp doanh nghiệp (chu kỳ chuyển đổi tiền mặt, số ngày khoản phải thu chưa thanh toán, số ngày khoản phải trả chưa thanh toán, định giá tài trợ thương mại) từ Bureau van Dijk Orbis hoặc CSMAR China, hợp nhất với mẫu WBES. Công việc sơ bộ về hợp nhất như vậy đã bắt đầu nhưng nằm ngoài phạm vi của bài báo hiện tại.</w:t>
      </w:r>
    </w:p>
    <w:p>
      <w:pPr>
        <w:pStyle w:val="BodyText"/>
      </w:pPr>
      <w:r>
        <w:rPr>
          <w:bCs/>
          <w:b/>
        </w:rPr>
        <w:t xml:space="preserve">Thứ ba</w:t>
      </w:r>
      <w:r>
        <w:t xml:space="preserve">, đặc tả</w:t>
      </w:r>
      <w:r>
        <w:t xml:space="preserve"> </w:t>
      </w:r>
      <m:oMath>
        <m:sSub>
          <m:e>
            <m:r>
              <m:rPr>
                <m:sty m:val="p"/>
              </m:rPr>
              <m:t>D</m:t>
            </m:r>
            <m:r>
              <m:rPr>
                <m:sty m:val="p"/>
              </m:rPr>
              <m:t>A</m:t>
            </m:r>
            <m:r>
              <m:rPr>
                <m:sty m:val="p"/>
              </m:rPr>
              <m:t>I</m:t>
            </m:r>
          </m:e>
          <m:sub>
            <m:r>
              <m:rPr>
                <m:nor/>
                <m:sty m:val="p"/>
              </m:rPr>
              <m:t>core</m:t>
            </m:r>
          </m:sub>
        </m:sSub>
      </m:oMath>
      <w:r>
        <w:t xml:space="preserve"> </w:t>
      </w:r>
      <w:r>
        <w:t xml:space="preserve">được vận hành hoá bằng chỉ báo nhị phân duy nhất (hiện diện website riêng c22b). Đây là lựa chọn có chủ ý trong bản sửa đổi này để giữ cho các cấu trúc năng lực công nghệ và áp dụng công nghệ số trực giao về mặt vận hành (xem Phần 3.2). Tuy nhiên, lựa chọn này nhất thiết đo lường hiện diện số Tầng 1 thay vì hệ thống phân cấp chuyển đổi số đầy đủ trong các tổng quan gần đây (Vial, 2019; Verhoef et al., 2021; Hanelt et al., 2021; Volberda et al., 2021). Một thước đo áp dụng công nghệ số phong phú hơn kết hợp tích hợp quy trình Tầng 3–4 (quản lý nhất quán qua các đợt khảo sát) sẽ giúp tách bạch mô thức đặc thù đợt khảo sát ở Phần 4.4. Bảng câu hỏi BREADY 2024 thực sự bao gồm một số chỉ báo số phong phú hơn mà công cụ 2012 không có, ngăn cản tính so sánh chéo đợt khảo sát nghiêm ngặt cho các mục đó. Một phân tích độ vững chỉ năm 2024 sử dụng các chỉ báo phong phú hơn năm 2024 được xác định là ưu tiên cho lần sửa đổi tiếp theo.</w:t>
      </w:r>
    </w:p>
    <w:p>
      <w:pPr>
        <w:pStyle w:val="BodyText"/>
      </w:pPr>
      <w:r>
        <w:rPr>
          <w:bCs/>
          <w:b/>
        </w:rPr>
        <w:t xml:space="preserve">Thứ tư</w:t>
      </w:r>
      <w:r>
        <w:t xml:space="preserve">, khung mẫu WBES có thể đã trôi dạt qua các đợt khảo sát, ví dụ qua thay đổi trong cân bằng sản xuất–dịch vụ hoặc trong hồ sơ FDI của các doanh nghiệp được khảo sát. Mặc dù nghiên cứu kiểm soát ngành và sở hữu, không thể loại trừ sự trôi dạt khung mẫu dư thừa. Kiểm tra độ vững trên mẫu phụ chỉ ngành sản xuất (Phần 4.6) một phần giải quyết quan ngại này bằng cách tái ước lượng M2 trên tập con bị hạn chế theo ngành (N = 1.656 năm 2012; N = 1.062 năm 2024). Kết quả vẫn nhất quán về mặt định hướng với phân tích chính nhưng với các khoảng tin cậy rộng hơn đáng kể. Các kiểm tra trôi dạt bổ sung, gồm tái cân nặng mẫu 2024 để phù hợp với phân phối tầng ngành–vùng–quy mô của năm 2012, và khám phá các dịch chuyển phân phối tuổi và quy mô doanh nghiệp, được xác định là các ưu tiên cho lần sửa đổi tiếp theo.</w:t>
      </w:r>
    </w:p>
    <w:p>
      <w:pPr>
        <w:pStyle w:val="BodyText"/>
      </w:pPr>
      <w:r>
        <w:rPr>
          <w:bCs/>
          <w:b/>
        </w:rPr>
        <w:t xml:space="preserve">Thứ năm</w:t>
      </w:r>
      <w:r>
        <w:t xml:space="preserve">, thiết kế hiện tại hỗ trợ kiểm định mạnh các giả thuyết về</w:t>
      </w:r>
      <w:r>
        <w:t xml:space="preserve"> </w:t>
      </w:r>
      <w:r>
        <w:rPr>
          <w:iCs/>
          <w:i/>
        </w:rPr>
        <w:t xml:space="preserve">dịch chuyển đợt khảo sát</w:t>
      </w:r>
      <w:r>
        <w:t xml:space="preserve"> </w:t>
      </w:r>
      <w:r>
        <w:t xml:space="preserve">và</w:t>
      </w:r>
      <w:r>
        <w:t xml:space="preserve"> </w:t>
      </w:r>
      <w:r>
        <w:rPr>
          <w:iCs/>
          <w:i/>
        </w:rPr>
        <w:t xml:space="preserve">điều tiết theo năng lực</w:t>
      </w:r>
      <w:r>
        <w:t xml:space="preserve">, nhưng không phải kiểm định mạnh về</w:t>
      </w:r>
      <w:r>
        <w:t xml:space="preserve"> </w:t>
      </w:r>
      <w:r>
        <w:rPr>
          <w:iCs/>
          <w:i/>
        </w:rPr>
        <w:t xml:space="preserve">điều tiết động phụ thuộc năng lực</w:t>
      </w:r>
      <w:r>
        <w:t xml:space="preserve">. Mặc dù đặc tả ba chiều DOI ×</w:t>
      </w:r>
      <w:r>
        <w:t xml:space="preserve"> </w:t>
      </w:r>
      <m:oMath>
        <m:sSub>
          <m:e>
            <m:r>
              <m:t>D</m:t>
            </m:r>
          </m:e>
          <m:sub>
            <m:r>
              <m:t>2024</m:t>
            </m:r>
          </m:sub>
        </m:sSub>
      </m:oMath>
      <w:r>
        <w:t xml:space="preserve"> </w:t>
      </w:r>
      <w:r>
        <w:t xml:space="preserve">× Tech được báo cáo (Phần 4.4 và Phụ lục C), kiểm định F liên hợp không có ý nghĩa (F(2, 3.558) = 0,27, p = 0,760). Kết quả này có thể phản ánh sự vắng mặt thực sự của điều tiết động, hoặc sức mạnh không đủ do kích thước mẫu gộp và biến thiên Tech hẹp trong các chỉ báo năng lực WBES (Pierce &amp; Aguinis, 2013). Một tập dữ liệu với phạm vi đợt khảo sát phong phú hơn (3+ đợt khảo sát) và các công cụ năng lực chi tiết hơn, ví dụ kết hợp WBES với các chỉ báo chuyển đổi số cấp doanh nghiệp (Nambisan, Wright, &amp; Feldman, 2019), sẽ cung cấp kiểm định mạnh hơn. Phân tích sức mạnh chính thức cho hiệu ứng điều tiết ba chiều được để lại cho nghiên cứu tương lai sử dụng panel rộng hơn.</w:t>
      </w:r>
    </w:p>
    <w:p>
      <w:pPr>
        <w:pStyle w:val="BodyText"/>
      </w:pPr>
      <w:r>
        <w:rPr>
          <w:bCs/>
          <w:b/>
        </w:rPr>
        <w:t xml:space="preserve">Thứ sáu</w:t>
      </w:r>
      <w:r>
        <w:t xml:space="preserve">, tính khả quát hoá vượt khỏi mẫu doanh nghiệp tư nhân Trung Quốc không được kiểm định trong bài báo này. Các suy luận áp dụng cho hai đợt khảo sát Trung Quốc được nghiên cứu. Bất kỳ mở rộng nào sang các bối cảnh doanh nghiệp tư nhân nền kinh tế mới nổi khác là câu hỏi thực nghiệm cho nghiên cứu riêng biệt (Bausch &amp; Krist, 2007; Kirca et al., 2012; Marano et al., 2016; Schwens et al., 2018; Author Citation, 2025 ICBEF). Một bước tiếp theo tự nhiên là tái lập đa quốc gia của kiểm định tính ổn định ngưỡng trên dữ liệu WBES cho Việt Nam, Indonesia, Ấn Độ, và các bối cảnh châu Á mới nổi khác (Author Citation, 2026, VEFR). Mục tiêu là xác định liệu cách diễn giải cấu trúc bền vững có khả quát hoá vượt khỏi Trung Quốc hay vẫn là mô thức đặc thù quốc gia. Các kiểm định đa quốc gia như vậy cũng sẽ giải quyết tài liệu bối cảnh thể chế từ lâu đã nhấn mạnh các thách thức dịch chuyển đông–tây trong nghiên cứu IB (Filatotchev et al., 2020; Kano, Tsang, &amp; Yeung, 2020). Hạ tầng dữ liệu WBES được định vị độc đáo để hỗ trợ các tái lập như vậy. Lý do là công cụ khảo sát, khung mẫu, và sơ đồ cân nặng được hài hoà qua các quốc gia, làm cho so sánh tính ổn định ngưỡng đa quốc gia khả thi ở chi phí biên tương đối thấp.</w:t>
      </w:r>
    </w:p>
    <w:p>
      <w:pPr>
        <w:pStyle w:val="BodyText"/>
      </w:pPr>
      <w:r>
        <w:t xml:space="preserve">Nghiên cứu tương lai nên theo đuổi ba hướng: dữ liệu panel; các công cụ đo lường mở rộng (đặc biệt là vòng quay khoản phải thu, chu kỳ chuyển đổi tiền mặt, và định giá tài trợ thương mại; Manova, 2013; Demir &amp; Javorcik, 2018); và phân tích so sánh đa quốc gia về tuyên bố tính ổn định ngưỡng mà nghiên cứu xác định ở đây. Sự kết hợp của kết quả tính ổn định bất ngờ với tính không đồng nhất trong tài liệu quốc tế hoá–hiệu quả rộng hơn (Author Citation, 2025, ICBEF; Marano et al., 2016; Schwens et al., 2018) gợi ý một giả thuyết: vị trí và hình dạng của chữ U ngược có thể nhạy cảm với bối cảnh thể chế quốc gia hơn so với thay đổi thời gian nội bộ quốc gia. Giả thuyết này đáng được kiểm định trực tiếp với kho dữ liệu WBES đa quốc gia.</w:t>
      </w:r>
    </w:p>
    <w:p>
      <w:r>
        <w:pict>
          <v:rect style="width:0;height:1.5pt" o:hralign="center" o:hrstd="t" o:hr="t"/>
        </w:pict>
      </w:r>
    </w:p>
    <w:bookmarkEnd w:id="66"/>
    <w:bookmarkStart w:id="67" w:name="lời-cảm-ơn"/>
    <w:p>
      <w:pPr>
        <w:pStyle w:val="Heading2"/>
      </w:pPr>
      <w:r>
        <w:t xml:space="preserve">Lời cảm ơn</w:t>
      </w:r>
    </w:p>
    <w:p>
      <w:pPr>
        <w:pStyle w:val="FirstParagraph"/>
      </w:pPr>
      <w:r>
        <w:t xml:space="preserve">Nguồn: World Bank Enterprise Surveys,</w:t>
      </w:r>
      <w:r>
        <w:t xml:space="preserve"> </w:t>
      </w:r>
      <w:hyperlink r:id="rId33">
        <w:r>
          <w:rPr>
            <w:rStyle w:val="Hyperlink"/>
          </w:rPr>
          <w:t xml:space="preserve">www.enterprisesurveys.org</w:t>
        </w:r>
      </w:hyperlink>
      <w:r>
        <w:t xml:space="preserve">. Chúng tôi cảm ơn Đơn vị Phân tích Doanh nghiệp của Nhóm Chỉ số Toàn cầu thuộc Khối Kinh tế Phát triển của World Bank vì đã cung cấp dữ liệu. Người sử dụng dữ liệu xác nhận rằng người thu thập dữ liệu gốc, nhà phân phối dữ liệu được uỷ quyền, và cơ quan tài trợ liên quan không chịu trách nhiệm về việc sử dụng dữ liệu hoặc về các diễn giải hay suy luận dựa trên các sử dụng đó. Các phát hiện, diễn giải, và kết luận được trình bày trong bài báo này hoàn toàn thuộc về các tác giả và không nhất thiết đại diện cho quan điểm của Nhóm World Bank, các Giám đốc Điều hành của họ, hoặc các chính phủ mà họ đại diện.</w:t>
      </w:r>
    </w:p>
    <w:p>
      <w:pPr>
        <w:pStyle w:val="BodyText"/>
      </w:pPr>
      <w:r>
        <w:t xml:space="preserve">Các tác giả không nhận được bất kỳ khoản tài trợ cụ thể nào từ bất kỳ cơ quan tài trợ nào trong khu vực công, thương mại, hoặc phi lợi nhuận cho nghiên cứu, tác giả, hoặc xuất bản bài báo này. Các tác giả tuyên bố không có xung đột lợi ích.</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 H., Sun, P., &amp; Li, J. (2024). The longer, the farther? The internationalization of Chinese firms.</w:t>
      </w:r>
      <w:r>
        <w:t xml:space="preserve"> </w:t>
      </w:r>
      <w:r>
        <w:rPr>
          <w:iCs/>
          <w:i/>
        </w:rPr>
        <w:t xml:space="preserve">Chinese Management Studies</w:t>
      </w:r>
      <w:r>
        <w:t xml:space="preserve">,</w:t>
      </w:r>
      <w:r>
        <w:t xml:space="preserve"> </w:t>
      </w:r>
      <w:r>
        <w:rPr>
          <w:iCs/>
          <w:i/>
        </w:rPr>
        <w:t xml:space="preserve">18</w:t>
      </w:r>
      <w:r>
        <w:t xml:space="preserve">(3), 821–846.</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Sun, Z., Wang, W., &amp; Wang, W. (2023). Theorizing the relationship between the digital economy and firm productivity: The idiosyncrasies of firm-specific contexts.</w:t>
      </w:r>
      <w:r>
        <w:t xml:space="preserve"> </w:t>
      </w:r>
      <w:r>
        <w:rPr>
          <w:iCs/>
          <w:i/>
        </w:rPr>
        <w:t xml:space="preserve">Technological Forecasting and Social Change</w:t>
      </w:r>
      <w:r>
        <w:t xml:space="preserve">,</w:t>
      </w:r>
      <w:r>
        <w:t xml:space="preserve"> </w:t>
      </w:r>
      <w:r>
        <w:rPr>
          <w:iCs/>
          <w:i/>
        </w:rPr>
        <w:t xml:space="preserve">189</w:t>
      </w:r>
      <w:r>
        <w:t xml:space="preserve">, 122353.</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Wang, Z., Wang, Y., &amp; Li, C. (2025). Internationalization rhythm and corporate innovation performance in an emerging market.</w:t>
      </w:r>
      <w:r>
        <w:t xml:space="preserve"> </w:t>
      </w:r>
      <w:r>
        <w:rPr>
          <w:iCs/>
          <w:i/>
        </w:rPr>
        <w:t xml:space="preserve">Management Decision</w:t>
      </w:r>
      <w:r>
        <w:t xml:space="preserve">,</w:t>
      </w:r>
      <w:r>
        <w:t xml:space="preserve"> </w:t>
      </w:r>
      <w:r>
        <w:rPr>
          <w:iCs/>
          <w:i/>
        </w:rPr>
        <w:t xml:space="preserve">63</w:t>
      </w:r>
      <w:r>
        <w:t xml:space="preserve">(3), 712–738.</w:t>
      </w:r>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p>
      <w:pPr>
        <w:pStyle w:val="FirstParagraph"/>
      </w:pPr>
      <w:r>
        <w:t xml:space="preserve">Zhou, H., Liu, X., &amp; Chen, Y. (2025). Balancing export intensity and innovation: Uncovering the inverted-U relationship in Chinese manufacturing firms.</w:t>
      </w:r>
      <w:r>
        <w:t xml:space="preserve"> </w:t>
      </w:r>
      <w:r>
        <w:rPr>
          <w:iCs/>
          <w:i/>
        </w:rPr>
        <w:t xml:space="preserve">Economic Analysis and Policy</w:t>
      </w:r>
      <w:r>
        <w:t xml:space="preserve">,</w:t>
      </w:r>
      <w:r>
        <w:t xml:space="preserve"> </w:t>
      </w:r>
      <w:r>
        <w:rPr>
          <w:iCs/>
          <w:i/>
        </w:rPr>
        <w:t xml:space="preserve">85</w:t>
      </w:r>
      <w:r>
        <w:t xml:space="preserve">, 412–428.</w:t>
      </w:r>
    </w:p>
    <w:bookmarkEnd w:id="108"/>
    <w:bookmarkEnd w:id="10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2026-05-21T10:12:25Z</dcterms:created>
  <dcterms:modified xsi:type="dcterms:W3CDTF">2026-05-21T10:12:25Z</dcterms:modified>
</cp:coreProperties>
</file>

<file path=docProps/custom.xml><?xml version="1.0" encoding="utf-8"?>
<Properties xmlns="http://schemas.openxmlformats.org/officeDocument/2006/custom-properties" xmlns:vt="http://schemas.openxmlformats.org/officeDocument/2006/docPropsVTypes"/>
</file>