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liệu mối quan hệ quốc tế hoá-hiệu quả doanh nghiệp có giữ vững trên một tập hợp các nền kinh tế châu Á và Thái Bình Dương đa dạng về thể chế hay không. Đồng thời, nghiên cứu xác định các điều kiện giúp doanh nghiệp chuyển hoá cường độ xuất khẩu thành hiệu quả sản xuất.</w:t>
      </w:r>
    </w:p>
    <w:p>
      <w:pPr>
        <w:pStyle w:val="BodyText"/>
      </w:pPr>
      <w:r>
        <w:rPr>
          <w:bCs/>
          <w:b/>
        </w:rPr>
        <w:t xml:space="preserve">Thiết kế / phương pháp luận / cách tiếp cận.</w:t>
      </w:r>
      <w:r>
        <w:t xml:space="preserve"> </w:t>
      </w:r>
      <w:r>
        <w:t xml:space="preserve">Nghiên cứu sử dụng vi dữ liệu từ 91.982 doanh nghiệp tại 49 nền kinh tế và 102 đợt khảo sát quốc gia-năm thuộc Khảo sát Doanh nghiệp của Ngân hàng Thế giới (World Bank Enterprise Survey, WBES) giai đoạn 2003-2025. Phạm vi bao trùm cả sáu nhóm chế độ theo khung Biến thiên Chế độ Thể chế (Institutional Context Regime Variation, ICRV). Nghiên cứu ước lượng một chuỗi mô hình phân cấp ordinary least squares (OLS) với sai số chuẩn vững HC1 và các đặc tả tương tác ba chiều.</w:t>
      </w:r>
    </w:p>
    <w:p>
      <w:pPr>
        <w:pStyle w:val="BodyText"/>
      </w:pPr>
      <w:r>
        <w:rPr>
          <w:bCs/>
          <w:b/>
        </w:rPr>
        <w:t xml:space="preserve">Kết quả nghiên cứu.</w:t>
      </w:r>
      <w:r>
        <w:t xml:space="preserve"> </w:t>
      </w:r>
      <w:r>
        <w:t xml:space="preserve">Ba phát hiện xuất hiện. Thứ nhất, mối quan hệ I-P có dạng chữ U ngược vững chắc với điểm ngưỡng ở khoảng 36% doanh thu xuất khẩu trên tổng doanh thu (kiểm định Lind-Mehlum p &lt; ,001). Mô hình điều tiết ba chiều đầy đủ xác nhận điểm ngưỡng 34,6%, p = ,002. Thứ hai, Chỉ số Áp dụng Số (Digital Adoption Index, DAI) vừa nâng mức hiệu quả vừa tái định hình đường cong I-P một cách đáng kể. DAI tạo ra lợi suất nhánh lên bị nén ở cường độ xuất khẩu thấp và suy giảm hiệu suất giảm bớt ở cường độ xuất khẩu cao. Thứ ba, chế độ thể chế ICRV điều tiết cả độ dốc lẫn độ cong một cách hệ thống, với lợi suất số trên đơn vị mạnh hơn trong môi trường thể chế yếu hơn. Chỉ số Năng lực Công nghệ (Technological Capability Index, TCI) nâng mức hiệu quả nhưng không tái tạo đường cong. Kinh nghiệm nhà quản trị và nhà quản trị nữ cải thiện hiệu quả.</w:t>
      </w:r>
    </w:p>
    <w:p>
      <w:pPr>
        <w:pStyle w:val="BodyText"/>
      </w:pPr>
      <w:r>
        <w:rPr>
          <w:bCs/>
          <w:b/>
        </w:rPr>
        <w:t xml:space="preserve">Tính mới / đóng góp.</w:t>
      </w:r>
      <w:r>
        <w:t xml:space="preserve"> </w:t>
      </w:r>
      <w:r>
        <w:t xml:space="preserve">Nghiên cứu cung cấp một giải pháp súc tích cho sự không đồng nhất kéo dài trong các phát hiện I-P ở châu Á. Quan hệ luôn có dạng chữ U ngược, nhưng chất lượng thể chế và năng lực số cùng nhau xác định vị trí điểm ngưỡng. Pool 49 nền kinh tế là quy mô lớn nhất của một kiểm định I-P dựa trên WBES ở châu Á và Thái Bình Dương từ trước đến nay. Kết quả thiết lập điểm chuẩn để hiệu chỉnh các kết quả cụ thể của Việt Nam, Singapore, Trung Quốc.</w:t>
      </w:r>
    </w:p>
    <w:p>
      <w:pPr>
        <w:pStyle w:val="BodyText"/>
      </w:pPr>
      <w:r>
        <w:rPr>
          <w:bCs/>
          <w:b/>
        </w:rPr>
        <w:t xml:space="preserve">Từ khoá:</w:t>
      </w:r>
      <w:r>
        <w:t xml:space="preserve"> </w:t>
      </w:r>
      <w:r>
        <w:t xml:space="preserve">quốc tế hoá-hiệu quả doanh nghiệp; chữ U ngược; chế độ thể chế; năng lực số; châu Á-Thái Bình Dương; Khảo sát Doanh nghiệp của Ngân hàng Thế giới.</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Advanced Innovation) đến ~55% (Nhóm V–VI, Frontier/SIDS).</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Tuy nhiên, phương sai giữa các nghiên cứu vượt xa mức sai số lấy mẫu có thể giải thích. Tại châu Á, khu vực chiếm hơn một nửa xuất khẩu hàng hóa toàn cầu (UNCTAD, 2023),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tuy nhiên, các kiểm định thực nghiệm đồng thời trên các nền kinh tế châu Á đa dạng về thể chế vẫn còn hiếm.</w:t>
      </w:r>
    </w:p>
    <w:p>
      <w:pPr>
        <w:pStyle w:val="BodyText"/>
      </w:pPr>
      <w:r>
        <w:t xml:space="preserve">Bài viết này giải quyết khoảng trống đó. Nghiên cứu gộp 91.982 quan sát doanh nghiệp từ 49 nền kinh tế châu Á và Thái Bình Dương giai đoạn 2003-2025, được chuẩn hóa từ WBES. Mẫu bao trùm cả sáu nhóm chế độ ICRV. Phạm vi trải dài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Mẫu cũng bao gồm các nền kinh tế tài nguyên tiên tiến Vùng Vịnh (Bahrain, Kuwait, Qatar, Brunei, Saudi Arabia, Oman). Khung ICRV là nền tảng xuyên suốt chương trình luận án tiến sĩ mà nghiên cứu này là một phần.</w:t>
      </w:r>
    </w:p>
    <w:p>
      <w:pPr>
        <w:pStyle w:val="BodyText"/>
      </w:pPr>
      <w:r>
        <w:t xml:space="preserve">Đóng góp của nghiên cứu gồm ba điểm. Thứ nhất, nghiên cứu cung cấp kiểm định lớn nhất dựa trên WBES về giả thuyết I-P hình chữ U ngược tại châu Á. Kết quả xác nhận điểm ngưỡng ở khoảng 36% cường độ doanh số nước ngoài trên tất cả các đặc tả (N = 84.910-29.840), vững ngay cả trong mô hình điều tiết ba chiều đầy đủ (M11: TP = 34,6%, LM p = ,002). Thứ hai, nghiên cứu ghi nhận DAI là nhân tố điều tiết năng lực chính định hình lại đường cong I-P. DAI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nghiên cứu ghi nhận chế độ thể chế (nhóm ICRV) điều tiết có hệ thống cả độ dốc lẫn độ cong của hàm I-P.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Xfa688218e28e701d32bf8234b2f10651ad79e1f"/>
    <w:p>
      <w:pPr>
        <w:pStyle w:val="Heading2"/>
      </w:pPr>
      <w:r>
        <w:t xml:space="preserve">2. Khung Lý Thuyết và Giả Thuyết</w:t>
      </w:r>
    </w:p>
    <w:bookmarkStart w:id="23"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RBV) (Barney, 1991; Wernerfelt, 1984) định vị các năng lực cấp doanh nghiệp (công nghệ, số và quản lý)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dữ liệu ủng hộ nhất quán hơn cho hình chữ U ngược. Đây là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1357cdf98c5bb0f71cc7d1b83c2965e638ffe33"/>
    <w:p>
      <w:pPr>
        <w:pStyle w:val="Heading3"/>
      </w:pPr>
      <w:r>
        <w:t xml:space="preserve">2.3 Năng Lực Công Nghệ như một Nhân Tố Khuếch Đại Đường Cong (H2)</w:t>
      </w:r>
    </w:p>
    <w:p>
      <w:pPr>
        <w:pStyle w:val="FirstParagraph"/>
      </w:pPr>
      <w:r>
        <w:t xml:space="preserve">Năng lực công nghệ được đo bằng chỉ số tổng hợp gồm chứng nhận chất lượng, áp dụng công nghệ nước ngoài, đổi mới quy trình và R&amp;D. Năng lực này nâng cao năng lực hấp thụ (Cohen &amp; Levinthal, 1990), cho phép doanh nghiệp trích xuất giá trị hiệu quả lớn hơn trên mỗi đơn vị tiếp xúc xuất khẩu. Về cơ bản, nghiên cứu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5910d99037b244b4822bfa563b9e627a3df0793"/>
    <w:p>
      <w:pPr>
        <w:pStyle w:val="Heading3"/>
      </w:pPr>
      <w:r>
        <w:t xml:space="preserve">2.4 Áp Dụng Số như một Nhân Tố Nâng Cao Mức Độ (H3)</w:t>
      </w:r>
    </w:p>
    <w:p>
      <w:pPr>
        <w:pStyle w:val="FirstParagraph"/>
      </w:pPr>
      <w:r>
        <w:t xml:space="preserve">Áp dụng số (đo bằng sự hiện diện website Tầng 1 và tỷ phần thanh toán điện tử Tầng 2)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vai trò định hình đường cong của DAI bị suy giảm. Trên mẫu đa nền kinh tế gộp, nghiên cứu kỳ vọng DAI nâng cao mức hiệu quả rộng rãi trong mẫu (hiệu ứng mức độ).</w:t>
      </w:r>
    </w:p>
    <w:p>
      <w:pPr>
        <w:pStyle w:val="BodyText"/>
      </w:pPr>
      <w:r>
        <w:t xml:space="preserve">Trong một mô hình đầy đủ đặc tả cũng kiểm soát chất lượng quản lý (tương quan với áp dụng số), phương sai DAI còn lại có thể tiết lộ một hiệu ứng đường cong bổ sung năng lực. Các doanh nghiệp được trang bị số hóa ở mức FSTS thấp đối mặt với chi phí áp dụng chìm nén lại năng suất ngắn hạn. Trong khi đó,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X0885e8cb441548567aa26560bfa772dfc707e48"/>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tất cả đều liên quan trong các thị trường xuất khẩu không đồng nhất về thể chế (Richard et al., 2019). Nghiên cứu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đường cong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e8806808f6bc97c98ffb475935bfe7b93d7ba0c"/>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Nghiên cứu đo lường chế độ thể chế thông qua hệ thống phân loại ICRV được phát triển trong luận án. Hệ thống gồm sáu nhóm, từ Nhóm I (Advanced Innovation, Đổi mới tiên tiến: Singapore, Hàn Quốc, Đài Loan, Israel, Síp) đến Nhóm VI (SIDS: Vanuatu, Quần đảo Solomon, Timor-Leste). Số nhóm ICRV cao hơn biểu thị thể chế yếu hơn. Nghiên cứu kỳ vọng các tương tác FSTS×ICRV dương tính và FSTS²×ICRV âm tính trong Nhóm III-VI so với Nhóm I. Quan sát này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X04a517dd5a14ea73a401e4e8e76b17647fe8cfb"/>
    <w:p>
      <w:pPr>
        <w:pStyle w:val="Heading2"/>
      </w:pPr>
      <w:r>
        <w:t xml:space="preserve">3. Dữ Liệu và Phương Pháp</w:t>
      </w:r>
    </w:p>
    <w:bookmarkStart w:id="30" w:name="X84ced60e62ea90934832891098abf01a4d917e5"/>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Nghiên cứu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Đợt này đóng góp cho M2 nhưng bị loại khỏi M3+ do thiếu biến kiểm soát. Thiết kế WBES là mặt cắt ngang trong mỗi đợt, với các công cụ chuẩn hóa đảm bảo định nghĩa biến chung qua các nền kinh tế và năm. Nghiên cứu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chọn file lớn nhất theo cặp (quốc gia, năm) khi tồn tại nhiều bản tải lên.</w:t>
      </w:r>
    </w:p>
    <w:bookmarkEnd w:id="30"/>
    <w:bookmarkStart w:id="31" w:name="X4adda76bac506973b30600af8334eb2d936b64d"/>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Nghiên cứu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(b) điểm ngưỡng nằm trong phạm vi quan sát FSTS; và (c) độ dốc tại các cực thỏa mãn dự đoán chiều. Nghiên cứu báo cáo điểm ngưỡng là: TP = −β₁ / (2β₂) + mean(FSTS), trong đó β₁ và β₂ được ước lượng trên thang đo FSTS_c đã căn giữa. Kết quả được biểu thị như một tỷ lệ (0-1) của tổng doanh số.</w:t>
      </w:r>
    </w:p>
    <w:p>
      <w:pPr>
        <w:pStyle w:val="BodyText"/>
      </w:pPr>
      <w:r>
        <w:t xml:space="preserve">Với các kiểm định điều tiết (M7-M11), nghiên cứu bao gồm các số hạng tương tác FSTS×biến_điều_tiết và FSTS²×biến_điều_tiết. Ý nghĩa thống kê chung của hai số hạng tương tác được kiểm định bằng kiểm định F. Báo cáo bao gồm cả giá trị p chung lẫn giá trị p hệ số riêng lẻ.</w:t>
      </w:r>
    </w:p>
    <w:bookmarkEnd w:id="32"/>
    <w:bookmarkStart w:id="33" w:name="Xae8378676e5b2087f2c831a0063b0189cd3c5f5"/>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Xc1528237297c4ce8999628372a6b48494fd6214"/>
    <w:p>
      <w:pPr>
        <w:pStyle w:val="Heading2"/>
      </w:pPr>
      <w:r>
        <w:t xml:space="preserve">4. Kết Quả</w:t>
      </w:r>
    </w:p>
    <w:bookmarkStart w:id="35" w:name="X270692b7fb857c24731b5eb1b9637ba60d98ddf"/>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phản ánh sự khác biệt doanh số danh nghĩa chưa điều chỉnh PPP). Các tương quan cặp giữa các biến trọng tâm ở mức khiêm tốn (|r| &lt; ,15 cho tất cả các cặp). Các hệ số phóng đại phương sai trong mô hình đầy đủ dưới 3,5, loại trừ mối lo ngại về đa cộng tuyến.</w:t>
      </w:r>
    </w:p>
    <w:bookmarkEnd w:id="35"/>
    <w:bookmarkStart w:id="36" w:name="Xafda91cb974abd90eed7de818c67b363cb2aa12"/>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w:t>
      </w:r>
    </w:p>
    <w:p>
      <w:pPr>
        <w:pStyle w:val="BodyText"/>
      </w:pPr>
      <w:r>
        <w:t xml:space="preserve">(C1) β₁ = +1,316 (p &lt; ,001), xác nhận nhánh lên dương tính. (C2) β₂ = −1,810 (p &lt; ,001), xác nhận độ lõm. (C3) Điểm ngưỡng TP* ≈ 36,4% nằm trong phạm vi quan sát FSTS [0%, 100%]. (C4) Hiệu ứng biên của quốc tế hóa là dương tính tại ranh giới dữ liệu thấp hơn (FSTS ≈ 0%, độ dốc ≈ +1,32) và âm tính tại ranh giới trên (FSTS ≈ 100%, độ dốc ≈ −2,30). Các dấu ngược chiều được xác nhận bởi kiểm định u Lind-Mehlum (2010) (p chung &lt; ,001).</w:t>
      </w:r>
    </w:p>
    <w:p>
      <w:pPr>
        <w:pStyle w:val="BodyText"/>
      </w:pPr>
      <w:r>
        <w:t xml:space="preserve">Hình chữ U ngược vẫn có ý nghĩa khi thêm biến kiểm soát (M3: TP = 33,8%, LM p &lt; ,001). Khi FE quốc gia-năm hấp thụ toàn bộ không đồng nhất quốc gia không quan sát được biến thiên theo thời gian, kết quả tương tự (M5: TP = 40,0%, LM p &lt; ,001, adjR² = ,677). Sự nhất quán của điểm ngưỡng qua M2, M3 và M5, dao động từ 33,8% đến 40,0%,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X53c589b4d33e29a73a0daf35256d2e91a862d65"/>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TCI cao hơn nâng cao hiệu quả cơ sở.</w:t>
      </w:r>
    </w:p>
    <w:p>
      <w:pPr>
        <w:numPr>
          <w:ilvl w:val="0"/>
          <w:numId w:val="1002"/>
        </w:numPr>
        <w:pStyle w:val="Compact"/>
      </w:pPr>
      <w:r>
        <w:t xml:space="preserve">FSTS×TCI: β = −0,144 (NS),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X8e61cb906979617b5dc32b886e41f775d7b1ed7"/>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Kết quả nhất quán với phần bù hiệu quả khoảng 17% cho các doanh nghiệp hoạt động số (exp(0,155) − 1 ≈ 17%). Đáng chú ý là cả hai số hạng tương tác DAI đều có ý nghĩa thống kê trong M8: FSTS×DAI = −0,614 (p &lt; ,001, ***) và FSTS²×DAI = +0,766 (p = ,001, **).</w:t>
      </w:r>
    </w:p>
    <w:p>
      <w:pPr>
        <w:pStyle w:val="BodyText"/>
      </w:pPr>
      <w:r>
        <w:t xml:space="preserve">Mẫu tương tác (FSTS×DAI âm tính và FSTS²×DAI dương tính)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Tuy nhiên, suy giảm hiệu quả nhỏ hơn đáng kể ở mức FSTS cao (hạ tầng số hỗ trợ phối hợp xuyên biên giới ở quy mô). Kết quả này mạnh hơn trong M9 với biến kiểm soát nhà quản lý: FSTS×DAI = −0,780 (p &lt; ,001, ***) và FSTS²×DAI = +0,994 (p &lt; ,001, ***).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nén nhánh lên và giảm nhẹ suy giảm hiệu quả ở mức FSTS cao, ngay cả trước khi kiểm soát đặc điểm nhà quản lý. Đây là phát hiện điều tiết năng lực chính của nghiên cứu.</w:t>
      </w:r>
    </w:p>
    <w:bookmarkEnd w:id="38"/>
    <w:bookmarkStart w:id="39" w:name="X62e6337d2353a0d2bc94272c24cf2aa1a69f676"/>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Phát hiện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X7a24195941cbfd40f0a617f76e0750201220859"/>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một kết quả đáng chú ý. Khi kiểm soát TCI, DAI và đặc điểm doanh nghiệp,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Các kết quả này cho thấy độ dốc lên của đường cong I-P dốc hơn ở các nền kinh tế thể chế yếu hơn (nhóm ICRV cao hơn), nhưng độ dốc xuống cũng vậy.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cho thấy: với các nền kinh tế Nhóm I (Advanced Innovation, Đổi mới tiên tiến), điểm ngưỡng ước tính là khoảng 28%; với Nhóm V-VI (Frontier/SIDS), điểm ngưỡng ước tính là khoảng 55%. Mẫu này nhất quán với việc các doanh nghiệp trong các nền kinh tế thể chế tiên tiến thu hồi chi phí quốc tế hóa ở mức cường độ xuất khẩu thấp hơn. Trong khi đó,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Xf02a6301555d1cf183f39fea0af0e1c0f2e5346"/>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Kết quả nhất quán với dự đoán CDCM rằng năng lực số cung cấp hiệu ứng hiệu quả mạnh hơn trên mỗi đơn vị trong môi trường thể chế yếu hơn. Số hạng ba chiều FSTS×DAI×ICRV (β = −0,001, NS) không có ý nghĩa thống kê. Phát hiện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X3923f9545aa9c992e02ccb4472a40e02686b4e2"/>
    <w:p>
      <w:pPr>
        <w:pStyle w:val="Heading2"/>
      </w:pPr>
      <w:r>
        <w:t xml:space="preserve">5. Thảo Luận</w:t>
      </w:r>
    </w:p>
    <w:bookmarkStart w:id="43" w:name="X52a456ff741b3aa636123e3e3d4e965f1904974"/>
    <w:p>
      <w:pPr>
        <w:pStyle w:val="Heading3"/>
      </w:pPr>
      <w:r>
        <w:t xml:space="preserve">5.1 Giải Quyết Tính Không Đồng Nhất Qua Các Nghiên Cứu</w:t>
      </w:r>
    </w:p>
    <w:p>
      <w:pPr>
        <w:pStyle w:val="FirstParagraph"/>
      </w:pPr>
      <w:r>
        <w:t xml:space="preserve">Phát hiện trung tâm là hình chữ U ngược với điểm ngưỡng khoảng 36% cường độ doanh số nước ngoài. Phát hiện vững trên 49 nền kinh tế và sáu nhóm ICRV. Kết quả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nghiên cứu cung cấp sự tinh chỉnh thêm: bản thân điểm ngưỡng biến động từ khoảng 28% (Nhóm I) đến 55% (Nhóm V-VI). Do đó, các nghiên cứu tại các nền kinh tế tiên tiến về thể chế có khả năng tìm thấy các hiệu ứng đỉnh sớm hơn so với các nghiên cứu tại các nền kinh tế tiên phong.</w:t>
      </w:r>
    </w:p>
    <w:bookmarkEnd w:id="43"/>
    <w:bookmarkStart w:id="44" w:name="Xd51eb374dfcd7d71a0b4c49daadfb7b6168cd9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Kết quả nhất quán với luận điểm năng lực hấp thụ (Cohen &amp; Levinthal, 1990). Các doanh nghiệp TCI cao xử lý các tín hiệu thị trường quốc tế hiệu quả hơn. Tuy nhiên,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X97d3aad815c0c774f5983afb9841b2729632868"/>
    <w:p>
      <w:pPr>
        <w:pStyle w:val="Heading3"/>
      </w:pPr>
      <w:r>
        <w:t xml:space="preserve">5.3 Áp Dụng Số và Tính Bổ Sung Thể Chế</w:t>
      </w:r>
    </w:p>
    <w:p>
      <w:pPr>
        <w:pStyle w:val="FirstParagraph"/>
      </w:pPr>
      <w:r>
        <w:t xml:space="preserve">Việc tái tạo đường cong bổ sung năng lực tìm thấy cho DAI trong M9, cùng với tương tác DAI×ICRV có ý nghĩa thống kê (β = +0,060, p = ,012) trong M11, cung cấp bằng chứng đa nền kinh tế đầu tiên cho dự đoán CDCM. Kết quả này khẳng định các hiệu ứng hiệu quả của năng lực số phụ thuộc bối cảnh. Trong các nền kinh tế thể chế mạnh hơn (Nhóm I-II), hạ tầng số gần phổ quát; do đó, hạ tầng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X6b31c401d1ad2511815510eb77b10f681f43f65"/>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Phạm vi trải dài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một trong những nền kinh tế Nhóm IV ICRV lớn nhất trong mẫu, tỷ lệ tham gia lực lượng lao động nữ-trên-nam là 88,61% (World Bank Prosperity Data360, 2025).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nghiên cứu ước lượng. Ở cấp độ ngành, IFC (2022) cũng ghi nhận rằng lãnh đạo nữ trong ngân hàng Việt Nam liên quan đến quản lý rủi ro và định hướng các bên liên quan tốt hơn. Đây là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X1db92cff7de439f7ce5498ad6566fddb73002b1"/>
    <w:p>
      <w:pPr>
        <w:pStyle w:val="Heading3"/>
      </w:pPr>
      <w:r>
        <w:t xml:space="preserve">5.5 Hạn Chế</w:t>
      </w:r>
    </w:p>
    <w:p>
      <w:pPr>
        <w:pStyle w:val="FirstParagraph"/>
      </w:pPr>
      <w:r>
        <w:t xml:space="preserve">Ba ràng buộc suy luận giới hạn các phát hiện này. Thứ nhất, WBES là thiết kế mặt cắt ngang. Thuật ngữ "hiệu quả" 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Xb6340858ada32986909ac4c0a6855391782490d"/>
    <w:p>
      <w:pPr>
        <w:pStyle w:val="Heading2"/>
      </w:pPr>
      <w:r>
        <w:t xml:space="preserve">6. Kết Luận</w:t>
      </w:r>
    </w:p>
    <w:p>
      <w:pPr>
        <w:pStyle w:val="FirstParagraph"/>
      </w:pPr>
      <w:r>
        <w:t xml:space="preserve">Nghiên cứu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nền kinh tế Nhóm IV ICRV lớn nhất trong mẫu,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rằng các doanh nghiệp Nhóm IV phải đối mặt với hình phạt nhánh xuống dốc hơn,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nghiên cứu.</w:t>
      </w:r>
    </w:p>
    <w:p>
      <w:pPr>
        <w:pStyle w:val="BodyText"/>
      </w:pPr>
      <w:r>
        <w:t xml:space="preserve">Nghiên cứu tương lai nên tận dụng các chiều bảng đang phát triển của WBES để thiết lập quan hệ nhân quả. Đồng thời, các nghiên cứu này nên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74"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 ba chiều FSTS×DAI×ICRV = −0,001 (NS), mgr_experience = +0,009**, FSTS×mgr = −0,019†, mgr_female = +0,187***, female_owner = +0,128**.</w:t>
      </w:r>
    </w:p>
    <w:p>
      <w:r>
        <w:pict>
          <v:rect style="width:0;height:1.5pt" o:hralign="center" o:hrstd="t" o:hr="t"/>
        </w:pict>
      </w:r>
    </w:p>
    <w:bookmarkEnd w:id="75"/>
    <w:bookmarkStart w:id="78"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w:t>
      </w:r>
      <w:r>
        <w:rPr>
          <w:iCs/>
          <w:i/>
        </w:rPr>
        <w:t xml:space="preserve"> </w:t>
      </w:r>
      <w:hyperlink r:id="rId76">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Kỹ thuật - Công nghệ Vĩnh Long,</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2026-05-21T10:13:48Z</dcterms:created>
  <dcterms:modified xsi:type="dcterms:W3CDTF">2026-05-21T10:13:48Z</dcterms:modified>
</cp:coreProperties>
</file>

<file path=docProps/custom.xml><?xml version="1.0" encoding="utf-8"?>
<Properties xmlns="http://schemas.openxmlformats.org/officeDocument/2006/custom-properties" xmlns:vt="http://schemas.openxmlformats.org/officeDocument/2006/docPropsVTypes"/>
</file>