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 Upper-middle (6 nước)</w:t>
      </w:r>
      <w:r>
        <w:t xml:space="preserve">: Trung Quốc, Malaysia, Thái Lan, Kazakhstan, Armenia, Georgia.</w:t>
      </w:r>
    </w:p>
    <w:p>
      <w:pPr>
        <w:numPr>
          <w:ilvl w:val="0"/>
          <w:numId w:val="1006"/>
        </w:numPr>
        <w:pStyle w:val="Compact"/>
      </w:pPr>
      <w:r>
        <w:rPr>
          <w:bCs/>
          <w:b/>
        </w:rPr>
        <w:t xml:space="preserve">(iv) Đang nổi — Emerging (7 nước)</w:t>
      </w:r>
      <w:r>
        <w:t xml:space="preserve">: Việt Nam, Indonesia, Philippines, Ấn Độ, Sri Lanka, Jordan, Mông Cổ.</w:t>
      </w:r>
    </w:p>
    <w:p>
      <w:pPr>
        <w:numPr>
          <w:ilvl w:val="0"/>
          <w:numId w:val="1006"/>
        </w:numPr>
        <w:pStyle w:val="Compact"/>
      </w:pP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p>
      <w:pPr>
        <w:pStyle w:val="BodyTex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p>
      <w:pPr>
        <w:pStyle w:val="BodyTex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p>
      <w:pPr>
        <w:pStyle w:val="BodyTex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p>
      <w:pPr>
        <w:pStyle w:val="BodyTex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p>
      <w:pPr>
        <w:pStyle w:val="BodyTex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U ngược nhẹ / tuyến tính dương; điểm uốn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nhà nước tô phân phối lại</w:t>
            </w:r>
          </w:p>
        </w:tc>
      </w:tr>
      <w:tr>
        <w:tc>
          <w:tcPr/>
          <w:p>
            <w:pPr>
              <w:pStyle w:val="Compact"/>
              <w:jc w:val="left"/>
            </w:pPr>
            <w:r>
              <w:t xml:space="preserve">III —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U ngược; điểm uốn ~47% (CHN Đỗ &amp; Phan, 2026)</w:t>
            </w:r>
          </w:p>
        </w:tc>
      </w:tr>
      <w:tr>
        <w:tc>
          <w:tcPr/>
          <w:p>
            <w:pPr>
              <w:pStyle w:val="Compact"/>
              <w:jc w:val="left"/>
            </w:pPr>
            <w:r>
              <w:t xml:space="preserve">IV — Emerging</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U ngược; điểm uốn 39–46% (VNM) — bẫy chuyển hướng nguồn lực</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voids thể chế → đổi mới bằng nguồn lực hạn chế</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51"/>
    <w:bookmarkStart w:id="52" w:name="X039eefd029479bc7c4b04d536a9a2c0066f7bae"/>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 "số hóa làm giảm năng suất ở Singapore/Hàn Quốc" —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theo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ba69c568898f5be6dd187064545e4b695772442"/>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 "số hóa tăng, xuất khẩu giảm";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 "số hóa cao" (FJI, MDV) so với "cô lập nông thôn" (KIR)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cff4d6e38b2807e38398c46cc003f19f0870721"/>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dae8bd91b7a66085efb248b8743b187c1ad134"/>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64"/>
    <w:bookmarkStart w:id="65" w:name="Xc0d0a4ac1970454ec7a9406872ce19583983fc7"/>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5"/>
    <w:bookmarkStart w:id="66" w:name="X277549c0c2e07611a176f54ee466361ef9e7c40"/>
    <w:p>
      <w:pPr>
        <w:pStyle w:val="Heading4"/>
      </w:pPr>
      <w:r>
        <w:t xml:space="preserve">2.3.7.4 Trung Quốc (n=4.889)</w:t>
      </w:r>
    </w:p>
    <w:p>
      <w:pPr>
        <w:pStyle w:val="FirstParagraph"/>
      </w:pPr>
      <w:r>
        <w:t xml:space="preserve">FSTS 10,9% → 8,8%; FDI ≥10% chiếm 6,0%. Quan hệ FSTS – năng suất là hàm bậc ba với điểm uốn ~47,8%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6"/>
    <w:bookmarkStart w:id="67" w:name="X2e3bf564c07513beffd6d89139670937864989e"/>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7"/>
    <w:bookmarkStart w:id="68" w:name="Xd73094d8bef136e9846d3fa666530217d2cc4a8"/>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8"/>
    <w:bookmarkStart w:id="69" w:name="Xab836cafea807ed77f15b21cd94cc6b892d6d3c"/>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72"/>
    <w:bookmarkStart w:id="73" w:name="X787ef546d85dd073220df47ad86cf87544d1d07"/>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(kênh quan hệ, Hambrick &amp; Mason, 1984) nhưng không có ý nghĩa thống kê tại Advanced.</w:t>
      </w:r>
    </w:p>
    <w:bookmarkEnd w:id="73"/>
    <w:bookmarkStart w:id="74" w:name="Xade5b455581c2336d77181f962fe777af946445"/>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TCI cao → điểm uốn cao → chịu đựng được mức độ quốc tế hóa cao hơn.</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8"/>
    <w:bookmarkEnd w:id="8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2026-05-16T19:14:25Z</dcterms:created>
  <dcterms:modified xsi:type="dcterms:W3CDTF">2026-05-16T19:14:25Z</dcterms:modified>
</cp:coreProperties>
</file>

<file path=docProps/custom.xml><?xml version="1.0" encoding="utf-8"?>
<Properties xmlns="http://schemas.openxmlformats.org/officeDocument/2006/custom-properties" xmlns:vt="http://schemas.openxmlformats.org/officeDocument/2006/docPropsVTypes"/>
</file>