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các nghiên cứu,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các nghiên cứu,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Do &amp; Phan, 2026a).</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các nghiên cứu.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(Do &amp; Phan, 2026a).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47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(Pacific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các nghiên cứu về quan hệ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tổng-quan-thực-nghiệm"/>
    <w:p>
      <w:pPr>
        <w:pStyle w:val="Heading2"/>
      </w:pPr>
      <w:r>
        <w:t xml:space="preserve">2.3 Tổng quan thực nghiệm</w:t>
      </w:r>
    </w:p>
    <w:bookmarkStart w:id="31" w:name="X7f641bf6922b156818ad1d073db37d611accdb1"/>
    <w:p>
      <w:pPr>
        <w:pStyle w:val="Heading3"/>
      </w:pPr>
      <w:r>
        <w:t xml:space="preserve">2.3.1 Giai đoạn phát triển của các nghiên cứu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31"/>
    <w:bookmarkStart w:id="32" w:name="bằng-chứng-meta-analytic"/>
    <w:p>
      <w:pPr>
        <w:pStyle w:val="Heading3"/>
      </w:pPr>
      <w:r>
        <w:t xml:space="preserve">2.3.2 Bằng chứng meta-analytic</w:t>
      </w:r>
    </w:p>
    <w:p>
      <w:pPr>
        <w:pStyle w:val="FirstParagraph"/>
      </w:pPr>
      <w:r>
        <w:t xml:space="preserve">Bước tiến phương pháp luận quan trọng nhất của giai đoạn gần đây là sự xuất hiện của các meta-analysis về quan hệ I-P, cho phép tổng hợp và định lượng hóa kết quả từ hàng trăm nghiên cứu thực nghiệm riêng lẻ và do đó kiểm soát được nhiễu do từng mẫu nghiên cứu đơn lẻ gây ra. Khi đặt cạnh nhau, các meta-analysis chính phác họa một bức tranh nhất quán ở kết luận tổng thể nhưng phức tạp ở cơ chế.</w:t>
      </w:r>
    </w:p>
    <w:p>
      <w:pPr>
        <w:pStyle w:val="BodyText"/>
      </w:pPr>
      <w:r>
        <w:t xml:space="preserve">Bausch và Krist (2007) phân tích 65 nghiên cứu và tìm thấy tác động tổng hợp dương nhưng nhỏ (r</w:t>
      </w:r>
      <w:r>
        <w:t xml:space="preserve"> </w:t>
      </w:r>
      <m:oMath>
        <m:r>
          <m:rPr>
            <m:sty m:val="p"/>
          </m:rPr>
          <m:t>≈</m:t>
        </m:r>
      </m:oMath>
      <w:r>
        <w:t xml:space="preserve"> </w:t>
      </w:r>
      <w:r>
        <w:t xml:space="preserve">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các nghiên cứu với 170 nghiên cứu và 32 quốc gia, tìm thấy r</w:t>
      </w:r>
      <w:r>
        <w:t xml:space="preserve"> </w:t>
      </w:r>
      <m:oMath>
        <m:r>
          <m:rPr>
            <m:sty m:val="p"/>
          </m:rPr>
          <m:t>≈</m:t>
        </m:r>
      </m:oMath>
      <w:r>
        <w:t xml:space="preserve"> </w:t>
      </w:r>
      <w:r>
        <w:t xml:space="preserve">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effect-size units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=,002). Kết quả này xác nhận tác động tổng hợp dương nhỏ nhưng bền vững, đồng thời chứng minh rằng gradient ICRV, turning point giảm dần khi chuyển từ thể chế yếu sang thể chế mạnh, là moderator thực chất của mối quan hệ I-P trong bối cảnh châu Á (Do &amp; Phan, 2026c).</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32"/>
    <w:bookmarkStart w:id="33" w:name="X2dab31dc90ae94a491c7104c141028484c6eeaa"/>
    <w:p>
      <w:pPr>
        <w:pStyle w:val="Heading3"/>
      </w:pPr>
      <w:r>
        <w:t xml:space="preserve">2.3.3 Bối cảnh châu Á và các nền kinh tế mới nổi</w:t>
      </w:r>
    </w:p>
    <w:p>
      <w:pPr>
        <w:pStyle w:val="FirstParagraph"/>
      </w:pPr>
      <w:r>
        <w:t xml:space="preserve">Châu Á là bối cảnh vừa quan trọng vừa đặc thù đối với nghiên cứu I-P, vì hai đặc điểm khó tìm thấy đồng thời ở bất kỳ khu vực nào khác.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Pacific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Do và Phan (2026a)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Do và Phan (2026g) kiểm định cụ thể với dữ liệu doanh nghiệp Trung Quốc và tìm thấy cấu trúc cubic inverted-U với ngưỡng FSTS tối ưu khoảng 47,8%,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Pacific SIDS, về cơ bản thiếu vắng trong các nghiên cứu.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e45ed5573bac6415d2bc38612d81f74e2270d3d"/>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các nghiên cứu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các nghiên cứu về quan hệ I-P vẫn thiếu bằng chứng đa quốc gia bao quát đủ rộng để kiểm định khả năng tổng quát hóa của các lý thuyết. Pool 17 nước của Do và Phan (2026a) là baseline lớn nhất hiện có trong các nghiên cứu về châu Á, nhưng vẫn chưa bao gồm các nền kinh tế frontier và Pacific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Do và Phan (2026d), Nghiên cứu P7,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thấp hơn P3 Vietnam (~40%) và P5 Trung Quốc (~49%),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Pacific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các nghiên cứu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Do và Phan (2026b), Nghiên cứu P8, kiểm định H1b bằng dữ liệu WBES từ các nền kinh tế Pacific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5" w:name="mô-hình-nghiên-cứu-và-hệ-giả-thuyết"/>
    <w:p>
      <w:pPr>
        <w:pStyle w:val="Heading2"/>
      </w:pPr>
      <w:r>
        <w:t xml:space="preserve">2.5 Mô hình nghiên cứu và hệ giả thuyết</w:t>
      </w:r>
    </w:p>
    <w:bookmarkStart w:id="37"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Pacific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(Do &amp; Phan, 2026b).</w:t>
      </w:r>
    </w:p>
    <w:p>
      <w:pPr>
        <w:pStyle w:val="BodyText"/>
      </w:pPr>
      <w:r>
        <w:t xml:space="preserve">Tầng tổ chức, năng lực doanh nghiệp, bao gồm TCI và DAI như hai moderator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bookmarkEnd w:id="37"/>
    <w:bookmarkStart w:id="38" w:name="giả-thuyết-h1-phi-tuyến-chữ-u-ngược"/>
    <w:p>
      <w:pPr>
        <w:pStyle w:val="Heading3"/>
      </w:pPr>
      <w:r>
        <w:t xml:space="preserve">2.5.2 Giả thuyết H1: Phi tuyến chữ U ngược</w:t>
      </w:r>
    </w:p>
    <w:p>
      <w:pPr>
        <w:pStyle w:val="FirstParagraph"/>
      </w:pPr>
      <w:r>
        <w:t xml:space="preserve">Mô hình Uppsala (Johanson &amp; Vahlne, 1977) cho rằng doanh nghiệp gánh chi phí học hỏi và chi phí của liability of foreignness cao ở giai đoạn đầu quốc tế hóa, trong khi RBV (Barney, 1991) dự báo lợi thế cạnh tranh tích lũy khi doanh nghiệp khai thác lợi thế quy mô và học hỏi ở giai đoạn giữa; đến giai đoạn mở rộng quá mức, lý thuyết chi phí giao dịch cảnh báo chi phí điều phối đa thị trường vượt quá lợi ích thu được. Về bằng chứng thực nghiệm, Hitt et al. (1997) là nghiên cứu đầu tiên xác nhận quan hệ chữ U ngược, sau đó Lu và Beamish (2004) cùng Contractor et al. (2003) tinh chỉnh thành đường cong chữ S ba giai đoạn. Cơ chế hợp nhất là sự đánh đổi động giữa lợi ích (quy mô, học hỏi, đa dạng hóa) và chi phí (điều phối, bất định thể chế) biến thiên theo cường độ xuất khẩu, tạo nên một điểm đảo chiều tối ưu. Do đó, giả thuyết H1 được phát biểu: Quan hệ giữa mức độ quốc tế hóa (FSTS) và hiệu quả hoạt động của doanh nghiệp ở các quốc gia châu Á có dạng phi tuyến chữ U ngược, đạt một điểm uốn (turning point) tối ưu trước khi chi phí điều phối và bất định vượt qua lợi ích từ mở rộng thị trường quốc tế.</w:t>
      </w:r>
    </w:p>
    <w:bookmarkEnd w:id="38"/>
    <w:bookmarkStart w:id="39" w:name="X4428ed197d44616af17a87137bdb8f71ba3b36a"/>
    <w:p>
      <w:pPr>
        <w:pStyle w:val="Heading3"/>
      </w:pPr>
      <w:r>
        <w:t xml:space="preserve">2.5.2b Điều kiện biên H1b: Gánh nặng quốc tế hóa bắt buộc (FIP) tại Pacific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Pacific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Pacific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turning point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39"/>
    <w:bookmarkStart w:id="40" w:name="X4e283c765855921a9a0bf70a9d0a980f4bd502f"/>
    <w:p>
      <w:pPr>
        <w:pStyle w:val="Heading3"/>
      </w:pPr>
      <w:r>
        <w:t xml:space="preserve">2.5.3 Giả thuyết H2: Điều tiết bởi năng lực công nghệ (TCI)</w:t>
      </w:r>
    </w:p>
    <w:p>
      <w:pPr>
        <w:pStyle w:val="FirstParagraph"/>
      </w:pPr>
      <w:r>
        <w:t xml:space="preserve">RBV (Barney, 1991) và lý thuyết năng lực động (Teece et al., 1997) cho rằng năng lực công nghệ là một nguồn lực VRIN, đồng thời là năng lực hấp thụ (Cohen &amp; Levinthal, 1990) cho phép doanh nghiệp đồng hóa tri thức từ thị trường nước ngoài. Về bằng chứng thực nghiệm, Bhandari et al. (2023) cho thấy năng lực số điều tiết tích cực quan hệ I-P ở doanh nghiệp Mỹ, còn các bản thảo đồng hành xác nhận hệ số TCI dương và bền vững tại Việt Nam (P3: TCI nhân quả qua biến công cụ) và Trung Quốc (P5: TCI tăng cường theo thời gian). Cơ chế là level-shift: doanh nghiệp có TCI cao đạt năng suất nền cao hơn ở mọi mức FSTS và hạ thấp chi phí học hỏi thị trường quốc tế. Do đó, giả thuyết H2 được phát biểu: Năng lực công nghệ (TCI) làm gia tăng tác động tích cực của quốc tế hóa lên hiệu quả hoạt động doanh nghiệp, chủ yếu bằng cách nâng mặt bằng hiệu quả tổng thể (dịch chuyển đường quan hệ I-P lên cao hơn) và có thể điều chỉnh vị trí điểm uốn.</w:t>
      </w:r>
    </w:p>
    <w:bookmarkEnd w:id="40"/>
    <w:bookmarkStart w:id="41" w:name="X128abf7a15253174c605d07067219580799d526"/>
    <w:p>
      <w:pPr>
        <w:pStyle w:val="Heading3"/>
      </w:pPr>
      <w:r>
        <w:t xml:space="preserve">2.5.4 Giả thuyết H3: Điều tiết bởi chỉ số chấp nhận số (DAI)</w:t>
      </w:r>
    </w:p>
    <w:p>
      <w:pPr>
        <w:pStyle w:val="FirstParagraph"/>
      </w:pPr>
      <w:r>
        <w:t xml:space="preserve">Khác với TCI, khung áp dụng số (Verhoef et al., 2021) và lý thuyết nền tảng số (Stallkamp &amp; Schotter, 2021) định vị DAI ở cấp độ công cụ số bề mặt: nó không tạo chiều sâu năng lực tổ chức nhưng làm giảm chi phí phối hợp và khoảng cách tâm lý trong giao dịch xuyên biên giới. Về bằng chứng thực nghiệm, Bustamante et al. (2022) cho thấy công cụ số hạ chi phí thâm nhập thị trường ngoài, trong khi P4 Singapore ghi nhận DAI khuếch đại đường cong I-P ở cường độ xuất khẩu cao (hệ số tương tác DAI với FSTS bình phương dương mạnh) còn P3 Việt Nam cho kết quả phụ thuộc giai đoạn và phụ thuộc chọn lựa. Cơ chế là bộ đệm phối hợp: lợi ích của DAI bộc lộ rõ nhất khi nhu cầu điều phối đa thị trường trở nên dày đặc, tức ở mức FSTS cao. Do đó, giả thuyết H3 được phát biểu: Chỉ số chấp nhận số (DAI) điều tiết quan hệ I-P bằng cách làm thay đổi độ dốc và độ cong của đường quan hệ (rõ rệt hơn ở mức export intensity cao) chứ không nhất thiết nâng mặt bằng hiệu quả như TCI. Sự phân tách cơ chế giữa H2 và H3 là đóng góp lý thuyết cho phép tách biệt TCI và DAI trong mô hình thực nghiệm.</w:t>
      </w:r>
    </w:p>
    <w:bookmarkEnd w:id="41"/>
    <w:bookmarkStart w:id="42" w:name="X23e235aa1540adf65664378accbc0b6a13fdffd"/>
    <w:p>
      <w:pPr>
        <w:pStyle w:val="Heading3"/>
      </w:pPr>
      <w:r>
        <w:t xml:space="preserve">2.5.5 Giả thuyết H4: Điều tiết bởi đặc điểm nhà quản trị cấp cao</w:t>
      </w:r>
    </w:p>
    <w:p>
      <w:pPr>
        <w:pStyle w:val="FirstParagraph"/>
      </w:pPr>
      <w:r>
        <w:t xml:space="preserve">Upper Echelons Theory (Hambrick &amp; Mason, 1984; Hambrick, 2007) cho rằng các quyết định chiến lược, trong đó có quốc tế hóa, phản ánh đặc điểm nhận thức, kinh nghiệm và giá trị của nhà quản trị cấp cao. Về bằng chứng thực nghiệm, Hsu et al. (2013) cho thấy kinh nghiệm quốc tế của nhà quản trị nâng cao khả năng nhận diện cơ hội và giảm nhận thức về liability of foreignness, còn Post và Byron (2015) liên hệ sự hiện diện của lãnh đạo nữ với quản trị rủi ro thận trọng và ra quyết định đa chiều hơn. Cơ chế là chuyển hóa nhận thức: đặc điểm nhà quản trị định hình cách doanh nghiệp diễn giải và khai thác cơ hội quốc tế. Do đó, giả thuyết H4 được phát biểu: Kinh nghiệm quản trị và sự hiện diện của nhà quản trị nữ ở cấp cao làm mạnh thêm tác động tích cực của quốc tế hóa lên hiệu quả hoạt động, thông qua nâng cao nhận thức chiến lược quốc tế và quản trị rủi ro thận trọng hơn.</w:t>
      </w:r>
    </w:p>
    <w:bookmarkEnd w:id="42"/>
    <w:bookmarkStart w:id="43" w:name="X1090b4891c9abf48d7aab0f24d22e9d66d1b02d"/>
    <w:p>
      <w:pPr>
        <w:pStyle w:val="Heading3"/>
      </w:pPr>
      <w:r>
        <w:t xml:space="preserve">2.5.6 Giả thuyết H5: Điều tiết bởi bối cảnh thể chế (ICRV)</w:t>
      </w:r>
    </w:p>
    <w:p>
      <w:pPr>
        <w:pStyle w:val="FirstParagraph"/>
      </w:pPr>
      <w:r>
        <w:t xml:space="preserve">Institutional Theory (North, 1990; Khanna &amp; Palepu, 2010) cho rằng chất lượng thể chế quy định chi phí giao dịch và mức rủi ro mà doanh nghiệp gánh khi giao dịch xuyên biên giới, do đó định hình lợi ích ròng của quốc tế hóa. Về bằng chứng thực nghiệm, meta-analysis của Marano et al. (2016) xác nhận thể chế quốc gia nguồn là biến điều tiết quan trọng nhất của quan hệ I-P, có thể dịch chuyển điểm uốn đáng kể giữa các chế độ. Cơ chế là gradient chi phí giao dịch: nơi thể chế yếu, khoảng trống thể chế (institutional voids) khuếch đại chi phí quốc tế hóa, và năng lực số có thể đóng vai trò</w:t>
      </w:r>
      <w:r>
        <w:t xml:space="preserve"> </w:t>
      </w:r>
      <w:r>
        <w:t xml:space="preserve">“</w:t>
      </w:r>
      <w:r>
        <w:t xml:space="preserve">lá chắn số</w:t>
      </w:r>
      <w:r>
        <w:t xml:space="preserve">”</w:t>
      </w:r>
      <w:r>
        <w:t xml:space="preserve"> </w:t>
      </w:r>
      <w:r>
        <w:t xml:space="preserve">(digital shield) bù đắp một phần khoảng trống đó. Do đó, giả thuyết H5 được phát biểu: Chế độ thể chế theo khung ICRV điều tiết tác động của rào cản thể chế lên hiệu quả trong quá trình quốc tế hóa, với DAI bù đắp một phần khoảng trống thể chế; cường độ điều tiết giảm dần theo gradient ICRV từ các nền kinh tế frontier (Nhóm V-VI, mạnh nhất) đến các nền kinh tế tiên tiến (Nhóm I, yếu nhất).</w:t>
      </w:r>
    </w:p>
    <w:bookmarkEnd w:id="43"/>
    <w:bookmarkStart w:id="44" w:name="Xa7d68854d881889214a30270acd42b7b75812a9"/>
    <w:p>
      <w:pPr>
        <w:pStyle w:val="Heading3"/>
      </w:pPr>
      <w:r>
        <w:t xml:space="preserve">2.5.7 Giả thuyết H6: Dị biệt thời gian trong quan hệ I-P</w:t>
      </w:r>
    </w:p>
    <w:p>
      <w:pPr>
        <w:pStyle w:val="FirstParagraph"/>
      </w:pPr>
      <w:r>
        <w:t xml:space="preserve">Lý thuyết về tiến hóa năng lực (Teece et al., 1997) và cập nhật Uppsala cho kỷ nguyên số (Banalieva &amp; Dhanaraj, 2019) hàm ý rằng khi năng lực doanh nghiệp và điều kiện thể chế thay đổi nhanh, cấu trúc quan hệ I-P không nhất thiết bất biến theo thời gian. Về bằng chứng thực nghiệm, Wu et al. (2022) và Xiao et al. (2013) ghi nhận điểm uốn của doanh nghiệp thị trường mới nổi thấp hơn và dịch chuyển theo giai đoạn; riêng P5 Trung Quốc cho thấy điểm uốn ổn định cấu trúc giữa 2012 và 2024 (Paternoster z = +0,82, p = 0,412, không bác bỏ bằng nhau) trong khi hiệu ứng TCI lại tăng cường. Cơ chế là sự tiến hóa của năng lực và thể chế làm tái định hình cân bằng lợi ích, chi phí theo thời gian. Do đó, giả thuyết H6 được phát biểu: Hình dạng phi tuyến của quan hệ I-P, cụ thể vị trí điểm uốn và độ cong của đường quan hệ, thay đổi theo thời gian ở các nền kinh tế chuyển đổi nhanh, phản ánh sự phát triển năng lực doanh nghiệp và cải thiện thể chế qua các giai đoạn.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các nghiên cứu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các nghiên cứu.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2026-05-25T08:12:47Z</dcterms:created>
  <dcterms:modified xsi:type="dcterms:W3CDTF">2026-05-25T08:12:47Z</dcterms:modified>
</cp:coreProperties>
</file>

<file path=docProps/custom.xml><?xml version="1.0" encoding="utf-8"?>
<Properties xmlns="http://schemas.openxmlformats.org/officeDocument/2006/custom-properties" xmlns:vt="http://schemas.openxmlformats.org/officeDocument/2006/docPropsVTypes"/>
</file>