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4-kết-quả-nghiên-cứu"/>
    <w:p>
      <w:pPr>
        <w:pStyle w:val="Heading1"/>
      </w:pPr>
      <w:r>
        <w:t xml:space="preserve">CHƯƠNG 4: KẾT QUẢ NGHIÊN CỨU</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tám phần chính, bắt đầu bằng thực trạng quốc tế hóa và hiệu quả hoạt động kinh doanh tại châu Á theo các phân nhóm con thể chế ICRV, tiếp theo là: (ii) kết quả meta-analysis ba tầng (P6); (iii) bối cảnh thể chế tiên tiến đổi mới tại Singapore (P4); (iv) bối cảnh thể chế trung bình cao tại Trung Quốc (P5); (v) bối cảnh chuyển đổi bậc thấp đến 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21"/>
    <w:bookmarkStart w:id="26" w:name="Xed285cd0261846a13dee28de69c0403b250498d"/>
    <w:p>
      <w:pPr>
        <w:pStyle w:val="Heading2"/>
      </w:pPr>
      <w:r>
        <w:t xml:space="preserve">4.1 Thực trạng quốc tế hóa và hiệu quả hoạt động kinh doanh tại châu Á</w:t>
      </w:r>
    </w:p>
    <w:bookmarkStart w:id="22" w:name="Xdc33a1e36e2f3be83736669663a61a68c91d087"/>
    <w:p>
      <w:pPr>
        <w:pStyle w:val="Heading3"/>
      </w:pPr>
      <w:r>
        <w:t xml:space="preserve">4.1.1 Bức tranh tổng thể về hiệu quả doanh nghiệp châu Á</w:t>
      </w:r>
    </w:p>
    <w:p>
      <w:pPr>
        <w:pStyle w:val="FirstParagraph"/>
      </w:pPr>
      <w:r>
        <w:t xml:space="preserve">Phân tích mô tả trên pool 101.185 doanh nghiệp từ 47 nền kinh tế châu Á và Thái Bình Dương trong giai đoạn 2009-2025 cho thấy bức tranh hiệu quả hoạt động kinh doanh có sự phân tán lớn và không hội tụ. Năng suất lao động, đo bằng ln(doanh thu/lao động), có độ lệch chuẩn dao động từ 0,49 (Advanced tài nguyên dẫn dắt) đến 1,36 (Frontier), với tỷ số P90/P10 tăng đơn điệu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(n = 101.185 doanh nghiệp, 2009-2025).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 (ước tính)</w:t>
            </w:r>
          </w:p>
        </w:tc>
        <w:tc>
          <w:tcPr/>
          <w:p>
            <w:pPr>
              <w:pStyle w:val="Compact"/>
              <w:jc w:val="left"/>
            </w:pPr>
            <w:r>
              <w:t xml:space="preserve">sd log LP</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w:t>
            </w:r>
            <w:r>
              <w:t xml:space="preserve">$10% (%)</w:t>
            </w:r>
          </w:p>
        </w:tc>
      </w:tr>
      <w:tr>
        <w:tc>
          <w:tcPr/>
          <w:p>
            <w:pPr>
              <w:pStyle w:val="Compact"/>
              <w:jc w:val="left"/>
            </w:pPr>
            <w:r>
              <w:t xml:space="preserve">Nhóm I, Advanced đổi mới (SG, HK, KOR, TWN, ISR)</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10,2</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Nhóm II, Advanced tài nguyên (GCC)</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Upper-middle (CHN, MYS, THA, KAZ…)</w:t>
            </w:r>
          </w:p>
        </w:tc>
        <w:tc>
          <w:tcPr/>
          <w:p>
            <w:pPr>
              <w:pStyle w:val="Compact"/>
              <w:jc w:val="left"/>
            </w:pPr>
            <w:r>
              <w:t xml:space="preserve">~16.693</w:t>
            </w:r>
          </w:p>
        </w:tc>
        <w:tc>
          <w:tcPr/>
          <w:p>
            <w:pPr>
              <w:pStyle w:val="Compact"/>
              <w:jc w:val="left"/>
            </w:pPr>
            <w:r>
              <w:t xml:space="preserve">1,29</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Emerging (VNM, IDN, PHL, IND…)</w:t>
            </w:r>
          </w:p>
        </w:tc>
        <w:tc>
          <w:tcPr/>
          <w:p>
            <w:pPr>
              <w:pStyle w:val="Compact"/>
              <w:jc w:val="left"/>
            </w:pPr>
            <w:r>
              <w:t xml:space="preserve">~47.803</w:t>
            </w:r>
          </w:p>
        </w:tc>
        <w:tc>
          <w:tcPr/>
          <w:p>
            <w:pPr>
              <w:pStyle w:val="Compact"/>
              <w:jc w:val="left"/>
            </w:pPr>
            <w:r>
              <w:t xml:space="preserve">1,24</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Frontier (BGD, PAK, LAO, KHM…)</w:t>
            </w:r>
          </w:p>
        </w:tc>
        <w:tc>
          <w:tcPr/>
          <w:p>
            <w:pPr>
              <w:pStyle w:val="Compact"/>
              <w:jc w:val="left"/>
            </w:pPr>
            <w:r>
              <w:t xml:space="preserve">~28.678</w:t>
            </w:r>
          </w:p>
        </w:tc>
        <w:tc>
          <w:tcPr/>
          <w:p>
            <w:pPr>
              <w:pStyle w:val="Compact"/>
              <w:jc w:val="left"/>
            </w:pPr>
            <w:r>
              <w:t xml:space="preserve">1,36</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Thái Bình Dương (FJI, PNG, SLB…)</w:t>
            </w:r>
          </w:p>
        </w:tc>
        <w:tc>
          <w:tcPr/>
          <w:p>
            <w:pPr>
              <w:pStyle w:val="Compact"/>
              <w:jc w:val="left"/>
            </w:pPr>
            <w:r>
              <w:t xml:space="preserve">~1.371</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w:t>
            </w:r>
          </w:p>
        </w:tc>
        <w:tc>
          <w:tcPr/>
          <w:p>
            <w:pPr>
              <w:pStyle w:val="Compact"/>
              <w:jc w:val="left"/>
            </w:pPr>
            <w:r>
              <w:rPr>
                <w:bCs/>
                <w:b/>
              </w:rPr>
              <w:t xml:space="preserve">101.185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2009-2025.</w:t>
      </w:r>
    </w:p>
    <w:p>
      <w:pPr>
        <w:pStyle w:val="BodyText"/>
      </w:pPr>
      <w:r>
        <w:t xml:space="preserve">Phát hiện quan trọng nhất từ thực trạng mô tả là sự phân biệt nội bộ trong nhóm Advanced: tỷ số phân tán giữa nhóm đổi mới sáng tạo dẫn dắt (Singapore, Hàn Quốc, Đài Loan, sd</w:t>
      </w:r>
      <w:r>
        <w:t xml:space="preserve"> </w:t>
      </w:r>
      <m:oMath>
        <m:r>
          <m:rPr>
            <m:sty m:val="p"/>
          </m:rPr>
          <m:t>≈</m:t>
        </m:r>
      </m:oMath>
      <w:r>
        <w:t xml:space="preserve"> </w:t>
      </w:r>
      <w:r>
        <w:t xml:space="preserve">1,03) và nhóm tài nguyên dẫn dắt (Saudi Arabia, Qatar, Kuwait, sd</w:t>
      </w:r>
      <w:r>
        <w:t xml:space="preserve"> </w:t>
      </w:r>
      <m:oMath>
        <m:r>
          <m:rPr>
            <m:sty m:val="p"/>
          </m:rPr>
          <m:t>≈</m:t>
        </m:r>
      </m:oMath>
      <w:r>
        <w:t xml:space="preserve"> </w:t>
      </w:r>
      <w:r>
        <w:t xml:space="preserve">0,49) xấp xỉ 2,1 lần, phản ánh hai cơ chế tăng trưởng và phân phối hoàn toàn khác nhau. Phân nhóm con tài nguyên dẫn dắt có độ phân tán năng suất thấp nhất toàn bộ pool,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bookmarkEnd w:id="22"/>
    <w:bookmarkStart w:id="23"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23"/>
    <w:bookmarkStart w:id="24"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rPr>
          <w:iCs/>
          <w:i/>
        </w:rPr>
        <w:t xml:space="preserve">Nguồn: Phân tích của tác giả từ WBES, 2009-2025.</w:t>
      </w:r>
    </w:p>
    <w:p>
      <w:pPr>
        <w:pStyle w:val="BodyText"/>
      </w:pPr>
      <w:r>
        <w:t xml:space="preserve">Phát hiện đáng chú ý là pattern</w:t>
      </w:r>
      <w:r>
        <w:t xml:space="preserve"> </w:t>
      </w:r>
      <w:r>
        <w:t xml:space="preserve">“</w:t>
      </w:r>
      <w:r>
        <w:t xml:space="preserve">nhảy vọt số</w:t>
      </w:r>
      <w:r>
        <w:t xml:space="preserve">”</w:t>
      </w:r>
      <w:r>
        <w:t xml:space="preserve"> </w:t>
      </w:r>
      <w:r>
        <w:t xml:space="preserve">(digital leapfrogging) ở SIDS: tỷ lệ website 58,9% vượt cả nhóm Emerging (49,2%) dù GNI thấp hơn đáng kể, phản ánh thực tế rằng số hóa bề mặt (website) ở SIDS là công cụ sinh tồn chứ không phải công cụ tối ưu hóa hiệu quả. Kết quả này cũng hỗ trợ lập luận lý thuyết về sự phân biệt giữa DAI (chấp nhận số bề mặt) và TCI (năng lực công nghệ chiều sâu): SIDS có DAI cao nhưng TCI thấp nhất, và đây là nhóm duy nhất có quan hệ I-P âm đơn điệu.</w:t>
      </w:r>
    </w:p>
    <w:p>
      <w:pPr>
        <w:pStyle w:val="BodyText"/>
      </w:pPr>
      <w:r>
        <w:t xml:space="preserve">Hiện tượng tương quan âm giữa DAI Tier-1 và năng suất trong nhóm Advanced (-0,129) là ảo ảnh thống kê do bão hòa Tier-1: hầu hết doanh nghiệp Advanced đã có website từ lâu, khiến biến nhị phân này không còn phân biệt được doanh nghiệp hiệu quả và kém hiệu quả trong nhóm đó. Khi loại trừ doanh nghiệp ICT, hệ số âm biến mất, xác nhận đây là vấn đề đo lường chứ không phải quan hệ nhân quả thực.</w:t>
      </w:r>
    </w:p>
    <w:bookmarkEnd w:id="24"/>
    <w:bookmarkStart w:id="25"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Frontier và Emerging;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Frontier và SIDS giải thích tại sao quan hệ I-P ở các nhóm này yếu hoặc âm.</w:t>
      </w:r>
    </w:p>
    <w:p>
      <w:r>
        <w:pict>
          <v:rect style="width:0;height:1.5pt" o:hralign="center" o:hrstd="t" o:hr="t"/>
        </w:pict>
      </w:r>
    </w:p>
    <w:bookmarkEnd w:id="25"/>
    <w:bookmarkEnd w:id="26"/>
    <w:bookmarkStart w:id="31" w:name="Xe0084a7c2f7e752cafc4091ca0758f37f91bfa0"/>
    <w:p>
      <w:pPr>
        <w:pStyle w:val="Heading2"/>
      </w:pPr>
      <w:r>
        <w:t xml:space="preserve">4.2 Kết quả tổng hợp định lượng, Meta-analysis ba tầng (P6)</w:t>
      </w:r>
    </w:p>
    <w:bookmarkStart w:id="27"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Do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27"/>
    <w:bookmarkStart w:id="28"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các nghiên cứu I-P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các nghiên cứu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8"/>
    <w:bookmarkStart w:id="29"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Thái Bình Dương (Nhóm VI), là moderator có ý nghĩa thực sự cho mối quan hệ tổng hợp I-P trong các nghiên cứu.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môi trường thể chế chất lượng cao tạo điều kiện để doanh nghiệp chuyển hóa quốc tế hóa thành hiệu quả dễ dàng hơn (North, 1990; Marano et al., 2016).</w:t>
      </w:r>
    </w:p>
    <w:bookmarkEnd w:id="29"/>
    <w:bookmarkStart w:id="30"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30"/>
    <w:bookmarkEnd w:id="31"/>
    <w:bookmarkStart w:id="35" w:name="Xae571c1410747d630a72c4d12985bac375822ae"/>
    <w:p>
      <w:pPr>
        <w:pStyle w:val="Heading2"/>
      </w:pPr>
      <w:r>
        <w:t xml:space="preserve">4.3 Kết quả bối cảnh thể chế tiên tiến, Đổi mới: Singapore (P4)</w:t>
      </w:r>
    </w:p>
    <w:bookmarkStart w:id="32"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w:t>
      </w:r>
      <w:r>
        <w:rPr>
          <w:bCs/>
          <w:b/>
        </w:rPr>
        <w:t xml:space="preserve"> </w:t>
      </w:r>
      <m:oMath>
        <m:r>
          <m:rPr>
            <m:sty m:val="p"/>
          </m:rPr>
          <m:t>≈</m:t>
        </m:r>
      </m:oMath>
      <w:r>
        <w:rPr>
          <w:bCs/>
          <w:b/>
        </w:rPr>
        <w:t xml:space="preserve"> </w:t>
      </w:r>
      <w:r>
        <w:rPr>
          <w:bCs/>
          <w:b/>
        </w:rPr>
        <w:t xml:space="preserve">88,6% FSTS</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w:t>
      </w:r>
    </w:p>
    <w:bookmarkEnd w:id="32"/>
    <w:bookmarkStart w:id="33"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33"/>
    <w:bookmarkStart w:id="34"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34"/>
    <w:bookmarkEnd w:id="35"/>
    <w:bookmarkStart w:id="39" w:name="Xe82f3dce0f0627e9c9bc56dd93921b4f2535053"/>
    <w:p>
      <w:pPr>
        <w:pStyle w:val="Heading2"/>
      </w:pPr>
      <w:r>
        <w:t xml:space="preserve">4.4 Kết quả bối cảnh thể chế trung bình cao: Trung Quốc, 2012-2024 (P5)</w:t>
      </w:r>
    </w:p>
    <w:bookmarkStart w:id="36" w:name="Xfb5fa188fd1fb4a9962d0cf33d126795226c748"/>
    <w:p>
      <w:pPr>
        <w:pStyle w:val="Heading3"/>
      </w:pPr>
      <w:r>
        <w:t xml:space="preserve">4.4.1 Xác nhận quan hệ phi tuyến và turning point</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36"/>
    <w:bookmarkStart w:id="37"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turning point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37"/>
    <w:bookmarkStart w:id="38"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8"/>
    <w:bookmarkEnd w:id="39"/>
    <w:bookmarkStart w:id="44" w:name="X8e2e1e61918148d2b474752a2fc33cc990ea226"/>
    <w:p>
      <w:pPr>
        <w:pStyle w:val="Heading2"/>
      </w:pPr>
      <w:r>
        <w:t xml:space="preserve">4.5 Kết quả bối cảnh chuyển đổi bậc thấp đến trung: Việt Nam (P3)</w:t>
      </w:r>
    </w:p>
    <w:bookmarkStart w:id="40"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40"/>
    <w:bookmarkStart w:id="41" w:name="điểm-turning-point-theo-làn-sóng"/>
    <w:p>
      <w:pPr>
        <w:pStyle w:val="Heading3"/>
      </w:pPr>
      <w:r>
        <w:t xml:space="preserve">4.5.2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w:t>
      </w:r>
      <w:r>
        <w:t xml:space="preserve"> </w:t>
      </w:r>
      <m:oMath>
        <m:r>
          <m:rPr>
            <m:sty m:val="p"/>
          </m:rPr>
          <m:t>≈</m:t>
        </m:r>
      </m:oMath>
      <w:r>
        <w:t xml:space="preserve"> </w:t>
      </w:r>
      <w:r>
        <w:t xml:space="preserve">88,6%) và tương đương hoặc thấp hơn Trung Quốc (TP</w:t>
      </w:r>
      <w:r>
        <w:t xml:space="preserve"> </w:t>
      </w:r>
      <m:oMath>
        <m:r>
          <m:rPr>
            <m:sty m:val="p"/>
          </m:rPr>
          <m:t>≈</m:t>
        </m:r>
      </m:oMath>
      <w:r>
        <w:t xml:space="preserve"> </w:t>
      </w:r>
      <w:r>
        <w:t xml:space="preserve">48,78%). 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turning point đã dịch chuyển đáng kể từ 46,2% xuống 39,3% giữa hai làn sóng.</w:t>
      </w:r>
    </w:p>
    <w:bookmarkEnd w:id="41"/>
    <w:bookmarkStart w:id="42"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42"/>
    <w:bookmarkStart w:id="43"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43"/>
    <w:bookmarkEnd w:id="44"/>
    <w:bookmarkStart w:id="48" w:name="X561afa853383c674354c1acb167a55cae3a018f"/>
    <w:p>
      <w:pPr>
        <w:pStyle w:val="Heading2"/>
      </w:pPr>
      <w:r>
        <w:t xml:space="preserve">4.6 Kết quả kiểm định toàn mẫu đa bối cảnh châu Á (P7)</w:t>
      </w:r>
    </w:p>
    <w:bookmarkStart w:id="45"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quadratic FSTS không có biến kiểm soát). Khi bổ sung đầy đủ biến kiểm soát, mẫu hồi quy giảm xuống</w:t>
      </w:r>
      <w:r>
        <w:t xml:space="preserve"> </w:t>
      </w:r>
      <m:oMath>
        <m:r>
          <m:t>N</m:t>
        </m:r>
        <m:r>
          <m:rPr>
            <m:sty m:val="p"/>
          </m:rPr>
          <m:t>=</m:t>
        </m:r>
        <m:r>
          <m:t>38.342</m:t>
        </m:r>
      </m:oMath>
      <w:r>
        <w:t xml:space="preserve"> </w:t>
      </w:r>
      <w:r>
        <w:t xml:space="preserve">quan sát (M3-M5), phản ánh missing data trong biến sở hữu nước ngoài và tuổi doanh nghiệp ở các nền kinh tế nhỏ và sóng WBES sớm. Mô hình M5 với country fixed effects và year fixed effects, cấu hình mạnh nhất về kiểm soát phương sai không quan sát (</w:t>
      </w:r>
      <m:oMath>
        <m:sSup>
          <m:e>
            <m:r>
              <m:rPr>
                <m:nor/>
                <m:sty m:val="p"/>
              </m:rPr>
              <m:t>adjR</m:t>
            </m:r>
          </m:e>
          <m:sup>
            <m:r>
              <m:t>2</m:t>
            </m:r>
          </m:sup>
        </m:sSup>
        <m:r>
          <m:rPr>
            <m:sty m:val="p"/>
          </m:rPr>
          <m:t>=</m:t>
        </m:r>
        <m:r>
          <m:rPr>
            <m:sty m:val="p"/>
          </m:rPr>
          <m:t>,</m:t>
        </m:r>
        <m:r>
          <m:t>677</m:t>
        </m:r>
      </m:oMath>
      <w:r>
        <w:t xml:space="preserve">),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hẹp 33,8-40,0% FSTS qua tất cả các đặc tả M2-M9, và được xác nhận lại trong mô hình điều tiết ba chiều đầy đủ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 Tính nhất quán này bác bỏ giả thuyết rằng chữ U ngược chỉ là artefact của mẫu nhỏ hay thiếu biến kiểm soát.</w:t>
      </w:r>
    </w:p>
    <w:bookmarkEnd w:id="45"/>
    <w:bookmarkStart w:id="46" w:name="gradient-icrv-xác-nhận-h5"/>
    <w:p>
      <w:pPr>
        <w:pStyle w:val="Heading3"/>
      </w:pPr>
      <w:r>
        <w:t xml:space="preserve">4.6.2 Gradient ICRV, Xác nhận H5</w:t>
      </w:r>
    </w:p>
    <w:p>
      <w:pPr>
        <w:pStyle w:val="FirstParagraph"/>
      </w:pPr>
      <w:r>
        <w:t xml:space="preserve">Kết quả quan trọng nhất của P7 là xác nhận</w:t>
      </w:r>
      <w:r>
        <w:t xml:space="preserve"> </w:t>
      </w:r>
      <w:r>
        <w:rPr>
          <w:bCs/>
          <w:b/>
        </w:rPr>
        <w:t xml:space="preserve">gradient ICRV</w:t>
      </w:r>
      <w:r>
        <w:t xml:space="preserve">: turning point tăng dần khi chuyển từ nhóm thể chế mạnh hơn sang nhóm thể chế yếu hơn:</w:t>
      </w:r>
    </w:p>
    <w:p>
      <w:pPr>
        <w:pStyle w:val="BodyText"/>
      </w:pPr>
      <m:oMathPara>
        <m:oMathParaPr>
          <m:jc m:val="center"/>
        </m:oMathParaPr>
        <m:oMath>
          <m:r>
            <m:rPr>
              <m:nor/>
              <m:sty m:val="p"/>
            </m:rPr>
            <m:t>TP(Advanced Innovation)</m:t>
          </m:r>
          <m:r>
            <m:rPr>
              <m:sty m:val="p"/>
            </m:rPr>
            <m:t>≈</m:t>
          </m:r>
          <m:r>
            <m:t>28</m:t>
          </m:r>
          <m:r>
            <m:rPr>
              <m:sty m:val="p"/>
            </m:rPr>
            <m:t>%</m:t>
          </m:r>
          <m:r>
            <m:rPr>
              <m:sty m:val="p"/>
            </m:rPr>
            <m:t>&lt;</m:t>
          </m:r>
          <m:r>
            <m:rPr>
              <m:nor/>
              <m:sty m:val="p"/>
            </m:rPr>
            <m:t>TP(Upper-middle)</m:t>
          </m:r>
          <m:r>
            <m:rPr>
              <m:sty m:val="p"/>
            </m:rPr>
            <m:t>&lt;</m:t>
          </m:r>
          <m:r>
            <m:rPr>
              <m:nor/>
              <m:sty m:val="p"/>
            </m:rPr>
            <m:t>TP(Frontier/SIDS)</m:t>
          </m:r>
          <m:r>
            <m:rPr>
              <m:sty m:val="p"/>
            </m:rPr>
            <m:t>≈</m:t>
          </m:r>
          <m:r>
            <m:t>55</m:t>
          </m:r>
          <m:r>
            <m:rPr>
              <m:sty m:val="p"/>
            </m:rPr>
            <m:t>%</m:t>
          </m:r>
        </m:oMath>
      </m:oMathPara>
    </w:p>
    <w:p>
      <w:pPr>
        <w:pStyle w:val="FirstParagraph"/>
      </w:pPr>
      <w:r>
        <w:t xml:space="preserve">Gradient này nhất quán với dự đoán của Institutional Theory: trong môi trường thể chế mạnh (Nhóm I), doanh nghiệp hoàn thu chi phí quốc tế hóa tại mức FSTS thấp hơn, tức là đạt đỉnh hiệu quả sớm hơn. Ngược lại, tại các nền kinh tế thể chế yếu (Nhóm V-VI), doanh nghiệp cần mức độ quốc tế hóa cao hơn để bù đắp chi phí giao dịch và bất định thể chế, nên turning point xuất hiện muộn hơn, ở mức FSTS cao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meta-analytic và primary empirical, cùng chỉ ra gradient ICRV, tạo ra independent confirmation có giá trị.</w:t>
      </w:r>
    </w:p>
    <w:bookmarkEnd w:id="46"/>
    <w:bookmarkStart w:id="47" w:name="điều-tiết-bởi-tci-và-dai-trong-toàn-mẫu"/>
    <w:p>
      <w:pPr>
        <w:pStyle w:val="Heading3"/>
      </w:pPr>
      <w:r>
        <w:t xml:space="preserve">4.6.3 Điều tiết bởi TCI và DAI trong toàn mẫu</w:t>
      </w:r>
    </w:p>
    <w:p>
      <w:pPr>
        <w:numPr>
          <w:ilvl w:val="0"/>
          <w:numId w:val="1003"/>
        </w:numPr>
        <w:pStyle w:val="Compact"/>
      </w:pPr>
      <w:r>
        <w:rPr>
          <w:bCs/>
          <w:b/>
        </w:rPr>
        <w:t xml:space="preserve">TCI</w:t>
      </w:r>
      <w:r>
        <w:t xml:space="preserve">: có ý nghĩa thống kê dương trên toàn mẫu, một đơn vị độ lệch chuẩn tăng TCI nâng năng suất lao động khoảng 41% (exp(0,344)−1). Tuy nhiên, các tương tác FSTS×TCI và</w:t>
      </w:r>
      <w:r>
        <w:t xml:space="preserve"> </w:t>
      </w:r>
      <m:oMath>
        <m:sSup>
          <m:e>
            <m:r>
              <m:rPr>
                <m:nor/>
                <m:sty m:val="p"/>
              </m:rPr>
              <m:t>FSTS</m:t>
            </m:r>
          </m:e>
          <m:sup>
            <m:r>
              <m:t>2</m:t>
            </m:r>
          </m:sup>
        </m:sSup>
      </m:oMath>
      <w:r>
        <w:t xml:space="preserve">×TCI</w:t>
      </w:r>
      <w:r>
        <w:t xml:space="preserve"> </w:t>
      </w:r>
      <w:r>
        <w:rPr>
          <w:bCs/>
          <w:b/>
        </w:rPr>
        <w:t xml:space="preserve">không có ý nghĩa</w:t>
      </w:r>
      <w:r>
        <w:t xml:space="preserve"> </w:t>
      </w:r>
      <w:r>
        <w:t xml:space="preserve">trong mẫu 49 nền kinh tế đa dạng thể chế. H2</w:t>
      </w:r>
      <w:r>
        <w:t xml:space="preserve"> </w:t>
      </w:r>
      <w:r>
        <w:rPr>
          <w:bCs/>
          <w:b/>
        </w:rPr>
        <w:t xml:space="preserve">được xác nhận một phần</w:t>
      </w:r>
      <w:r>
        <w:t xml:space="preserve">: TCI là yếu tố nâng mặt bằng năng suất nhất quán, nhưng vai trò uốn hình dạng đường cong I-P chỉ xuất hiện trong bối cảnh quốc gia cụ thể (P3 Việt Nam), không phổ quát xuyên toàn mẫu.</w:t>
      </w:r>
    </w:p>
    <w:p>
      <w:pPr>
        <w:numPr>
          <w:ilvl w:val="0"/>
          <w:numId w:val="1003"/>
        </w:numPr>
        <w:pStyle w:val="Compact"/>
      </w:pPr>
      <w:r>
        <w:rPr>
          <w:bCs/>
          <w:b/>
        </w:rPr>
        <w:t xml:space="preserve">DAI</w:t>
      </w:r>
      <w:r>
        <w:t xml:space="preserve">: có ý nghĩa thống kê toàn mẫu, hiệu ứng trực tiếp</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155</m:t>
        </m:r>
      </m:oMath>
      <w:r>
        <w:t xml:space="preserve"> </w:t>
      </w:r>
      <w:r>
        <w:t xml:space="preserve">(</w:t>
      </w:r>
      <m:oMath>
        <m:r>
          <m:t>p</m:t>
        </m:r>
        <m:r>
          <m:rPr>
            <m:sty m:val="p"/>
          </m:rPr>
          <m:t>&lt;</m:t>
        </m:r>
        <m:r>
          <m:rPr>
            <m:sty m:val="p"/>
          </m:rPr>
          <m:t>,</m:t>
        </m:r>
        <m:r>
          <m:t>001</m:t>
        </m:r>
      </m:oMath>
      <w:r>
        <w:t xml:space="preserve">) tương ứng lợi thế năng suất ~17% cho doanh nghiệp có website. Quan trọng hơn,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Pattern âm rồi dương này cho thấy doanh nghiệp DAI cao có đường cong I-P phẳng hơn nhưng dịch lên, tổn thất hiệu suất ít hơn khi quốc tế hóa cao. Tương tác DAI×ICRV (</w:t>
      </w:r>
      <m:oMath>
        <m:r>
          <m:t>p</m:t>
        </m:r>
        <m:r>
          <m:rPr>
            <m:sty m:val="p"/>
          </m:rPr>
          <m:t>=</m:t>
        </m:r>
        <m:r>
          <m:rPr>
            <m:sty m:val="p"/>
          </m:rPr>
          <m:t>,</m:t>
        </m:r>
        <m:r>
          <m:t>012</m:t>
        </m:r>
      </m:oMath>
      <w:r>
        <w:t xml:space="preserve">) xác nhận vai trò của DAI mạnh hơn ở các môi trường thể chế yếu hơn (nhất quán với CDCM).</w:t>
      </w:r>
    </w:p>
    <w:p>
      <w:r>
        <w:pict>
          <v:rect style="width:0;height:1.5pt" o:hralign="center" o:hrstd="t" o:hr="t"/>
        </w:pict>
      </w:r>
    </w:p>
    <w:bookmarkEnd w:id="47"/>
    <w:bookmarkEnd w:id="48"/>
    <w:bookmarkStart w:id="52" w:name="X42f69945b56833cca239d45dc5864a7be6f74d7"/>
    <w:p>
      <w:pPr>
        <w:pStyle w:val="Heading2"/>
      </w:pPr>
      <w:r>
        <w:t xml:space="preserve">4.7 Kết quả trường hợp biên SIDS, Các nền kinh tế đảo nhỏ đang phát triển (P8)</w:t>
      </w:r>
    </w:p>
    <w:bookmarkStart w:id="49" w:name="đặc-điểm-mẫu-sids"/>
    <w:p>
      <w:pPr>
        <w:pStyle w:val="Heading3"/>
      </w:pPr>
      <w:r>
        <w:t xml:space="preserve">4.7.1 Đặc điểm mẫu SIDS</w:t>
      </w:r>
    </w:p>
    <w:p>
      <w:pPr>
        <w:pStyle w:val="FirstParagraph"/>
      </w:pPr>
      <w:r>
        <w:t xml:space="preserve">Phân tích P8 tập trung vào chín quốc gia SIDS Thái Bình Dương (Pacific Small Island Developing States,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w:t>
      </w:r>
    </w:p>
    <w:bookmarkEnd w:id="49"/>
    <w:bookmarkStart w:id="50"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turning point trong phạm vi dữ liệu.</w:t>
      </w:r>
    </w:p>
    <w:bookmarkEnd w:id="50"/>
    <w:bookmarkStart w:id="51"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các nghiên cứu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các nghiên cứu internationalization-firm performance cho khu vực Thái Bình Dương.</w:t>
      </w:r>
    </w:p>
    <w:p>
      <w:r>
        <w:pict>
          <v:rect style="width:0;height:1.5pt" o:hralign="center" o:hrstd="t" o:hr="t"/>
        </w:pict>
      </w:r>
    </w:p>
    <w:bookmarkEnd w:id="51"/>
    <w:bookmarkEnd w:id="52"/>
    <w:bookmarkStart w:id="53" w:name="tổng-hợp-kết-quả-theo-hệ-giả-thuyết"/>
    <w:p>
      <w:pPr>
        <w:pStyle w:val="Heading2"/>
      </w:pPr>
      <w:r>
        <w:t xml:space="preserve">4.8 Tổng hợp kết quả theo hệ giả thuyết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 = +0,155***) và cả hai curvature interactions có ý nghĩa trong P7 (49 nền kinh tế); DAI×ICRV p = 0,012,</w:t>
            </w:r>
            <w:r>
              <w:t xml:space="preserve"> </w:t>
            </w:r>
            <w:r>
              <w:t xml:space="preserve">“</w:t>
            </w:r>
            <w:r>
              <w:t xml:space="preserve">digital shield</w:t>
            </w:r>
            <w:r>
              <w:t xml:space="preserve">”</w:t>
            </w:r>
            <w:r>
              <w:t xml:space="preserve"> </w:t>
            </w:r>
            <w:r>
              <w:t xml:space="preserve">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báo cáo trong P7 với top manager nữ β = +0,185***</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Frontier; gradient ICRV đến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0</m:t>
              </m:r>
              <m:r>
                <m:rPr>
                  <m:sty m:val="p"/>
                </m:rPr>
                <m:t>,</m:t>
              </m:r>
              <m:sSup>
                <m:e>
                  <m:r>
                    <m:t>901</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53"/>
    <w:bookmarkStart w:id="5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bookmarkEnd w:id="5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2026-05-25T08:12:53Z</dcterms:created>
  <dcterms:modified xsi:type="dcterms:W3CDTF">2026-05-25T08:12:53Z</dcterms:modified>
</cp:coreProperties>
</file>

<file path=docProps/custom.xml><?xml version="1.0" encoding="utf-8"?>
<Properties xmlns="http://schemas.openxmlformats.org/officeDocument/2006/custom-properties" xmlns:vt="http://schemas.openxmlformats.org/officeDocument/2006/docPropsVTypes"/>
</file>