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8"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r>
        <w:t xml:space="preserve"> </w:t>
      </w:r>
      <w:r>
        <w:t xml:space="preserve">## 1 Introduction</w:t>
      </w:r>
      <w:r>
        <w:t xml:space="preserve"> </w:t>
      </w:r>
      <w:r>
        <w:t xml:space="preserve">### 1.1 Background and motivation</w:t>
      </w:r>
      <w:r>
        <w:t xml:space="preserve"> </w:t>
      </w: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appear to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sampled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t xml:space="preserve"> </w:t>
      </w:r>
      <w:r>
        <w:t xml:space="preserve">### 1.2 Research gap</w:t>
      </w:r>
      <w:r>
        <w:t xml:space="preserve"> </w:t>
      </w: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r>
        <w:t xml:space="preserve"> </w:t>
      </w:r>
      <w:r>
        <w:t xml:space="preserve">### 1.3 Contribution</w:t>
      </w:r>
      <w:r>
        <w:t xml:space="preserve"> </w:t>
      </w: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r>
        <w:t xml:space="preserve"> </w:t>
      </w:r>
      <w:r>
        <w:t xml:space="preserve">### 1.4 Roadmap</w:t>
      </w:r>
      <w:r>
        <w:t xml:space="preserve"> </w:t>
      </w: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t xml:space="preserve"> </w:t>
      </w:r>
      <w:r>
        <w:t xml:space="preserve">## 2 Theory and Hypotheses</w:t>
      </w:r>
      <w:r>
        <w:t xml:space="preserve"> </w:t>
      </w:r>
      <w:r>
        <w:t xml:space="preserve">### 2.1 The internationalization–performance relationship</w:t>
      </w:r>
      <w:r>
        <w:t xml:space="preserve"> </w:t>
      </w: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t xml:space="preserve"> </w:t>
      </w:r>
      <w:r>
        <w:t xml:space="preserve">### 2.2 Two distinct constructs: TCI and DAI</w:t>
      </w:r>
      <w:r>
        <w:t xml:space="preserve"> </w:t>
      </w: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w:t>
      </w:r>
      <w:r>
        <w:t xml:space="preserve"> </w:t>
      </w:r>
      <w:r>
        <w:t xml:space="preserve">“</w:t>
      </w:r>
      <w:r>
        <w:t xml:space="preserve">digital capability</w:t>
      </w:r>
      <w:r>
        <w:t xml:space="preserve">”</w:t>
      </w:r>
      <w:r>
        <w:t xml:space="preserve"> </w:t>
      </w:r>
      <w:r>
        <w:t xml:space="preserve">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t xml:space="preserve"> </w:t>
      </w:r>
      <w:r>
        <w:t xml:space="preserve">### 2.3 Hypothesis development</w:t>
      </w:r>
      <w:r>
        <w:t xml:space="preserve"> </w:t>
      </w:r>
      <w:r>
        <w:t xml:space="preserve">#### 2.3.1 TCI direct effect on productivity</w:t>
      </w:r>
      <w:r>
        <w:t xml:space="preserve"> </w:t>
      </w: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r>
        <w:t xml:space="preserve"> </w:t>
      </w:r>
      <w:r>
        <w:t xml:space="preserve">#### 2.3.2 TCI moderation of the I–P relationship</w:t>
      </w:r>
      <w:r>
        <w:t xml:space="preserve"> </w:t>
      </w: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r>
        <w:t xml:space="preserve"> </w:t>
      </w:r>
      <w:r>
        <w:t xml:space="preserve">#### 2.3.3 DAI direct effect on productivity</w:t>
      </w:r>
      <w:r>
        <w:t xml:space="preserve"> </w:t>
      </w: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r>
        <w:t xml:space="preserve"> </w:t>
      </w:r>
      <w:r>
        <w:t xml:space="preserve">#### 2.3.4 DAI as a conditional complement to export intensity</w:t>
      </w:r>
      <w:r>
        <w:t xml:space="preserve"> </w:t>
      </w: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Start w:id="25" w:name="conceptual-model"/>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CaptionedFigure"/>
      </w:pPr>
      <w:r>
        <w:drawing>
          <wp:inline>
            <wp:extent cx="5753100" cy="3978568"/>
            <wp:effectExtent b="0" l="0" r="0" t="0"/>
            <wp:docPr descr="Figure 1: Conceptual model — TCI and DAI moderating the I–P relationship (Singapore)" title="" id="23" name="Picture"/>
            <a:graphic>
              <a:graphicData uri="http://schemas.openxmlformats.org/drawingml/2006/picture">
                <pic:pic>
                  <pic:nvPicPr>
                    <pic:cNvPr descr="figures/p4_singapore/figure_1_conceptual_model.png" id="24" name="Picture"/>
                    <pic:cNvPicPr>
                      <a:picLocks noChangeArrowheads="1" noChangeAspect="1"/>
                    </pic:cNvPicPr>
                  </pic:nvPicPr>
                  <pic:blipFill>
                    <a:blip r:embed="rId22"/>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Figure 1: Conceptual model —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r>
        <w:t xml:space="preserve"> </w:t>
      </w:r>
      <w:r>
        <w:t xml:space="preserve">## 3 Methods</w:t>
      </w:r>
      <w:r>
        <w:t xml:space="preserve"> </w:t>
      </w:r>
      <w:r>
        <w:t xml:space="preserve">### 3.1 Data</w:t>
      </w:r>
      <w:r>
        <w:t xml:space="preserve"> </w:t>
      </w: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r>
        <w:t xml:space="preserve"> </w:t>
      </w:r>
      <w:r>
        <w:t xml:space="preserve">### 3.2 Variables</w:t>
      </w:r>
      <w:r>
        <w:t xml:space="preserve"> </w:t>
      </w:r>
      <w:r>
        <w:t xml:space="preserve">#### 3.2.1 Dependent variable</w:t>
      </w:r>
      <w:r>
        <w:t xml:space="preserve"> </w:t>
      </w: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r>
        <w:t xml:space="preserve"> </w:t>
      </w:r>
      <w:r>
        <w:t xml:space="preserve">#### 3.2.2 Focal independent variable</w:t>
      </w:r>
      <w:r>
        <w:t xml:space="preserve"> </w:t>
      </w: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t xml:space="preserve"> </w:t>
      </w:r>
      <w:r>
        <w:t xml:space="preserve">#### 3.2.3 TCI and DAI composites</w:t>
      </w:r>
      <w:r>
        <w:t xml:space="preserve"> </w:t>
      </w: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r>
        <w:t xml:space="preserve"> </w:t>
      </w:r>
      <w:r>
        <w:t xml:space="preserve">#### 3.2.4 Controls</w:t>
      </w:r>
      <w:r>
        <w:t xml:space="preserve"> </w:t>
      </w: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t xml:space="preserve"> </w:t>
      </w:r>
      <w:r>
        <w:t xml:space="preserve">### 3.2.5 Variable definitions</w:t>
      </w:r>
    </w:p>
    <w:p>
      <w:pPr>
        <w:pStyle w:val="BodyText"/>
      </w:pPr>
      <w:r>
        <w:rPr>
          <w:bCs/>
          <w:b/>
        </w:rPr>
        <w:t xml:space="preserve">Table 0. Variable definitions and WBES item sources (Singapore 2023).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25"/>
    <w:bookmarkStart w:id="26" w:name="Xf0d337b7871f1e30984357ede4c26fad3ab0772"/>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 H1-TCI level effect):</w:t>
      </w:r>
      <w:r>
        <w:t xml:space="preserve"> </w:t>
      </w:r>
      <w:r>
        <w:t xml:space="preserve">ln(LP)ᵢ = α + β₁ FSTS_cᵢ + β₂ FSTS_c²ᵢ + β₃ TCI_zᵢ + γ·Xᵢ + δ_s + εᵢ</w:t>
      </w:r>
    </w:p>
    <w:p>
      <w:pPr>
        <w:pStyle w:val="BodyText"/>
      </w:pPr>
      <w:r>
        <w:rPr>
          <w:bCs/>
          <w:b/>
        </w:rPr>
        <w:t xml:space="preserve">M4 (TCI moderation —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26"/>
    <w:bookmarkStart w:id="27" w:name="X0fcf099929e626b10071b523c2c83735d5a4cd9"/>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w:t>
      </w:r>
      <w:r>
        <w:t xml:space="preserve"> </w:t>
      </w:r>
      <w:r>
        <w:t xml:space="preserve">“</w:t>
      </w:r>
      <w:r>
        <w:t xml:space="preserve">the inverted-U fails</w:t>
      </w:r>
      <w:r>
        <w:t xml:space="preserve">”</w:t>
      </w:r>
      <w:r>
        <w:t xml:space="preserve">,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27"/>
    <w:bookmarkEnd w:id="28"/>
    <w:bookmarkStart w:id="39" w:name="results"/>
    <w:p>
      <w:pPr>
        <w:pStyle w:val="Heading2"/>
      </w:pPr>
      <w:r>
        <w:t xml:space="preserve">4 Results</w:t>
      </w:r>
    </w:p>
    <w:bookmarkStart w:id="29" w:name="descriptive-statistics"/>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r>
        <w:t xml:space="preserve"> </w:t>
      </w:r>
      <w:r>
        <w:t xml:space="preserve">### 4.2 The I–P relationship: primarily monotonic with mild curvature</w:t>
      </w:r>
      <w:r>
        <w:t xml:space="preserve"> </w:t>
      </w: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w:t>
      </w:r>
      <w:r>
        <w:t xml:space="preserve"> </w:t>
      </w:r>
      <w:r>
        <w:t xml:space="preserve">“</w:t>
      </w:r>
      <w:r>
        <w:t xml:space="preserve">no inverted-U</w:t>
      </w:r>
      <w:r>
        <w:t xml:space="preserve">”</w:t>
      </w:r>
      <w:r>
        <w:t xml:space="preserve"> </w:t>
      </w:r>
      <w:r>
        <w:t xml:space="preserve">from</w:t>
      </w:r>
      <w:r>
        <w:t xml:space="preserve"> </w:t>
      </w:r>
      <w:r>
        <w:t xml:space="preserve">“</w:t>
      </w:r>
      <w:r>
        <w:t xml:space="preserve">inverted-U whose right-side decline has been pushed into the unobserved upper tail.</w:t>
      </w:r>
      <w:r>
        <w:t xml:space="preserve">”</w:t>
      </w:r>
      <w:r>
        <w:t xml:space="preserve"> </w:t>
      </w:r>
      <w:r>
        <w:t xml:space="preserve">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29"/>
    <w:bookmarkStart w:id="36" w:name="tci-results"/>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t xml:space="preserve"> </w:t>
      </w:r>
      <w:r>
        <w:t xml:space="preserve">### 4.4 DAI results</w:t>
      </w:r>
      <w:r>
        <w:t xml:space="preserve"> </w:t>
      </w: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31" name="Picture"/>
            <a:graphic>
              <a:graphicData uri="http://schemas.openxmlformats.org/drawingml/2006/picture">
                <pic:pic>
                  <pic:nvPicPr>
                    <pic:cNvPr descr="figures/p4_singapore/figure_2_dai_marginal_effect.png" id="32" name="Picture"/>
                    <pic:cNvPicPr>
                      <a:picLocks noChangeArrowheads="1" noChangeAspect="1"/>
                    </pic:cNvPicPr>
                  </pic:nvPicPr>
                  <pic:blipFill>
                    <a:blip r:embed="rId3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34" name="Picture"/>
            <a:graphic>
              <a:graphicData uri="http://schemas.openxmlformats.org/drawingml/2006/picture">
                <pic:pic>
                  <pic:nvPicPr>
                    <pic:cNvPr descr="figures/p4_singapore/figure_3_predicted_ip_curve.png" id="35" name="Picture"/>
                    <pic:cNvPicPr>
                      <a:picLocks noChangeArrowheads="1" noChangeAspect="1"/>
                    </pic:cNvPicPr>
                  </pic:nvPicPr>
                  <pic:blipFill>
                    <a:blip r:embed="rId3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36"/>
    <w:bookmarkStart w:id="37" w:name="robustness-checks"/>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t xml:space="preserve"> </w:t>
      </w:r>
      <w:r>
        <w:t xml:space="preserve">## 5 Discussion</w:t>
      </w:r>
      <w:r>
        <w:t xml:space="preserve"> </w:t>
      </w:r>
      <w:r>
        <w:t xml:space="preserve">### 5.1 Theoretical implications</w:t>
      </w:r>
      <w:r>
        <w:t xml:space="preserve"> </w:t>
      </w: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shows: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37"/>
    <w:bookmarkStart w:id="38" w:name="managerial-implications"/>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t xml:space="preserve"> </w:t>
      </w:r>
      <w:r>
        <w:t xml:space="preserve">## 6 Conclusion</w:t>
      </w:r>
      <w:r>
        <w:t xml:space="preserve"> </w:t>
      </w: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t xml:space="preserve"> </w:t>
      </w:r>
      <w:r>
        <w:t xml:space="preserve">## 7 Limitations and Future Research</w:t>
      </w:r>
      <w:r>
        <w:t xml:space="preserve"> </w:t>
      </w: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t xml:space="preserve"> </w:t>
      </w:r>
      <w:r>
        <w:t xml:space="preserve">## Data Availability Statement</w:t>
      </w:r>
      <w:r>
        <w:t xml:space="preserve"> </w:t>
      </w:r>
      <w:r>
        <w:t xml:space="preserve">The data analyzed in this study are from the World Bank Enterprise Survey (WBES) Singapore 2023 wave, publicly available at www.enterprisesurveys.org. Analysis scripts to replicate the results are available from the corresponding author on reasonable request.</w:t>
      </w:r>
    </w:p>
    <w:bookmarkEnd w:id="38"/>
    <w:bookmarkEnd w:id="39"/>
    <w:bookmarkStart w:id="4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40"/>
    <w:bookmarkStart w:id="41" w:name="funding"/>
    <w:p>
      <w:pPr>
        <w:pStyle w:val="Heading2"/>
      </w:pPr>
      <w:r>
        <w:t xml:space="preserve">Funding</w:t>
      </w:r>
    </w:p>
    <w:p>
      <w:pPr>
        <w:pStyle w:val="FirstParagraph"/>
      </w:pPr>
      <w:r>
        <w:t xml:space="preserve">This research received no external funding.</w:t>
      </w:r>
    </w:p>
    <w:bookmarkEnd w:id="41"/>
    <w:bookmarkStart w:id="42" w:name="conflict-of-interest"/>
    <w:p>
      <w:pPr>
        <w:pStyle w:val="Heading2"/>
      </w:pPr>
      <w:r>
        <w:t xml:space="preserve">Conflict of Interest</w:t>
      </w:r>
    </w:p>
    <w:p>
      <w:pPr>
        <w:pStyle w:val="FirstParagraph"/>
      </w:pPr>
      <w:r>
        <w:t xml:space="preserve">The authors declare no conflicts of interest.</w:t>
      </w:r>
    </w:p>
    <w:bookmarkEnd w:id="42"/>
    <w:bookmarkStart w:id="43"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 https://www.enterprisesurveys.org. Processed data and replication code are available from the corresponding author upon reasonable request.</w:t>
      </w:r>
    </w:p>
    <w:p>
      <w:r>
        <w:pict>
          <v:rect style="width:0;height:1.5pt" o:hralign="center" o:hrstd="t" o:hr="t"/>
        </w:pict>
      </w:r>
    </w:p>
    <w:bookmarkEnd w:id="43"/>
    <w:bookmarkStart w:id="4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Barney, J. (1991). Firm resources and sustained competitive advantage.</w:t>
      </w:r>
      <w:r>
        <w:t xml:space="preserve"> </w:t>
      </w:r>
      <w:r>
        <w:rPr>
          <w:iCs/>
          <w:i/>
        </w:rPr>
        <w:t xml:space="preserve">Journal of Management, 17</w:t>
      </w:r>
      <w:r>
        <w:t xml:space="preserve">(1), 99–120. https://doi.org/10.1177/014920639101700108</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r>
        <w:t xml:space="preserve"> </w:t>
      </w:r>
      <w:r>
        <w:t xml:space="preserve">O’Brien, R. M. (2007). A caution regarding rules of thumb for variance inflation factors.</w:t>
      </w:r>
      <w:r>
        <w:t xml:space="preserve"> </w:t>
      </w:r>
      <w:r>
        <w:rPr>
          <w:iCs/>
          <w:i/>
        </w:rPr>
        <w:t xml:space="preserve">Quality &amp; Quantity, 41</w:t>
      </w:r>
      <w:r>
        <w:t xml:space="preserve">(5), 673–690. https://doi.org/10.1007/s11135-006-9018-6</w:t>
      </w:r>
      <w:r>
        <w:t xml:space="preserve"> </w:t>
      </w:r>
      <w:r>
        <w:t xml:space="preserve">Peng, M. W. (2003). Institutional transitions and strategic choices.</w:t>
      </w:r>
      <w:r>
        <w:t xml:space="preserve"> </w:t>
      </w:r>
      <w:r>
        <w:rPr>
          <w:iCs/>
          <w:i/>
        </w:rPr>
        <w:t xml:space="preserve">Academy of Management Review, 28</w:t>
      </w:r>
      <w:r>
        <w:t xml:space="preserve">(2), 275–296. https://doi.org/10.5465/amr.2003.9416341</w:t>
      </w:r>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t xml:space="preserve">World Bank. (2024).</w:t>
      </w:r>
      <w:r>
        <w:t xml:space="preserve"> </w:t>
      </w:r>
      <w:r>
        <w:rPr>
          <w:iCs/>
          <w:i/>
        </w:rPr>
        <w:t xml:space="preserve">World Bank Enterprise Survey: Singapore 2023</w:t>
      </w:r>
      <w:r>
        <w:t xml:space="preserve">. https://www.enterprisesurveys.org</w:t>
      </w:r>
    </w:p>
    <w:bookmarkEnd w:id="44"/>
    <w:bookmarkEnd w:id="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2026-05-25T08:13:50Z</dcterms:created>
  <dcterms:modified xsi:type="dcterms:W3CDTF">2026-05-25T08:13:50Z</dcterms:modified>
</cp:coreProperties>
</file>

<file path=docProps/custom.xml><?xml version="1.0" encoding="utf-8"?>
<Properties xmlns="http://schemas.openxmlformats.org/officeDocument/2006/custom-properties" xmlns:vt="http://schemas.openxmlformats.org/officeDocument/2006/docPropsVTypes"/>
</file>