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w:t>
      </w:r>
      <w:r>
        <w:t xml:space="preserve"> </w:t>
      </w:r>
      <m:oMath>
        <m:sSup>
          <m:e>
            <m:r>
              <m:rPr>
                <m:nor/>
                <m:sty m:val="p"/>
              </m:rPr>
              <m:t>FSTS</m:t>
            </m:r>
          </m:e>
          <m:sup>
            <m:r>
              <m:t>2</m:t>
            </m:r>
          </m:sup>
        </m:sSup>
      </m:oMath>
      <w:r>
        <w:t xml:space="preserve">×TCI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 = 0,012)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các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các nghiên cứu,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w:t>
      </w:r>
      <w:r>
        <w:t xml:space="preserve"> </w:t>
      </w:r>
      <m:oMath>
        <m:r>
          <m:rPr>
            <m:sty m:val="p"/>
          </m:rPr>
          <m:t>≈</m:t>
        </m:r>
      </m:oMath>
      <w:r>
        <w:t xml:space="preserve"> </w:t>
      </w:r>
      <w:r>
        <w:t xml:space="preserve">88,6% (Singapore, Advanced Innovation) đến TP</w:t>
      </w:r>
      <w:r>
        <w:t xml:space="preserve"> </w:t>
      </w:r>
      <m:oMath>
        <m:r>
          <m:rPr>
            <m:sty m:val="p"/>
          </m:rPr>
          <m:t>≈</m:t>
        </m:r>
      </m:oMath>
      <w:r>
        <w:t xml:space="preserve"> </w:t>
      </w:r>
      <w:r>
        <w:t xml:space="preserve">39,7% (Việt Nam pooled, Lower-mid Transition), với Trung Quốc ở mức trung gian (TP</w:t>
      </w:r>
      <w:r>
        <w:t xml:space="preserve"> </w:t>
      </w:r>
      <m:oMath>
        <m:r>
          <m:rPr>
            <m:sty m:val="p"/>
          </m:rPr>
          <m:t>≈</m:t>
        </m:r>
      </m:oMath>
      <w:r>
        <w:t xml:space="preserve"> </w:t>
      </w:r>
      <w:r>
        <w:t xml:space="preserve">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các nghiên cứu của Lu và Beamish.</w:t>
      </w:r>
    </w:p>
    <w:bookmarkEnd w:id="29"/>
    <w:bookmarkStart w:id="3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các nghiên cứu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 = +0,155, p &lt; 0,001, mẫu gộp N=84,910 từ 49 nền kinh tế) nhưng vai trò điều tiết đường cong I-P là</w:t>
      </w:r>
      <w:r>
        <w:t xml:space="preserve"> </w:t>
      </w:r>
      <w:r>
        <w:rPr>
          <w:bCs/>
          <w:b/>
        </w:rPr>
        <w:t xml:space="preserve">bối cảnh-phụ thuộc</w:t>
      </w:r>
      <w:r>
        <w:t xml:space="preserve"> </w:t>
      </w:r>
      <w:r>
        <w:t xml:space="preserve">(DAI×ICRV: p = 0,012)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 = 0,012) cho thấy hiệu ứng điều tiết của DAI</w:t>
      </w:r>
      <w:r>
        <w:t xml:space="preserve"> </w:t>
      </w:r>
      <w:r>
        <w:rPr>
          <w:bCs/>
          <w:b/>
        </w:rPr>
        <w:t xml:space="preserve">mạnh hơn</w:t>
      </w:r>
      <w:r>
        <w:t xml:space="preserve"> </w:t>
      </w:r>
      <w:r>
        <w:t xml:space="preserve">tại các nền kinh tế thể chế yếu hơn (Frontier,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các nghiên cứu về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tài liệu nghiên cứu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3"/>
    <w:bookmarkStart w:id="3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các nghiên cứu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w:t>
      </w:r>
      <w:r>
        <w:t xml:space="preserve"> </w:t>
      </w:r>
      <m:oMath>
        <m:r>
          <m:rPr>
            <m:sty m:val="p"/>
          </m:rPr>
          <m:t>≈</m:t>
        </m:r>
      </m:oMath>
      <w:r>
        <w:t xml:space="preserve"> </w:t>
      </w:r>
      <w:r>
        <w:t xml:space="preserve">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w:t>
      </w:r>
      <w:r>
        <w:t xml:space="preserve"> </w:t>
      </w:r>
      <m:oMath>
        <m:r>
          <m:rPr>
            <m:sty m:val="p"/>
          </m:rPr>
          <m:t>≈</m:t>
        </m:r>
      </m:oMath>
      <w:r>
        <w:t xml:space="preserve"> </w:t>
      </w:r>
      <w:r>
        <w:t xml:space="preserve">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w:t>
      </w:r>
      <w:r>
        <w:t xml:space="preserve"> </w:t>
      </w:r>
      <m:oMath>
        <m:r>
          <m:rPr>
            <m:sty m:val="p"/>
          </m:rPr>
          <m:t>≈</m:t>
        </m:r>
      </m:oMath>
      <w:r>
        <w:t xml:space="preserve"> </w:t>
      </w:r>
      <w:r>
        <w:t xml:space="preserve">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w:t>
      </w:r>
      <w:r>
        <w:t xml:space="preserve"> </w:t>
      </w:r>
      <m:oMath>
        <m:r>
          <m:rPr>
            <m:sty m:val="p"/>
          </m:rPr>
          <m:t>≈</m:t>
        </m:r>
      </m:oMath>
      <w:r>
        <w:t xml:space="preserve"> </w:t>
      </w:r>
      <w:r>
        <w:t xml:space="preserve">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các nghiên cứu meta-analysis về quan hệ I-P bằng cách phân tách cấu trúc dị biệt và xác định ICRV như moderator có ý nghĩa; (ii) các nghiên cứu về năng lực số bằng cách làm rõ DAI là situational resource chứ không phải foundational capability; và (iii) các nghiên cứu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2026-05-25T08:14:23Z</dcterms:created>
  <dcterms:modified xsi:type="dcterms:W3CDTF">2026-05-25T08:14:23Z</dcterms:modified>
</cp:coreProperties>
</file>

<file path=docProps/custom.xml><?xml version="1.0" encoding="utf-8"?>
<Properties xmlns="http://schemas.openxmlformats.org/officeDocument/2006/custom-properties" xmlns:vt="http://schemas.openxmlformats.org/officeDocument/2006/docPropsVTypes"/>
</file>