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7.png" ContentType="image/png"/>
  <Override PartName="/word/media/rId1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t xml:space="preserve">BỘ GIÁO DỤC VÀ ĐÀO TẠO</w:t>
      </w:r>
      <w:r>
        <w:t xml:space="preserve"> </w:t>
      </w:r>
      <w:r>
        <w:t xml:space="preserve">TRƯỜNG ĐẠI HỌC CẦN THƠ</w:t>
      </w:r>
      <w:r>
        <w:t xml:space="preserve"> </w:t>
      </w:r>
      <w:r>
        <w:t xml:space="preserve">TRƯỜNG KINH TẾ</w:t>
      </w:r>
    </w:p>
    <w:p>
      <w:pPr>
        <w:pStyle w:val="BodyText"/>
      </w:pPr>
      <w:r>
        <w:t xml:space="preserve">─────────────────────────────────────────</w:t>
      </w:r>
    </w:p>
    <w:bookmarkStart w:id="21" w:name="đỗ-thùy-hương"/>
    <w:p>
      <w:pPr>
        <w:pStyle w:val="Heading1"/>
      </w:pPr>
      <w:r>
        <w:t xml:space="preserve">ĐỖ THÙY HƯƠNG</w:t>
      </w:r>
    </w:p>
    <w:bookmarkStart w:id="20" w:name="Xc68c6454702a5acc569973a2d0e5beb6bb91b2c"/>
    <w:p>
      <w:pPr>
        <w:pStyle w:val="Heading2"/>
      </w:pPr>
      <w:r>
        <w:t xml:space="preserve">QUỐC TẾ HÓA VÀ HIỆU QUẢ HOẠT ĐỘNG CỦA DOANH NGHIỆP TẠI CHÂU Á: VAI TRÒ ĐIỀU TIẾT CỦA THỂ CHẾ, NĂNG LỰC SỐ VÀ ĐẶC ĐIỂM NHÀ QUẢN TRỊ</w:t>
      </w:r>
    </w:p>
    <w:p>
      <w:pPr>
        <w:pStyle w:val="FirstParagraph"/>
      </w:pPr>
      <w:r>
        <w:rPr>
          <w:iCs/>
          <w:i/>
        </w:rPr>
        <w:t xml:space="preserve">(Tiêu đề dự thảo, NCS xác nhận tiêu đề chính thức đã đăng ký với cơ sở đào tạo)</w:t>
      </w:r>
    </w:p>
    <w:p>
      <w:pPr>
        <w:pStyle w:val="BodyText"/>
      </w:pPr>
      <w:r>
        <w:t xml:space="preserve">LUẬN ÁN TIẾN SĨ</w:t>
      </w:r>
    </w:p>
    <w:p>
      <w:pPr>
        <w:pStyle w:val="BodyText"/>
      </w:pPr>
      <w:r>
        <w:t xml:space="preserve">Ngành: Quản trị kinh doanh</w:t>
      </w:r>
      <w:r>
        <w:t xml:space="preserve"> </w:t>
      </w:r>
      <w:r>
        <w:t xml:space="preserve">Mã ngành: 9340101</w:t>
      </w:r>
      <w:r>
        <w:t xml:space="preserve"> </w:t>
      </w:r>
      <w:r>
        <w:t xml:space="preserve">Mã nghiên cứu sinh: P1323001</w:t>
      </w:r>
    </w:p>
    <w:p>
      <w:pPr>
        <w:pStyle w:val="BodyText"/>
      </w:pPr>
      <w:r>
        <w:t xml:space="preserve">NGƯỜI HƯỚNG DẪN KHOA HỌC</w:t>
      </w:r>
      <w:r>
        <w:t xml:space="preserve"> </w:t>
      </w:r>
      <w:r>
        <w:rPr>
          <w:iCs/>
          <w:i/>
        </w:rPr>
        <w:t xml:space="preserve">[NCS xác nhận: TS. Nguyễn Minh Cảnh / PGS.TS. Phan Anh Tú]</w:t>
      </w:r>
    </w:p>
    <w:p>
      <w:pPr>
        <w:pStyle w:val="BodyText"/>
      </w:pPr>
      <w:r>
        <w:t xml:space="preserve">Cần Thơ, năm 2026</w:t>
      </w:r>
    </w:p>
    <w:bookmarkEnd w:id="20"/>
    <w:bookmarkEnd w:id="21"/>
    <w:p>
      <w:r>
        <w:pict>
          <v:rect style="width:0;height:1.5pt" o:hralign="center" o:hrstd="t" o:hr="t"/>
        </w:pict>
      </w:r>
    </w:p>
    <w:bookmarkStart w:id="22" w:name="lời-cam-đoan"/>
    <w:p>
      <w:pPr>
        <w:pStyle w:val="Heading2"/>
      </w:pPr>
      <w:r>
        <w:t xml:space="preserve">LỜI CAM ĐOAN</w:t>
      </w:r>
    </w:p>
    <w:p>
      <w:pPr>
        <w:pStyle w:val="FirstParagraph"/>
      </w:pPr>
      <w:r>
        <w:t xml:space="preserve">Tôi xin cam đoan luận án tiến sĩ này là công trình nghiên cứu của riêng tôi dưới sự hướng dẫn khoa học của người hướng dẫn. Các kết quả phân tích, số liệu, bảng biểu và hình vẽ trình bày trong luận án đều trung thực và chưa từng được công bố trong bất kỳ công trình nào khác, ngoại trừ các bài báo khoa học do chính tôi là tác giả/đồng tác giả được liệt kê trong</w:t>
      </w:r>
      <w:r>
        <w:t xml:space="preserve"> </w:t>
      </w:r>
      <w:r>
        <w:rPr>
          <w:iCs/>
          <w:i/>
        </w:rPr>
        <w:t xml:space="preserve">Danh mục công trình đã công bố của nghiên cứu sinh</w:t>
      </w:r>
      <w:r>
        <w:t xml:space="preserve"> </w:t>
      </w:r>
      <w:r>
        <w:t xml:space="preserve">(luận án được thực hiện theo định hướng kết hợp các công trình thành phần). Luận án được phát triển trên cơ sở</w:t>
      </w:r>
      <w:r>
        <w:t xml:space="preserve"> </w:t>
      </w:r>
      <w:r>
        <w:rPr>
          <w:bCs/>
          <w:b/>
        </w:rPr>
        <w:t xml:space="preserve">hai chuyên đề tiến sĩ do chính tôi thực hiện trong khuôn khổ chương trình đào tạo tiến sĩ tại Trường Đại học Cần Thơ</w:t>
      </w:r>
      <w:r>
        <w:t xml:space="preserve"> </w:t>
      </w:r>
      <w:r>
        <w:t xml:space="preserve">(theo Quyết định giao chuyên đề của Nhà trường); do đó, một phần nội dung của luận án kế thừa và có thể trùng lặp với hai chuyên đề này, đây là phần công trình của chính tôi, không phải sao chép từ nguồn của người khác. Dữ liệu sử dụng là dữ liệu thứ cấp công khai từ Khảo sát Doanh nghiệp của Ngân hàng Thế giới (World Bank Enterprise Surveys). Mọi trích dẫn từ các nghiên cứu khác đều được nêu rõ nguồn theo chuẩn APA 7th và được liệt kê đầy đủ trong danh mục tài liệu tham khảo. Tôi xin chịu trách nhiệm hoàn toàn về nội dung khoa học của luận án này.</w:t>
      </w:r>
    </w:p>
    <w:p>
      <w:pPr>
        <w:pStyle w:val="BodyText"/>
      </w:pPr>
      <w:r>
        <w:rPr>
          <w:iCs/>
          <w:i/>
        </w:rPr>
        <w:t xml:space="preserve">Cần Thơ, ngày … tháng … năm 2026</w:t>
      </w:r>
    </w:p>
    <w:p>
      <w:pPr>
        <w:pStyle w:val="BodyText"/>
      </w:pPr>
      <w:r>
        <w:rPr>
          <w:bCs/>
          <w:b/>
        </w:rPr>
        <w:t xml:space="preserve">Nghiên cứu sinh</w:t>
      </w:r>
    </w:p>
    <w:p>
      <w:pPr>
        <w:pStyle w:val="BodyText"/>
      </w:pPr>
      <w:r>
        <w:t xml:space="preserve">Đỗ Thùy Hương</w:t>
      </w:r>
    </w:p>
    <w:p>
      <w:r>
        <w:pict>
          <v:rect style="width:0;height:1.5pt" o:hralign="center" o:hrstd="t" o:hr="t"/>
        </w:pict>
      </w:r>
    </w:p>
    <w:bookmarkEnd w:id="22"/>
    <w:bookmarkStart w:id="23" w:name="lời-cảm-ơn"/>
    <w:p>
      <w:pPr>
        <w:pStyle w:val="Heading2"/>
      </w:pPr>
      <w:r>
        <w:t xml:space="preserve">LỜI CẢM ƠN</w:t>
      </w:r>
    </w:p>
    <w:p>
      <w:pPr>
        <w:pStyle w:val="FirstParagraph"/>
      </w:pPr>
      <w:r>
        <w:rPr>
          <w:iCs/>
          <w:i/>
        </w:rPr>
        <w:t xml:space="preserve">(NCS hoàn thiện: cảm ơn người hướng dẫn khoa học, Trường Kinh tế và Trường Đại học Cần Thơ, Trường Đại học Kỹ thuật – Công nghệ Vĩnh Long, gia đình và đồng nghiệp.)</w:t>
      </w:r>
    </w:p>
    <w:p>
      <w:r>
        <w:pict>
          <v:rect style="width:0;height:1.5pt" o:hralign="center" o:hrstd="t" o:hr="t"/>
        </w:pict>
      </w:r>
    </w:p>
    <w:bookmarkEnd w:id="23"/>
    <w:bookmarkStart w:id="24" w:name="tóm-tắt"/>
    <w:p>
      <w:pPr>
        <w:pStyle w:val="Heading2"/>
      </w:pPr>
      <w:r>
        <w:t xml:space="preserve">TÓM TẮT</w:t>
      </w:r>
    </w:p>
    <w:p>
      <w:pPr>
        <w:pStyle w:val="FirstParagraph"/>
      </w:pPr>
      <w:r>
        <w:t xml:space="preserve">Luận án nghiên cứu mối quan hệ giữa quốc tế hóa và hiệu quả hoạt động của doanh nghiệp (internationalization–firm performance, I–P) tại châu Á, tập trung làm rõ các điều kiện biên giải thích sự dị biệt cao trong mối quan hệ này. Trên cơ sở tích hợp bốn lý thuyết kinh điển, mô hình Uppsala, lý thuyết dựa trên nguồn lực (RBV), lý thuyết thể chế và lý thuyết thượng tầng quản trị, cùng lớp mở rộng về năng lực số, luận án xây dựng khung giải thích đa tầng CDCM (Country–Digital–Capability Moderation) với ba tầng điều tiết: bối cảnh thể chế (vận hành hóa bằng khung phân loại ICRV sáu nhóm), năng lực số (phân tách năng lực công nghệ TCI và chỉ số chấp nhận số DAI), và đặc điểm nhà quản trị cấp cao.</w:t>
      </w:r>
    </w:p>
    <w:p>
      <w:pPr>
        <w:pStyle w:val="BodyText"/>
      </w:pPr>
      <w:r>
        <w:t xml:space="preserve">Luận án sử dụng thiết kế hỗn hợp tổng hợp–thực nghiệm (mixed synthesis-empirical): (i) một phân tích tổng hợp (meta-analysis) ba tầng giai đoạn 1982–2026 với k = 238 nghiên cứu; và (ii) phân tích thực nghiệm dữ liệu doanh nghiệp từ Khảo sát Doanh nghiệp của Ngân hàng Thế giới (WBES) trên 50 nền kinh tế châu Á và Thái Bình Dương (gồm Nhật Bản; mẫu hồi quy chính N = 81.022 doanh nghiệp), bổ sung bằng các phân tích quốc gia chuyên sâu (Việt Nam, Singapore, Trung Quốc, Ấn Độ) và trường hợp biên là bảy nền kinh tế đảo nhỏ đang phát triển (SIDS) Thái Bình Dương.</w:t>
      </w:r>
    </w:p>
    <w:p>
      <w:pPr>
        <w:pStyle w:val="BodyText"/>
      </w:pPr>
      <w:r>
        <w:t xml:space="preserve">Kết quả chính: (1) quan hệ I–P có dạng phi tuyến chữ U ngược với điểm uốn gộp 43,6% (mô hình đầy đủ, 50 nền kinh tế); chữ U ngược định hình rõ nét nhất ở nhóm chuyển đổi thu nhập trung bình–thấp (43,0%), duỗi thẳng gần tuyến tính ở nhóm thể chế mạnh nhất và mất cấu trúc ở các nhóm thể chế yếu nhất; (2) cả TCI và DAI đều</w:t>
      </w:r>
      <w:r>
        <w:t xml:space="preserve"> </w:t>
      </w:r>
      <w:r>
        <w:rPr>
          <w:bCs/>
          <w:b/>
        </w:rPr>
        <w:t xml:space="preserve">nâng mặt bằng hiệu quả một cách phổ quát</w:t>
      </w:r>
      <w:r>
        <w:t xml:space="preserve"> </w:t>
      </w:r>
      <w:r>
        <w:t xml:space="preserve">(TCI là năng lực nền tảng, DAI là nguồn lực tình huống), nhưng vai trò</w:t>
      </w:r>
      <w:r>
        <w:t xml:space="preserve"> </w:t>
      </w:r>
      <w:r>
        <w:rPr>
          <w:bCs/>
          <w:b/>
        </w:rPr>
        <w:t xml:space="preserve">uốn đường cong</w:t>
      </w:r>
      <w:r>
        <w:t xml:space="preserve"> </w:t>
      </w:r>
      <w:r>
        <w:t xml:space="preserve">của chúng không phổ quát: trên toàn mẫu 50 nền các tương tác với đường cong không đạt ý nghĩa thống kê, và chỉ định hình rõ ở bối cảnh đơn quốc gia đặc thù (điển hình là hiệu ứng</w:t>
      </w:r>
      <w:r>
        <w:t xml:space="preserve"> </w:t>
      </w:r>
      <w:r>
        <w:t xml:space="preserve">“</w:t>
      </w:r>
      <w:r>
        <w:t xml:space="preserve">lá chắn số</w:t>
      </w:r>
      <w:r>
        <w:t xml:space="preserve">”</w:t>
      </w:r>
      <w:r>
        <w:t xml:space="preserve"> </w:t>
      </w:r>
      <w:r>
        <w:t xml:space="preserve">của DAI tại Singapore), với xu hướng mạnh hơn ở môi trường thể chế yếu nhưng chỉ ở mức biên ý nghĩa; (3) tại nhóm SIDS, quan hệ I–P chuyển thành âm đơn điệu không có điểm uốn, hiện tượng được luận án đặt tên là</w:t>
      </w:r>
      <w:r>
        <w:t xml:space="preserve"> </w:t>
      </w:r>
      <w:r>
        <w:rPr>
          <w:bCs/>
          <w:b/>
        </w:rPr>
        <w:t xml:space="preserve">gánh nặng quốc tế hóa bắt buộc (Forced Internationalization Penalty, FIP)</w:t>
      </w:r>
      <w:r>
        <w:t xml:space="preserve">. Luận án đóng góp khung tích hợp đa tầng, taxonomy thể chế ICRV, và construct lý thuyết mới FIP cho dòng nghiên cứu kinh doanh quốc tế, đồng thời cung cấp hàm ý chính sách và quản trị theo từng bối cảnh thể chế.</w:t>
      </w:r>
    </w:p>
    <w:p>
      <w:pPr>
        <w:pStyle w:val="BodyText"/>
      </w:pPr>
      <w:r>
        <w:rPr>
          <w:bCs/>
          <w:b/>
        </w:rPr>
        <w:t xml:space="preserve">Từ khóa:</w:t>
      </w:r>
      <w:r>
        <w:t xml:space="preserve"> </w:t>
      </w:r>
      <w:r>
        <w:t xml:space="preserve">quốc tế hóa; hiệu quả doanh nghiệp; thể chế; năng lực số; nhà quản trị cấp cao; châu Á; WBES; phi tuyến chữ U ngược.</w:t>
      </w:r>
    </w:p>
    <w:p>
      <w:r>
        <w:pict>
          <v:rect style="width:0;height:1.5pt" o:hralign="center" o:hrstd="t" o:hr="t"/>
        </w:pict>
      </w:r>
    </w:p>
    <w:bookmarkEnd w:id="24"/>
    <w:bookmarkStart w:id="25" w:name="abstract"/>
    <w:p>
      <w:pPr>
        <w:pStyle w:val="Heading2"/>
      </w:pPr>
      <w:r>
        <w:t xml:space="preserve">ABSTRACT</w:t>
      </w:r>
    </w:p>
    <w:p>
      <w:pPr>
        <w:pStyle w:val="FirstParagraph"/>
      </w:pPr>
      <w:r>
        <w:t xml:space="preserve">This dissertation examines the internationalization–firm performance (I–P) relationship across Asia, focusing on the boundary conditions that explain its well-documented heterogeneity. Integrating four foundational theories, the Uppsala model, the resource-based view (RBV), institutional theory, and upper echelons theory, with a digital-capability extension, the dissertation develops a multi-tier moderation framework, CDCM (Country–Digital–Capability Moderation), comprising three moderating tiers: institutional context (operationalized through a six-group ICRV taxonomy), digital capability (separating technological capability, TCI, from digital adoption, DAI), and top-manager characteristics.</w:t>
      </w:r>
    </w:p>
    <w:p>
      <w:pPr>
        <w:pStyle w:val="BodyText"/>
      </w:pPr>
      <w:r>
        <w:t xml:space="preserve">The study adopts a mixed synthesis-empirical design: (i) a three-level meta-analysis spanning 1982–2026 (k = 238 studies); and (ii) firm-level empirical analysis of World Bank Enterprise Survey (WBES) microdata across 50 Asian and Pacific economies (including Japan; main regression sample N = 81,022 firms), complemented by country-specific analyses (Vietnam, Singapore, China, India) and a boundary case of seven Pacific Small Island Developing States (SIDS).</w:t>
      </w:r>
    </w:p>
    <w:p>
      <w:pPr>
        <w:pStyle w:val="BodyText"/>
      </w:pPr>
      <w:r>
        <w:t xml:space="preserve">Key findings: (1) the I–P relationship is inverted-U shaped with a pooled turning point of 43.6% (full model, 50 economies); the inverted-U is sharpest in the lower-middle transition regime (43.0%), flattens to near-linearity in the strongest-institution regime, and dissolves in the weakest regimes; (2) both TCI (a foundational capability) and DAI (a situational resource)</w:t>
      </w:r>
      <w:r>
        <w:t xml:space="preserve"> </w:t>
      </w:r>
      <w:r>
        <w:rPr>
          <w:bCs/>
          <w:b/>
        </w:rPr>
        <w:t xml:space="preserve">universally shift the performance level</w:t>
      </w:r>
      <w:r>
        <w:t xml:space="preserve">, but their curve-</w:t>
      </w:r>
      <w:r>
        <w:rPr>
          <w:bCs/>
          <w:b/>
        </w:rPr>
        <w:t xml:space="preserve">reshaping</w:t>
      </w:r>
      <w:r>
        <w:t xml:space="preserve"> </w:t>
      </w:r>
      <w:r>
        <w:t xml:space="preserve">role is not universal: across the 50-economy pool the curvature interactions are not statistically significant, and curve reshaping appears only in specific single-economy contexts (notably DAI’s</w:t>
      </w:r>
      <w:r>
        <w:t xml:space="preserve"> </w:t>
      </w:r>
      <w:r>
        <w:t xml:space="preserve">“</w:t>
      </w:r>
      <w:r>
        <w:t xml:space="preserve">digital shield</w:t>
      </w:r>
      <w:r>
        <w:t xml:space="preserve">”</w:t>
      </w:r>
      <w:r>
        <w:t xml:space="preserve"> </w:t>
      </w:r>
      <w:r>
        <w:t xml:space="preserve">in Singapore), with a tendency toward stronger moderation in weaker institutions that is only marginally significant; (3) in the SIDS group the relationship becomes monotonically negative with no turning point, a phenomenon the dissertation names the</w:t>
      </w:r>
      <w:r>
        <w:t xml:space="preserve"> </w:t>
      </w:r>
      <w:r>
        <w:rPr>
          <w:bCs/>
          <w:b/>
        </w:rPr>
        <w:t xml:space="preserve">Forced Internationalization Penalty (FIP)</w:t>
      </w:r>
      <w:r>
        <w:t xml:space="preserve">. The dissertation contributes an integrated multi-tier framework, the ICRV institutional taxonomy, and the novel FIP construct to international-business research, alongside context-contingent policy and managerial implications.</w:t>
      </w:r>
    </w:p>
    <w:p>
      <w:pPr>
        <w:pStyle w:val="BodyText"/>
      </w:pPr>
      <w:r>
        <w:rPr>
          <w:bCs/>
          <w:b/>
        </w:rPr>
        <w:t xml:space="preserve">Keywords:</w:t>
      </w:r>
      <w:r>
        <w:t xml:space="preserve"> </w:t>
      </w:r>
      <w:r>
        <w:t xml:space="preserve">internationalization; firm performance; institutions; digital capability; top management; Asia; WBES; inverted-U relationship.</w:t>
      </w:r>
    </w:p>
    <w:p>
      <w:r>
        <w:pict>
          <v:rect style="width:0;height:1.5pt" o:hralign="center" o:hrstd="t" o:hr="t"/>
        </w:pict>
      </w:r>
    </w:p>
    <w:bookmarkEnd w:id="25"/>
    <w:bookmarkStart w:id="26" w:name="mục-lục"/>
    <w:p>
      <w:pPr>
        <w:pStyle w:val="Heading2"/>
      </w:pPr>
      <w:r>
        <w:t xml:space="preserve">MỤC LỤC</w:t>
      </w:r>
    </w:p>
    <w:p>
      <w:pPr>
        <w:pStyle w:val="FirstParagraph"/>
      </w:pPr>
      <w:r>
        <w:rPr>
          <w:bCs/>
          <w:b/>
        </w:rPr>
        <w:t xml:space="preserve">MỞ ĐẦU</w:t>
      </w:r>
      <w:r>
        <w:t xml:space="preserve">, Lời cam đoan, Lời cảm ơn, Tóm tắt, Abstract, Danh mục từ viết tắt, Danh mục bảng, Danh mục hình, Danh mục công trình</w:t>
      </w:r>
    </w:p>
    <w:p>
      <w:pPr>
        <w:pStyle w:val="BodyText"/>
      </w:pPr>
      <w:r>
        <w:rPr>
          <w:bCs/>
          <w:b/>
        </w:rPr>
        <w:t xml:space="preserve">CHƯƠNG 1. GIỚI THIỆU</w:t>
      </w:r>
      <w:r>
        <w:t xml:space="preserve"> </w:t>
      </w:r>
      <w:r>
        <w:t xml:space="preserve">- 1.1 Bối cảnh nghiên cứu, 1.2 Vấn đề nghiên cứu, 1.3 Mục tiêu, 1.4 Câu hỏi nghiên cứu</w:t>
      </w:r>
      <w:r>
        <w:t xml:space="preserve"> </w:t>
      </w:r>
      <w:r>
        <w:t xml:space="preserve">- 1.5 Đối tượng và phạm vi, 1.6 Phương pháp luận, 1.7 Giả thuyết khoa học (tóm tắt)</w:t>
      </w:r>
      <w:r>
        <w:t xml:space="preserve"> </w:t>
      </w:r>
      <w:r>
        <w:t xml:space="preserve">- 1.8 Ý nghĩa khoa học và thực tiễn, 1.9 Tính mới, 1.10 Cấu trúc của luận án</w:t>
      </w:r>
    </w:p>
    <w:p>
      <w:pPr>
        <w:pStyle w:val="BodyText"/>
      </w:pPr>
      <w:r>
        <w:rPr>
          <w:bCs/>
          <w:b/>
        </w:rPr>
        <w:t xml:space="preserve">CHƯƠNG 2. CƠ SỞ LÝ THUYẾT VÀ TỔNG QUAN TÀI LIỆU</w:t>
      </w:r>
      <w:r>
        <w:t xml:space="preserve"> </w:t>
      </w:r>
      <w:r>
        <w:t xml:space="preserve">- 2.1 Các khái niệm cốt lõi, 2.2 Các lý thuyết nền, 2.3 Tổng quan thực nghiệm</w:t>
      </w:r>
      <w:r>
        <w:t xml:space="preserve"> </w:t>
      </w:r>
      <w:r>
        <w:t xml:space="preserve">- 2.4 Khoảng trống nghiên cứu, 2.5 Mô hình nghiên cứu và hệ giả thuyết (H1–H6, H1b, H1c), 2.6 Tóm tắt chương</w:t>
      </w:r>
    </w:p>
    <w:p>
      <w:pPr>
        <w:pStyle w:val="BodyText"/>
      </w:pPr>
      <w:r>
        <w:rPr>
          <w:bCs/>
          <w:b/>
        </w:rPr>
        <w:t xml:space="preserve">CHƯƠNG 3. PHƯƠNG PHÁP NGHIÊN CỨU</w:t>
      </w:r>
      <w:r>
        <w:t xml:space="preserve"> </w:t>
      </w:r>
      <w:r>
        <w:t xml:space="preserve">- 3.1 Thiết kế nghiên cứu tổng thể, 3.2 Phase 1: Meta-analysis 1982–2026, 3.3 Phase 2: Phân tích thực nghiệm đa quốc gia</w:t>
      </w:r>
      <w:r>
        <w:t xml:space="preserve"> </w:t>
      </w:r>
      <w:r>
        <w:t xml:space="preserve">- 3.4 Mô hình phân tích (M0–M11), 3.5 Kiểm định độ vững, 3.6 Tóm tắt phương pháp, 3.7 Đạo đức nghiên cứu</w:t>
      </w:r>
    </w:p>
    <w:p>
      <w:pPr>
        <w:pStyle w:val="BodyText"/>
      </w:pPr>
      <w:r>
        <w:rPr>
          <w:bCs/>
          <w:b/>
        </w:rPr>
        <w:t xml:space="preserve">CHƯƠNG 4. KẾT QUẢ NGHIÊN CỨU</w:t>
      </w:r>
      <w:r>
        <w:t xml:space="preserve"> </w:t>
      </w:r>
      <w:r>
        <w:t xml:space="preserve">- 4.1 Thực trạng quốc tế hóa và hiệu quả tại châu Á theo nhóm ICRV</w:t>
      </w:r>
      <w:r>
        <w:t xml:space="preserve"> </w:t>
      </w:r>
      <w:r>
        <w:t xml:space="preserve">- 4.2 Meta-analysis ba tầng (P6), 4.3 Singapore (P4), 4.4 Trung Quốc (P5), 4.5 Việt Nam (P3)</w:t>
      </w:r>
      <w:r>
        <w:t xml:space="preserve"> </w:t>
      </w:r>
      <w:r>
        <w:t xml:space="preserve">- 4.6 Kiểm định toàn mẫu đa bối cảnh (P7), 4.7 SIDS (P8), 4.8 Ấn Độ (P9), 4.9 Tam giác hóa với bằng chứng vĩ mô WB, 4.10 Tổng hợp theo hệ giả thuyết</w:t>
      </w:r>
    </w:p>
    <w:p>
      <w:pPr>
        <w:pStyle w:val="BodyText"/>
      </w:pPr>
      <w:r>
        <w:rPr>
          <w:bCs/>
          <w:b/>
        </w:rPr>
        <w:t xml:space="preserve">CHƯƠNG 5. THẢO LUẬN VÀ KẾT LUẬN</w:t>
      </w:r>
      <w:r>
        <w:t xml:space="preserve"> </w:t>
      </w:r>
      <w:r>
        <w:t xml:space="preserve">- 5.1 Bàn luận theo khung CDCM, 5.2 So sánh nghiên cứu trước, 5.3 Đóng góp lý thuyết</w:t>
      </w:r>
      <w:r>
        <w:t xml:space="preserve"> </w:t>
      </w:r>
      <w:r>
        <w:t xml:space="preserve">- 5.4 Đề xuất chính sách và quản trị, 5.5 Hạn chế và hướng tương lai, 5.6 Kết luận</w:t>
      </w:r>
    </w:p>
    <w:p>
      <w:pPr>
        <w:pStyle w:val="BodyText"/>
      </w:pPr>
      <w:r>
        <w:rPr>
          <w:bCs/>
          <w:b/>
        </w:rPr>
        <w:t xml:space="preserve">TÀI LIỆU THAM KHẢO</w:t>
      </w:r>
      <w:r>
        <w:t xml:space="preserve"> </w:t>
      </w:r>
      <w:r>
        <w:t xml:space="preserve">(APA 7th)</w:t>
      </w:r>
      <w:r>
        <w:t xml:space="preserve"> </w:t>
      </w:r>
      <w:r>
        <w:rPr>
          <w:bCs/>
          <w:b/>
        </w:rPr>
        <w:t xml:space="preserve">PHỤ LỤC A</w:t>
      </w:r>
      <w:r>
        <w:t xml:space="preserve">, Quy trình hợp nhất và hài hòa hóa dữ liệu WBES đa quốc gia (S1–S6, Hình A.1)</w:t>
      </w:r>
    </w:p>
    <w:p>
      <w:pPr>
        <w:pStyle w:val="BodyText"/>
      </w:pPr>
      <w:r>
        <w:rPr>
          <w:iCs/>
          <w:i/>
        </w:rPr>
        <w:t xml:space="preserve">(Số trang được sinh tự động khi xuất bản bản cuối.)</w:t>
      </w:r>
    </w:p>
    <w:p>
      <w:r>
        <w:pict>
          <v:rect style="width:0;height:1.5pt" o:hralign="center" o:hrstd="t" o:hr="t"/>
        </w:pict>
      </w:r>
    </w:p>
    <w:bookmarkEnd w:id="26"/>
    <w:bookmarkStart w:id="27"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APA</w:t>
            </w:r>
          </w:p>
        </w:tc>
        <w:tc>
          <w:tcPr/>
          <w:p>
            <w:pPr>
              <w:pStyle w:val="Compact"/>
              <w:jc w:val="left"/>
            </w:pPr>
            <w:r>
              <w:t xml:space="preserve">American Psychological Association</w:t>
            </w:r>
          </w:p>
        </w:tc>
        <w:tc>
          <w:tcPr/>
          <w:p>
            <w:pPr>
              <w:pStyle w:val="Compact"/>
              <w:jc w:val="left"/>
            </w:pPr>
            <w:r>
              <w:t xml:space="preserve">Chuẩn trích dẫn APA</w:t>
            </w:r>
          </w:p>
        </w:tc>
      </w:tr>
      <w:tr>
        <w:tc>
          <w:tcPr/>
          <w:p>
            <w:pPr>
              <w:pStyle w:val="Compact"/>
              <w:jc w:val="left"/>
            </w:pPr>
            <w:r>
              <w:t xml:space="preserve">CDCM</w:t>
            </w:r>
          </w:p>
        </w:tc>
        <w:tc>
          <w:tcPr/>
          <w:p>
            <w:pPr>
              <w:pStyle w:val="Compact"/>
              <w:jc w:val="left"/>
            </w:pPr>
            <w:r>
              <w:t xml:space="preserve">Country–Digital–Capability Moderation</w:t>
            </w:r>
          </w:p>
        </w:tc>
        <w:tc>
          <w:tcPr/>
          <w:p>
            <w:pPr>
              <w:pStyle w:val="Compact"/>
              <w:jc w:val="left"/>
            </w:pPr>
            <w:r>
              <w:t xml:space="preserve">Khung điều tiết thể chế–số–năng lực (khung tích hợp của luận án)</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chấp nhận số</w:t>
            </w:r>
          </w:p>
        </w:tc>
      </w:tr>
      <w:tr>
        <w:tc>
          <w:tcPr/>
          <w:p>
            <w:pPr>
              <w:pStyle w:val="Compact"/>
              <w:jc w:val="left"/>
            </w:pPr>
            <w:r>
              <w:t xml:space="preserve">EMNE</w:t>
            </w:r>
          </w:p>
        </w:tc>
        <w:tc>
          <w:tcPr/>
          <w:p>
            <w:pPr>
              <w:pStyle w:val="Compact"/>
              <w:jc w:val="left"/>
            </w:pPr>
            <w:r>
              <w:t xml:space="preserve">Emerging Market Multinational Enterprise</w:t>
            </w:r>
          </w:p>
        </w:tc>
        <w:tc>
          <w:tcPr/>
          <w:p>
            <w:pPr>
              <w:pStyle w:val="Compact"/>
              <w:jc w:val="left"/>
            </w:pPr>
            <w:r>
              <w:t xml:space="preserve">Doanh nghiệp đa quốc gia thị trường mới nổi</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FIP</w:t>
            </w:r>
          </w:p>
        </w:tc>
        <w:tc>
          <w:tcPr/>
          <w:p>
            <w:pPr>
              <w:pStyle w:val="Compact"/>
              <w:jc w:val="left"/>
            </w:pPr>
            <w:r>
              <w:t xml:space="preserve">Forced Internationalization Penalty</w:t>
            </w:r>
          </w:p>
        </w:tc>
        <w:tc>
          <w:tcPr/>
          <w:p>
            <w:pPr>
              <w:pStyle w:val="Compact"/>
              <w:jc w:val="left"/>
            </w:pPr>
            <w:r>
              <w:t xml:space="preserve">Gánh nặng quốc tế hóa bắt buộc (construct mới của luận án)</w:t>
            </w:r>
          </w:p>
        </w:tc>
      </w:tr>
      <w:tr>
        <w:tc>
          <w:tcPr/>
          <w:p>
            <w:pPr>
              <w:pStyle w:val="Compact"/>
              <w:jc w:val="left"/>
            </w:pPr>
            <w:r>
              <w:t xml:space="preserve">FSTS</w:t>
            </w:r>
          </w:p>
        </w:tc>
        <w:tc>
          <w:tcPr/>
          <w:p>
            <w:pPr>
              <w:pStyle w:val="Compact"/>
              <w:jc w:val="left"/>
            </w:pPr>
            <w:r>
              <w:t xml:space="preserve">Foreign Sales to Total Sales</w:t>
            </w:r>
          </w:p>
        </w:tc>
        <w:tc>
          <w:tcPr/>
          <w:p>
            <w:pPr>
              <w:pStyle w:val="Compact"/>
              <w:jc w:val="left"/>
            </w:pPr>
            <w:r>
              <w:t xml:space="preserve">Tỷ lệ doanh thu nước ngoài trên tổng doanh thu (cường độ xuất khẩu)</w:t>
            </w:r>
          </w:p>
        </w:tc>
      </w:tr>
      <w:tr>
        <w:tc>
          <w:tcPr/>
          <w:p>
            <w:pPr>
              <w:pStyle w:val="Compact"/>
              <w:jc w:val="left"/>
            </w:pPr>
            <w:r>
              <w:t xml:space="preserve">FATA</w:t>
            </w:r>
          </w:p>
        </w:tc>
        <w:tc>
          <w:tcPr/>
          <w:p>
            <w:pPr>
              <w:pStyle w:val="Compact"/>
              <w:jc w:val="left"/>
            </w:pPr>
            <w:r>
              <w:t xml:space="preserve">Foreign Assets to Total Assets</w:t>
            </w:r>
          </w:p>
        </w:tc>
        <w:tc>
          <w:tcPr/>
          <w:p>
            <w:pPr>
              <w:pStyle w:val="Compact"/>
              <w:jc w:val="left"/>
            </w:pPr>
            <w:r>
              <w:t xml:space="preserve">Tỷ lệ tài sản nước ngoài trên tổng tài sản</w:t>
            </w:r>
          </w:p>
        </w:tc>
      </w:tr>
      <w:tr>
        <w:tc>
          <w:tcPr/>
          <w:p>
            <w:pPr>
              <w:pStyle w:val="Compact"/>
              <w:jc w:val="left"/>
            </w:pPr>
            <w:r>
              <w:t xml:space="preserve">HC1/HC3</w:t>
            </w:r>
          </w:p>
        </w:tc>
        <w:tc>
          <w:tcPr/>
          <w:p>
            <w:pPr>
              <w:pStyle w:val="Compact"/>
              <w:jc w:val="left"/>
            </w:pPr>
            <w:r>
              <w:t xml:space="preserve">Heteroskedasticity-Consistent SE</w:t>
            </w:r>
          </w:p>
        </w:tc>
        <w:tc>
          <w:tcPr/>
          <w:p>
            <w:pPr>
              <w:pStyle w:val="Compact"/>
              <w:jc w:val="left"/>
            </w:pPr>
            <w:r>
              <w:t xml:space="preserve">Sai số chuẩn vững với phương sai sai số thay đổi</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 (khung phân loại sáu nhóm của luận án)</w:t>
            </w:r>
          </w:p>
        </w:tc>
      </w:tr>
      <w:tr>
        <w:tc>
          <w:tcPr/>
          <w:p>
            <w:pPr>
              <w:pStyle w:val="Compact"/>
              <w:jc w:val="left"/>
            </w:pPr>
            <w:r>
              <w:t xml:space="preserve">I–P</w:t>
            </w:r>
          </w:p>
        </w:tc>
        <w:tc>
          <w:tcPr/>
          <w:p>
            <w:pPr>
              <w:pStyle w:val="Compact"/>
              <w:jc w:val="left"/>
            </w:pPr>
            <w:r>
              <w:t xml:space="preserve">Internationalization–Performance</w:t>
            </w:r>
          </w:p>
        </w:tc>
        <w:tc>
          <w:tcPr/>
          <w:p>
            <w:pPr>
              <w:pStyle w:val="Compact"/>
              <w:jc w:val="left"/>
            </w:pPr>
            <w:r>
              <w:t xml:space="preserve">Quan hệ quốc tế hóa–hiệu quả</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chuẩn quốc tế</w:t>
            </w:r>
          </w:p>
        </w:tc>
      </w:tr>
      <w:tr>
        <w:tc>
          <w:tcPr/>
          <w:p>
            <w:pPr>
              <w:pStyle w:val="Compact"/>
              <w:jc w:val="left"/>
            </w:pPr>
            <w:r>
              <w:t xml:space="preserve">LM</w:t>
            </w:r>
          </w:p>
        </w:tc>
        <w:tc>
          <w:tcPr/>
          <w:p>
            <w:pPr>
              <w:pStyle w:val="Compact"/>
              <w:jc w:val="left"/>
            </w:pPr>
            <w:r>
              <w:t xml:space="preserve">Lind–Mehlum (U-test)</w:t>
            </w:r>
          </w:p>
        </w:tc>
        <w:tc>
          <w:tcPr/>
          <w:p>
            <w:pPr>
              <w:pStyle w:val="Compact"/>
              <w:jc w:val="left"/>
            </w:pPr>
            <w:r>
              <w:t xml:space="preserve">Kiểm định U của Lind–Mehlum</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MARA</w:t>
            </w:r>
          </w:p>
        </w:tc>
        <w:tc>
          <w:tcPr/>
          <w:p>
            <w:pPr>
              <w:pStyle w:val="Compact"/>
              <w:jc w:val="left"/>
            </w:pPr>
            <w:r>
              <w:t xml:space="preserve">Multilevel/Multivariate Random-effects (meta-analysis)</w:t>
            </w:r>
          </w:p>
        </w:tc>
        <w:tc>
          <w:tcPr/>
          <w:p>
            <w:pPr>
              <w:pStyle w:val="Compact"/>
              <w:jc w:val="left"/>
            </w:pPr>
            <w:r>
              <w:t xml:space="preserve">Phân tích tổng hợp đa tầng hiệu ứng ngẫu nhiên</w:t>
            </w:r>
          </w:p>
        </w:tc>
      </w:tr>
      <w:tr>
        <w:tc>
          <w:tcPr/>
          <w:p>
            <w:pPr>
              <w:pStyle w:val="Compact"/>
              <w:jc w:val="left"/>
            </w:pPr>
            <w:r>
              <w:t xml:space="preserve">MNC/MNE</w:t>
            </w:r>
          </w:p>
        </w:tc>
        <w:tc>
          <w:tcPr/>
          <w:p>
            <w:pPr>
              <w:pStyle w:val="Compact"/>
              <w:jc w:val="left"/>
            </w:pPr>
            <w:r>
              <w:t xml:space="preserve">Multinational Corporation/Enterprise</w:t>
            </w:r>
          </w:p>
        </w:tc>
        <w:tc>
          <w:tcPr/>
          <w:p>
            <w:pPr>
              <w:pStyle w:val="Compact"/>
              <w:jc w:val="left"/>
            </w:pPr>
            <w:r>
              <w:t xml:space="preserve">Công ty/doanh nghiệp đa quốc gia</w:t>
            </w:r>
          </w:p>
        </w:tc>
      </w:tr>
      <w:tr>
        <w:tc>
          <w:tcPr/>
          <w:p>
            <w:pPr>
              <w:pStyle w:val="Compact"/>
              <w:jc w:val="left"/>
            </w:pPr>
            <w:r>
              <w:t xml:space="preserve">OLS</w:t>
            </w:r>
          </w:p>
        </w:tc>
        <w:tc>
          <w:tcPr/>
          <w:p>
            <w:pPr>
              <w:pStyle w:val="Compact"/>
              <w:jc w:val="left"/>
            </w:pPr>
            <w:r>
              <w:t xml:space="preserve">Ordinary Least Squares</w:t>
            </w:r>
          </w:p>
        </w:tc>
        <w:tc>
          <w:tcPr/>
          <w:p>
            <w:pPr>
              <w:pStyle w:val="Compact"/>
              <w:jc w:val="left"/>
            </w:pPr>
            <w:r>
              <w:t xml:space="preserve">Bình phương nhỏ nhất thông thường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PRISMA</w:t>
            </w:r>
          </w:p>
        </w:tc>
        <w:tc>
          <w:tcPr/>
          <w:p>
            <w:pPr>
              <w:pStyle w:val="Compact"/>
              <w:jc w:val="left"/>
            </w:pPr>
            <w:r>
              <w:t xml:space="preserve">Preferred Reporting Items for Systematic Reviews and Meta-Analyses</w:t>
            </w:r>
          </w:p>
        </w:tc>
        <w:tc>
          <w:tcPr/>
          <w:p>
            <w:pPr>
              <w:pStyle w:val="Compact"/>
              <w:jc w:val="left"/>
            </w:pPr>
            <w:r>
              <w:t xml:space="preserve">Chuẩn báo cáo tổng quan hệ thống và meta-analysis</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Lý thuyết dựa trên nguồn lực</w:t>
            </w:r>
          </w:p>
        </w:tc>
      </w:tr>
      <w:tr>
        <w:tc>
          <w:tcPr/>
          <w:p>
            <w:pPr>
              <w:pStyle w:val="Compact"/>
              <w:jc w:val="left"/>
            </w:pPr>
            <w:r>
              <w:t xml:space="preserve">ROA/ROE/ROS</w:t>
            </w:r>
          </w:p>
        </w:tc>
        <w:tc>
          <w:tcPr/>
          <w:p>
            <w:pPr>
              <w:pStyle w:val="Compact"/>
              <w:jc w:val="left"/>
            </w:pPr>
            <w:r>
              <w:t xml:space="preserve">Return on Assets/Equity/Sales</w:t>
            </w:r>
          </w:p>
        </w:tc>
        <w:tc>
          <w:tcPr/>
          <w:p>
            <w:pPr>
              <w:pStyle w:val="Compact"/>
              <w:jc w:val="left"/>
            </w:pPr>
            <w:r>
              <w:t xml:space="preserve">Tỷ suất sinh lời trên tài sản/vốn chủ sở hữu/doanh thu</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Các quốc gia đảo nhỏ đang phát triển</w:t>
            </w:r>
          </w:p>
        </w:tc>
      </w:tr>
      <w:tr>
        <w:tc>
          <w:tcPr/>
          <w:p>
            <w:pPr>
              <w:pStyle w:val="Compact"/>
              <w:jc w:val="left"/>
            </w:pPr>
            <w:r>
              <w:t xml:space="preserve">SME</w:t>
            </w:r>
          </w:p>
        </w:tc>
        <w:tc>
          <w:tcPr/>
          <w:p>
            <w:pPr>
              <w:pStyle w:val="Compact"/>
              <w:jc w:val="left"/>
            </w:pPr>
            <w:r>
              <w:t xml:space="preserve">Small and Medium-sized Enterprise</w:t>
            </w:r>
          </w:p>
        </w:tc>
        <w:tc>
          <w:tcPr/>
          <w:p>
            <w:pPr>
              <w:pStyle w:val="Compact"/>
              <w:jc w:val="left"/>
            </w:pPr>
            <w:r>
              <w:t xml:space="preserve">Doanh nghiệp nhỏ và vừa</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TP</w:t>
            </w:r>
          </w:p>
        </w:tc>
        <w:tc>
          <w:tcPr/>
          <w:p>
            <w:pPr>
              <w:pStyle w:val="Compact"/>
              <w:jc w:val="left"/>
            </w:pPr>
            <w:r>
              <w:t xml:space="preserve">Turning Point</w:t>
            </w:r>
          </w:p>
        </w:tc>
        <w:tc>
          <w:tcPr/>
          <w:p>
            <w:pPr>
              <w:pStyle w:val="Compact"/>
              <w:jc w:val="left"/>
            </w:pPr>
            <w:r>
              <w:t xml:space="preserve">Điểm uốn (của quan hệ phi tuyến)</w:t>
            </w:r>
          </w:p>
        </w:tc>
      </w:tr>
      <w:tr>
        <w:tc>
          <w:tcPr/>
          <w:p>
            <w:pPr>
              <w:pStyle w:val="Compact"/>
              <w:jc w:val="left"/>
            </w:pPr>
            <w:r>
              <w:t xml:space="preserve">VIF</w:t>
            </w:r>
          </w:p>
        </w:tc>
        <w:tc>
          <w:tcPr/>
          <w:p>
            <w:pPr>
              <w:pStyle w:val="Compact"/>
              <w:jc w:val="left"/>
            </w:pPr>
            <w:r>
              <w:t xml:space="preserve">Variance Inflation Factor</w:t>
            </w:r>
          </w:p>
        </w:tc>
        <w:tc>
          <w:tcPr/>
          <w:p>
            <w:pPr>
              <w:pStyle w:val="Compact"/>
              <w:jc w:val="left"/>
            </w:pPr>
            <w:r>
              <w:t xml:space="preserve">Hệ số phóng đại phương sai</w:t>
            </w:r>
          </w:p>
        </w:tc>
      </w:tr>
      <w:tr>
        <w:tc>
          <w:tcPr/>
          <w:p>
            <w:pPr>
              <w:pStyle w:val="Compact"/>
              <w:jc w:val="left"/>
            </w:pPr>
            <w:r>
              <w:t xml:space="preserve">VRIN</w:t>
            </w:r>
          </w:p>
        </w:tc>
        <w:tc>
          <w:tcPr/>
          <w:p>
            <w:pPr>
              <w:pStyle w:val="Compact"/>
              <w:jc w:val="left"/>
            </w:pPr>
            <w:r>
              <w:t xml:space="preserve">Valuable, Rare, Inimitable, Non-substitutable</w:t>
            </w:r>
          </w:p>
        </w:tc>
        <w:tc>
          <w:tcPr/>
          <w:p>
            <w:pPr>
              <w:pStyle w:val="Compact"/>
              <w:jc w:val="left"/>
            </w:pPr>
            <w:r>
              <w:t xml:space="preserve">Có giá trị, hiếm, khó sao chép, khó thay thế</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Khảo sát Doanh nghiệp của Ngân hàng Thế giới</w:t>
            </w:r>
          </w:p>
        </w:tc>
      </w:tr>
      <w:tr>
        <w:tc>
          <w:tcPr/>
          <w:p>
            <w:pPr>
              <w:pStyle w:val="Compact"/>
              <w:jc w:val="left"/>
            </w:pPr>
            <w:r>
              <w:t xml:space="preserve">WGI</w:t>
            </w:r>
          </w:p>
        </w:tc>
        <w:tc>
          <w:tcPr/>
          <w:p>
            <w:pPr>
              <w:pStyle w:val="Compact"/>
              <w:jc w:val="left"/>
            </w:pPr>
            <w:r>
              <w:t xml:space="preserve">Worldwide Governance Indicators</w:t>
            </w:r>
          </w:p>
        </w:tc>
        <w:tc>
          <w:tcPr/>
          <w:p>
            <w:pPr>
              <w:pStyle w:val="Compact"/>
              <w:jc w:val="left"/>
            </w:pPr>
            <w:r>
              <w:t xml:space="preserve">Bộ chỉ số quản trị toàn cầu</w:t>
            </w:r>
          </w:p>
        </w:tc>
      </w:tr>
    </w:tbl>
    <w:p>
      <w:r>
        <w:pict>
          <v:rect style="width:0;height:1.5pt" o:hralign="center" o:hrstd="t" o:hr="t"/>
        </w:pict>
      </w:r>
    </w:p>
    <w:bookmarkEnd w:id="27"/>
    <w:bookmarkStart w:id="28" w:name="danh-mục-bảng"/>
    <w:p>
      <w:pPr>
        <w:pStyle w:val="Heading2"/>
      </w:pPr>
      <w:r>
        <w:t xml:space="preserve">DANH MỤC BẢNG</w:t>
      </w:r>
    </w:p>
    <w:p>
      <w:pPr>
        <w:pStyle w:val="FirstParagraph"/>
      </w:pPr>
      <w:r>
        <w:rPr>
          <w:bCs/>
          <w:b/>
        </w:rPr>
        <w:t xml:space="preserve">Bảng đánh số:</w:t>
      </w:r>
      <w:r>
        <w:t xml:space="preserve"> </w:t>
      </w:r>
      <w:r>
        <w:t xml:space="preserve">- Bảng 2.1. Ánh xạ nghiên cứu thành phần, chương, giả thuyết (Chương 2)</w:t>
      </w:r>
      <w:r>
        <w:t xml:space="preserve"> </w:t>
      </w:r>
      <w:r>
        <w:t xml:space="preserve">- Bảng 4.1. Phân tán năng suất lao động và đặc điểm quốc tế hóa theo phân nhóm con ICRV (Chương 4, §4.1)</w:t>
      </w:r>
      <w:r>
        <w:t xml:space="preserve"> </w:t>
      </w:r>
      <w:r>
        <w:t xml:space="preserve">- Bảng 4.2. Đổi mới sáng tạo và chấp nhận số theo phân nhóm con ICRV (%) (Chương 4, §4.1)</w:t>
      </w:r>
      <w:r>
        <w:t xml:space="preserve"> </w:t>
      </w:r>
      <w:r>
        <w:t xml:space="preserve">- Bảng 4.3. Đặc trưng doanh nghiệp Nhật Bản 2025 so với Nhóm I (Chương 4, §4.1.5)</w:t>
      </w:r>
      <w:r>
        <w:t xml:space="preserve"> </w:t>
      </w:r>
      <w:r>
        <w:t xml:space="preserve">- Bảng 4.4. Tiến triển các mô hình lồng nhau của P7 trên khung 50 nền (Chương 4, §4.6)</w:t>
      </w:r>
      <w:r>
        <w:t xml:space="preserve"> </w:t>
      </w:r>
      <w:r>
        <w:t xml:space="preserve">- Bảng 4.5. Điểm uốn theo nhóm ICRV, khung 50 nền (Chương 4, §4.6)</w:t>
      </w:r>
      <w:r>
        <w:t xml:space="preserve"> </w:t>
      </w:r>
      <w:r>
        <w:t xml:space="preserve">- Bảng 4.6. Điểm uốn theo đợt khảo sát, Ấn Độ (Chương 4, §4.8)</w:t>
      </w:r>
      <w:r>
        <w:t xml:space="preserve"> </w:t>
      </w:r>
      <w:r>
        <w:t xml:space="preserve">- Bảng 4.7. Tổng hợp ước lượng các nghiên cứu thành phần thực nghiệm (Chương 4, §4.10)</w:t>
      </w:r>
    </w:p>
    <w:p>
      <w:pPr>
        <w:pStyle w:val="BodyText"/>
      </w:pPr>
      <w:r>
        <w:rPr>
          <w:bCs/>
          <w:b/>
        </w:rPr>
        <w:t xml:space="preserve">Bảng chuyên đề (không đánh số, theo mục):</w:t>
      </w:r>
      <w:r>
        <w:t xml:space="preserve"> </w:t>
      </w:r>
      <w:r>
        <w:t xml:space="preserve">- Bảng định nghĩa biến, Nghiên cứu P3 Việt Nam (Chương 3, §3.4.5.1)</w:t>
      </w:r>
      <w:r>
        <w:t xml:space="preserve"> </w:t>
      </w:r>
      <w:r>
        <w:t xml:space="preserve">- Bảng định nghĩa biến, Nghiên cứu P4 Singapore (Chương 3, §3.4.5.2)</w:t>
      </w:r>
      <w:r>
        <w:t xml:space="preserve"> </w:t>
      </w:r>
      <w:r>
        <w:t xml:space="preserve">- Bảng định nghĩa biến, Nghiên cứu P5 Trung Quốc (Chương 3, §3.4.5.3)</w:t>
      </w:r>
      <w:r>
        <w:t xml:space="preserve"> </w:t>
      </w:r>
      <w:r>
        <w:t xml:space="preserve">- Bảng định nghĩa biến, Nghiên cứu P7 đa quốc gia (Chương 3, §3.4.5.4)</w:t>
      </w:r>
      <w:r>
        <w:t xml:space="preserve"> </w:t>
      </w:r>
      <w:r>
        <w:t xml:space="preserve">- Bảng định nghĩa biến, Nghiên cứu P8 SIDS (Chương 3, §3.4.5.5)</w:t>
      </w:r>
      <w:r>
        <w:t xml:space="preserve"> </w:t>
      </w:r>
      <w:r>
        <w:t xml:space="preserve">- Bảng tóm tắt phương pháp: Kế thừa và đóng góp mới (Chương 3, §3.6)</w:t>
      </w:r>
      <w:r>
        <w:t xml:space="preserve"> </w:t>
      </w:r>
      <w:r>
        <w:t xml:space="preserve">- Bảng tổng hợp kết quả kiểm định hệ giả thuyết H1–H6, H1b, H1c (Chương 4, §4.10)</w:t>
      </w:r>
    </w:p>
    <w:bookmarkEnd w:id="28"/>
    <w:bookmarkStart w:id="29" w:name="danh-mục-hình"/>
    <w:p>
      <w:pPr>
        <w:pStyle w:val="Heading2"/>
      </w:pPr>
      <w:r>
        <w:t xml:space="preserve">DANH MỤC HÌNH</w:t>
      </w:r>
    </w:p>
    <w:p>
      <w:pPr>
        <w:numPr>
          <w:ilvl w:val="0"/>
          <w:numId w:val="1001"/>
        </w:numPr>
        <w:pStyle w:val="Compact"/>
      </w:pPr>
      <w:r>
        <w:t xml:space="preserve">Hình 2.1. Khung khái niệm tích hợp đa tầng CDCM (Chương 2, §2.5)</w:t>
      </w:r>
    </w:p>
    <w:p>
      <w:pPr>
        <w:numPr>
          <w:ilvl w:val="0"/>
          <w:numId w:val="1001"/>
        </w:numPr>
        <w:pStyle w:val="Compact"/>
      </w:pPr>
      <w:r>
        <w:t xml:space="preserve">Hình 4.1. Họ đường cong I–P phụ thuộc chế độ thể chế ICRV (Chương 4)</w:t>
      </w:r>
    </w:p>
    <w:p>
      <w:pPr>
        <w:numPr>
          <w:ilvl w:val="0"/>
          <w:numId w:val="1001"/>
        </w:numPr>
        <w:pStyle w:val="Compact"/>
      </w:pPr>
      <w:r>
        <w:t xml:space="preserve">Các hình mô tả bổ sung (phân bố pool theo năm, cơ cấu pool, mật độ năng suất, quy mô doanh nghiệp) lưu tại</w:t>
      </w:r>
      <w:r>
        <w:t xml:space="preserve"> </w:t>
      </w:r>
      <w:r>
        <w:rPr>
          <w:rStyle w:val="VerbatimChar"/>
        </w:rPr>
        <w:t xml:space="preserve">thesis/figures/</w:t>
      </w:r>
      <w:r>
        <w:t xml:space="preserve">.</w:t>
      </w:r>
    </w:p>
    <w:p>
      <w:r>
        <w:pict>
          <v:rect style="width:0;height:1.5pt" o:hralign="center" o:hrstd="t" o:hr="t"/>
        </w:pict>
      </w:r>
    </w:p>
    <w:bookmarkEnd w:id="29"/>
    <w:bookmarkStart w:id="30" w:name="X3131bb7fa4eac4deea1bc52d0a917d3422a5919"/>
    <w:p>
      <w:pPr>
        <w:pStyle w:val="Heading2"/>
      </w:pPr>
      <w:r>
        <w:t xml:space="preserve">DANH MỤC CÔNG TRÌNH CỦA NGHIÊN CỨU SINH LIÊN QUAN ĐẾN LUẬN ÁN</w:t>
      </w:r>
    </w:p>
    <w:p>
      <w:pPr>
        <w:pStyle w:val="FirstParagraph"/>
      </w:pPr>
      <w:r>
        <w:t xml:space="preserve">Luận án được phát triển gắn với chuỗi nghiên cứu thành phần (ký hiệu nội bộ P1–P9) của nghiên cứu sinh. Các công trình được phân tách rõ theo trạng thái công bố.</w:t>
      </w:r>
    </w:p>
    <w:p>
      <w:pPr>
        <w:pStyle w:val="BodyText"/>
      </w:pPr>
      <w:r>
        <w:rPr>
          <w:bCs/>
          <w:b/>
        </w:rPr>
        <w:t xml:space="preserve">A. Đã công bố (peer-reviewed)</w:t>
      </w:r>
    </w:p>
    <w:p>
      <w:pPr>
        <w:numPr>
          <w:ilvl w:val="0"/>
          <w:numId w:val="1002"/>
        </w:numPr>
        <w:pStyle w:val="Compact"/>
      </w:pPr>
      <w:r>
        <w:t xml:space="preserve">Do, T. H., &amp; Phan, A. T. (2025). Internationalization and firm performance: A meta-analysis review. In</w:t>
      </w:r>
      <w:r>
        <w:t xml:space="preserve"> </w:t>
      </w:r>
      <w:r>
        <w:rPr>
          <w:iCs/>
          <w:i/>
        </w:rPr>
        <w:t xml:space="preserve">Proceedings of the Sixth International Conference on Sustainable Development in Economics, Business, and Finance (ICBEF 2024)</w:t>
      </w:r>
      <w:r>
        <w:t xml:space="preserve">. Can Tho University, Vietnam.</w:t>
      </w:r>
      <w:r>
        <w:t xml:space="preserve"> </w:t>
      </w:r>
      <w:r>
        <w:rPr>
          <w:iCs/>
          <w:i/>
        </w:rPr>
        <w:t xml:space="preserve">(Cơ sở baseline meta-analysis, k = 113; nền tảng cho P1/P2/P6.)</w:t>
      </w:r>
    </w:p>
    <w:p>
      <w:pPr>
        <w:numPr>
          <w:ilvl w:val="0"/>
          <w:numId w:val="1002"/>
        </w:numPr>
        <w:pStyle w:val="Compac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r>
        <w:t xml:space="preserve"> </w:t>
      </w:r>
      <w:r>
        <w:rPr>
          <w:iCs/>
          <w:i/>
        </w:rPr>
        <w:t xml:space="preserve">(Công trình tiền đề đã công bố về Ấn Độ, 380 doanh nghiệp WBES, ước lượng FGLS, lăng kính thượng tầng quản trị; được nghiên cứu thành phần P9 trích dẫn như prior author work.)</w:t>
      </w:r>
    </w:p>
    <w:p>
      <w:pPr>
        <w:numPr>
          <w:ilvl w:val="0"/>
          <w:numId w:val="1002"/>
        </w:numPr>
        <w:pStyle w:val="Compact"/>
      </w:pPr>
      <w:r>
        <w:t xml:space="preserve">Do, T. H., &amp; Phan, A. T. (2026). Firm performance heterogeneity in emerging Asia: Evidence from World Bank Enterprise Surveys.</w:t>
      </w:r>
      <w:r>
        <w:t xml:space="preserve"> </w:t>
      </w:r>
      <w:r>
        <w:rPr>
          <w:iCs/>
          <w:i/>
        </w:rPr>
        <w:t xml:space="preserve">Vietnam Economic &amp; Financial Review, 2</w:t>
      </w:r>
      <w:r>
        <w:t xml:space="preserve">(1), 111–115.</w:t>
      </w:r>
      <w:r>
        <w:t xml:space="preserve"> </w:t>
      </w:r>
      <w:r>
        <w:rPr>
          <w:iCs/>
          <w:i/>
        </w:rPr>
        <w:t xml:space="preserve">(P1.)</w:t>
      </w:r>
    </w:p>
    <w:p>
      <w:pPr>
        <w:numPr>
          <w:ilvl w:val="0"/>
          <w:numId w:val="1002"/>
        </w:numPr>
        <w:pStyle w:val="Compact"/>
      </w:pPr>
      <w:r>
        <w:t xml:space="preserve">Do, T. H., &amp; Phan, A. T. (2026). Unveiling the impact of Chinese manufacturing SMEs’ internationalization on performance.</w:t>
      </w:r>
      <w:r>
        <w:t xml:space="preserve"> </w:t>
      </w:r>
      <w:r>
        <w:rPr>
          <w:iCs/>
          <w:i/>
        </w:rPr>
        <w:t xml:space="preserve">Journal of Finance &amp; Accounting Research, 39</w:t>
      </w:r>
      <w:r>
        <w:t xml:space="preserve">(2), 287–291.</w:t>
      </w:r>
      <w:r>
        <w:t xml:space="preserve"> </w:t>
      </w:r>
      <w:r>
        <w:rPr>
          <w:iCs/>
          <w:i/>
        </w:rPr>
        <w:t xml:space="preserve">(P2.)</w:t>
      </w:r>
    </w:p>
    <w:p>
      <w:pPr>
        <w:pStyle w:val="FirstParagraph"/>
      </w:pPr>
      <w:r>
        <w:rPr>
          <w:bCs/>
          <w:b/>
        </w:rPr>
        <w:t xml:space="preserve">B. Bản thảo đang trong quá trình bình duyệt (CHƯA công bố)</w:t>
      </w:r>
    </w:p>
    <w:p>
      <w:pPr>
        <w:numPr>
          <w:ilvl w:val="0"/>
          <w:numId w:val="1003"/>
        </w:numPr>
        <w:pStyle w:val="Compact"/>
      </w:pPr>
      <w:r>
        <w:t xml:space="preserve">Nghiên cứu thành phần P3, Việt Nam (bối cảnh chuyển đổi thu nhập trung bình thấp).</w:t>
      </w:r>
      <w:r>
        <w:t xml:space="preserve"> </w:t>
      </w:r>
      <w:r>
        <w:rPr>
          <w:iCs/>
          <w:i/>
        </w:rPr>
        <w:t xml:space="preserve">[Bản thảo đang bình duyệt.]</w:t>
      </w:r>
    </w:p>
    <w:p>
      <w:pPr>
        <w:numPr>
          <w:ilvl w:val="0"/>
          <w:numId w:val="1003"/>
        </w:numPr>
        <w:pStyle w:val="Compact"/>
      </w:pPr>
      <w:r>
        <w:t xml:space="preserve">Nghiên cứu thành phần P4, Singapore (bối cảnh thể chế tiên tiến–đổi mới).</w:t>
      </w:r>
      <w:r>
        <w:t xml:space="preserve"> </w:t>
      </w:r>
      <w:r>
        <w:rPr>
          <w:iCs/>
          <w:i/>
        </w:rPr>
        <w:t xml:space="preserve">[Bản thảo đang bình duyệt.]</w:t>
      </w:r>
    </w:p>
    <w:p>
      <w:pPr>
        <w:numPr>
          <w:ilvl w:val="0"/>
          <w:numId w:val="1003"/>
        </w:numPr>
        <w:pStyle w:val="Compact"/>
      </w:pPr>
      <w:r>
        <w:t xml:space="preserve">Nghiên cứu thành phần P5, Trung Quốc 2012–2024 (bối cảnh upper-middle).</w:t>
      </w:r>
      <w:r>
        <w:t xml:space="preserve"> </w:t>
      </w:r>
      <w:r>
        <w:rPr>
          <w:iCs/>
          <w:i/>
        </w:rPr>
        <w:t xml:space="preserve">[Bản thảo đang bình duyệt.]</w:t>
      </w:r>
    </w:p>
    <w:p>
      <w:pPr>
        <w:numPr>
          <w:ilvl w:val="0"/>
          <w:numId w:val="1003"/>
        </w:numPr>
        <w:pStyle w:val="Compact"/>
      </w:pPr>
      <w:r>
        <w:t xml:space="preserve">Nghiên cứu thành phần P6, Meta-analysis ba tầng mở rộng 1982–2026.</w:t>
      </w:r>
      <w:r>
        <w:t xml:space="preserve"> </w:t>
      </w:r>
      <w:r>
        <w:rPr>
          <w:iCs/>
          <w:i/>
        </w:rPr>
        <w:t xml:space="preserve">[Bản thảo đang bình duyệt.]</w:t>
      </w:r>
    </w:p>
    <w:p>
      <w:pPr>
        <w:numPr>
          <w:ilvl w:val="0"/>
          <w:numId w:val="1003"/>
        </w:numPr>
        <w:pStyle w:val="Compact"/>
      </w:pPr>
      <w:r>
        <w:t xml:space="preserve">Nghiên cứu thành phần P7, Kiểm định toàn mẫu 50 nền kinh tế châu Á và Thái Bình Dương (capstone).</w:t>
      </w:r>
      <w:r>
        <w:t xml:space="preserve"> </w:t>
      </w:r>
      <w:r>
        <w:rPr>
          <w:iCs/>
          <w:i/>
        </w:rPr>
        <w:t xml:space="preserve">[Bản thảo đang chỉnh sửa theo phản biện.]</w:t>
      </w:r>
    </w:p>
    <w:p>
      <w:pPr>
        <w:numPr>
          <w:ilvl w:val="0"/>
          <w:numId w:val="1003"/>
        </w:numPr>
        <w:pStyle w:val="Compact"/>
      </w:pPr>
      <w:r>
        <w:t xml:space="preserve">Nghiên cứu thành phần P8, Trường hợp biên SIDS, gánh nặng quốc tế hóa bắt buộc (FIP).</w:t>
      </w:r>
      <w:r>
        <w:t xml:space="preserve"> </w:t>
      </w:r>
      <w:r>
        <w:rPr>
          <w:iCs/>
          <w:i/>
        </w:rPr>
        <w:t xml:space="preserve">[Bản thảo đang chỉnh sửa theo phản biện.]</w:t>
      </w:r>
    </w:p>
    <w:p>
      <w:pPr>
        <w:numPr>
          <w:ilvl w:val="0"/>
          <w:numId w:val="1003"/>
        </w:numPr>
        <w:pStyle w:val="Compact"/>
      </w:pPr>
      <w:r>
        <w:t xml:space="preserve">Nghiên cứu thành phần P9, Ấn Độ: độ bền ngưỡng I–P qua thập kỷ chuyển đổi thể chế 2014–2025 (ba đợt WBES, ~29.000 doanh nghiệp; phát hiện sự</w:t>
      </w:r>
      <w:r>
        <w:t xml:space="preserve"> </w:t>
      </w:r>
      <w:r>
        <w:rPr>
          <w:iCs/>
          <w:i/>
        </w:rPr>
        <w:t xml:space="preserve">tan biến</w:t>
      </w:r>
      <w:r>
        <w:t xml:space="preserve"> </w:t>
      </w:r>
      <w:r>
        <w:t xml:space="preserve">điểm uốn chữ U ngược dưới áp lực cải cách thể chế và bão hòa hạ tầng số UPI). Đích: Management International Review (Springer)/IJOEM.</w:t>
      </w:r>
      <w:r>
        <w:t xml:space="preserve"> </w:t>
      </w:r>
      <w:r>
        <w:rPr>
          <w:iCs/>
          <w:i/>
        </w:rPr>
        <w:t xml:space="preserve">[Bản thảo đang bình duyệt.]</w:t>
      </w:r>
    </w:p>
    <w:p>
      <w:pPr>
        <w:numPr>
          <w:ilvl w:val="0"/>
          <w:numId w:val="1003"/>
        </w:numPr>
        <w:pStyle w:val="Compact"/>
      </w:pPr>
      <w:r>
        <w:t xml:space="preserve">Nghiên cứu thành phần P10, Nhật Bản: kiểm định biên trên của gradient thể chế trên đợt khảo sát WBES khai mở 2025.</w:t>
      </w:r>
      <w:r>
        <w:t xml:space="preserve"> </w:t>
      </w:r>
      <w:r>
        <w:rPr>
          <w:iCs/>
          <w:i/>
        </w:rPr>
        <w:t xml:space="preserve">[Bản thảo chuẩn bị gửi Asian Business &amp; Management.]</w:t>
      </w:r>
    </w:p>
    <w:p>
      <w:pPr>
        <w:numPr>
          <w:ilvl w:val="0"/>
          <w:numId w:val="1003"/>
        </w:numPr>
        <w:pStyle w:val="Compact"/>
      </w:pPr>
      <w:r>
        <w:t xml:space="preserve">Nghiên cứu thành phần P11 (sản phẩm phái sinh theo định hướng phát triển), Khoảng cách số tiền-AI và năng suất doanh nghiệp qua các chế độ thể chế châu Á (50 nền WBES): khai thác bằng chứng DAI×ICRV của luận án cho chủ đề AI–phát triển. Đích:</w:t>
      </w:r>
      <w:r>
        <w:t xml:space="preserve"> </w:t>
      </w:r>
      <w:r>
        <w:rPr>
          <w:iCs/>
          <w:i/>
        </w:rPr>
        <w:t xml:space="preserve">Journal of Economics and Development</w:t>
      </w:r>
      <w:r>
        <w:t xml:space="preserve">, số đặc biệt</w:t>
      </w:r>
      <w:r>
        <w:t xml:space="preserve"> </w:t>
      </w:r>
      <w:r>
        <w:t xml:space="preserve">“</w:t>
      </w:r>
      <w:r>
        <w:t xml:space="preserve">Sustainable Growth and Welfare in the Age of AI</w:t>
      </w:r>
      <w:r>
        <w:t xml:space="preserve">”</w:t>
      </w:r>
      <w:r>
        <w:t xml:space="preserve"> </w:t>
      </w:r>
      <w:r>
        <w:t xml:space="preserve">(Emerald; Scopus/ESCI/ABDC; diamond OA, không phí; hạn 31/10/2026).</w:t>
      </w:r>
      <w:r>
        <w:t xml:space="preserve"> </w:t>
      </w:r>
      <w:r>
        <w:rPr>
          <w:iCs/>
          <w:i/>
        </w:rPr>
        <w:t xml:space="preserve">[Bản thảo chuẩn bị gửi.]</w:t>
      </w:r>
    </w:p>
    <w:p>
      <w:pPr>
        <w:pStyle w:val="FirstParagraph"/>
      </w:pPr>
      <w:r>
        <w:rPr>
          <w:iCs/>
          <w:i/>
        </w:rPr>
        <w:t xml:space="preserve">Ghi chú về liêm chính học thuật: Theo định hướng luận án kết hợp công trình thành phần, các nghiên cứu P1–P11 là một phần nội dung nghiên cứu của chính luận án (P11 là sản phẩm phái sinh theo định hướng phát triển, khai thác lại bằng chứng của luận án); do đó trong các chương, chúng được dẫn chiếu bằng nhãn nội bộ (P1–P10) thay vì trích dẫn tác giả–năm. Các bản thảo ở mục B CHƯA được công bố/bình duyệt chính thức, không được diễn giải như bằng chứng đã qua bình duyệt độc lập; tên tạp chí mục tiêu được nêu để minh bạch định hướng công bố; trạng thái bình duyệt sẽ được cập nhật tại thời điểm bảo vệ. NCS cập nhật trạng thái tại thời điểm bảo vệ.</w:t>
      </w:r>
    </w:p>
    <w:p>
      <w:r>
        <w:pict>
          <v:rect style="width:0;height:1.5pt" o:hralign="center" o:hrstd="t" o:hr="t"/>
        </w:pict>
      </w:r>
    </w:p>
    <w:p>
      <w:r>
        <w:br w:type="page"/>
      </w:r>
    </w:p>
    <w:bookmarkEnd w:id="30"/>
    <w:bookmarkStart w:id="31" w:name="chương-1-giới-thiệu"/>
    <w:p>
      <w:pPr>
        <w:pStyle w:val="Heading1"/>
      </w:pPr>
      <w:r>
        <w:t xml:space="preserve">CHƯƠNG 1: GIỚI THIỆU</w:t>
      </w:r>
    </w:p>
    <w:bookmarkEnd w:id="31"/>
    <w:p>
      <w:r>
        <w:pict>
          <v:rect style="width:0;height:1.5pt" o:hralign="center" o:hrstd="t" o:hr="t"/>
        </w:pict>
      </w:r>
    </w:p>
    <w:bookmarkStart w:id="33" w:name="bối-cảnh-nghiên-cứu"/>
    <w:p>
      <w:pPr>
        <w:pStyle w:val="Heading2"/>
      </w:pPr>
      <w:r>
        <w:t xml:space="preserve">1.1 Bối cảnh nghiên cứu</w:t>
      </w:r>
    </w:p>
    <w:p>
      <w:pPr>
        <w:pStyle w:val="FirstParagraph"/>
      </w:pPr>
      <w:r>
        <w:t xml:space="preserve">Quốc tế hóa doanh nghiệp là một trong những chủ đề trung tâm của kinh doanh quốc tế trong hơn nửa thế kỷ qua. Kể từ khi Johanson và Vahlne (1977) đề xuất mô hình Uppsala về quá trình quốc tế hóa tuần tự, hàng thập kỷ nghiên cứu đã tích lũy nhằm trả lời câu hỏi cốt lõi: liệu quốc tế hóa có thực sự cải thiện hiệu quả hoạt động của doanh nghiệp hay không, và trong điều kiện nào điều đó xảy ra? Lu và Beamish (2004) cung cấp bằng chứng quan trọng về quan hệ hình chữ S (S-curve) giữa mức độ quốc tế hóa và hiệu quả, trong khi Contractor et al. (2003) và nhiều nghiên cứu tiếp theo tiếp tục thách thức, bổ sung và điều chỉnh kết luận đó. Dù tranh luận học thuật vẫn chưa ngã ngũ, sự đồng thuận hiện nay cho thấy mối quan hệ internationalization–firm performance (I–P) là có thực nhưng phức tạp, phụ thuộc vào nhiều điều kiện biên.</w:t>
      </w:r>
    </w:p>
    <w:p>
      <w:pPr>
        <w:pStyle w:val="BodyText"/>
      </w:pPr>
      <w:r>
        <w:t xml:space="preserve">Ở châu Á, bối cảnh này càng trở nên đặc biệt đáng quan tâm vì khu vực đang chứng kiến tốc độ hội nhập kinh tế và chuyển đổi số hết sức không đồng đều giữa các quốc gia. Từ Singapore, một nền kinh tế nhỏ mở, dẫn đầu thế giới về năng lực đổi mới và kết nối toàn cầu, đến Việt Nam, một nền kinh tế chuyển đổi đang đẩy nhanh cải cách thể chế và hội nhập quốc tế, rồi đến Trung Quốc với quy mô thị trường khổng lồ và cấu trúc thể chế đặc thù, thậm chí đến các quốc đảo nhỏ Thái Bình Dương đang phải đối mặt với thách thức sinh tồn kép của biến đổi khí hậu và bẫy phụ thuộc xuất khẩu, sự đa dạng này tạo ra một phòng thí nghiệm thực địa lý tưởng để kiểm định các điều kiện biên của quan hệ I–P (Khanna &amp; Palepu, 2010; Peng, 2003).</w:t>
      </w:r>
    </w:p>
    <w:p>
      <w:pPr>
        <w:pStyle w:val="BodyText"/>
      </w:pPr>
      <w:r>
        <w:t xml:space="preserve">Chuyển đổi số đang làm thay đổi căn bản cách thức doanh nghiệp quốc tế hóa và cách thức quốc tế hóa ảnh hưởng đến hiệu quả hoạt động. Banalieva và Dhanaraj (2019) lập luận rằng lý thuyết nội địa hóa cần được cập nhật cho nền kinh tế số, vì dữ liệu số và tương tác qua nền tảng làm giảm sự phụ thuộc vào hiện diện vật lý. Stallkamp và Schotter (2021) chỉ ra rằng các nền tảng số quốc tế hóa theo logic hoàn toàn khác các công ty đa quốc gia truyền thống. Verhoef et al. (2021) cung cấp khung phân tầng ba cấp từ digitization đến digitalization và digital transformation. Tuy nhiên, phần lớn bằng chứng thực nghiệm hiện có về vai trò của năng lực số trong quan hệ I–P vẫn tập trung vào các nền kinh tế phát triển, đặc biệt là Bắc Mỹ và Tây Âu, trong khi bằng chứng cho châu Á mới nổi còn rất hạn chế (Bhandari et al., 2023).</w:t>
      </w:r>
    </w:p>
    <w:p>
      <w:pPr>
        <w:pStyle w:val="BodyText"/>
      </w:pPr>
      <w:r>
        <w:t xml:space="preserve">Không thể bỏ qua vai trò của thể chế trong việc hình thành kết quả quốc tế hóa. Institutional Theory (North, 1990; Khanna &amp; Palepu, 2010) khẳng định rằng thể chế tạo ra cấu trúc khuyến khích và chi phí giao dịch khác nhau giữa các quốc gia. Ở các thị trường mới nổi,</w:t>
      </w:r>
      <w:r>
        <w:t xml:space="preserve"> </w:t>
      </w:r>
      <w:r>
        <w:t xml:space="preserve">“</w:t>
      </w:r>
      <w:r>
        <w:t xml:space="preserve">institutional voids</w:t>
      </w:r>
      <w:r>
        <w:t xml:space="preserve">”</w:t>
      </w:r>
      <w:r>
        <w:t xml:space="preserve">, tức sự thiếu hụt các thể chế trung gian hỗ trợ giao dịch thị trường, tạo ra chi phí bổ sung đáng kể cho doanh nghiệp quốc tế hóa (Peng, 2003). Sự đa dạng thể chế giữa các quốc gia châu Á, từ những nền kinh tế với quản trị nhà nước ổn định, pháp quyền mạnh như Singapore đến các nền kinh tế đang phát triển thể chế như Campuchia hay các quốc đảo Thái Bình Dương, tạo ra gradient thể chế đặc biệt phong phú để kiểm định. Luận án này tiếp cận gradient đó một cách hệ thống thông qua khung phân loại thể chế 6 nhóm được phát triển cho luận án này, gọi tắt là ICRV (Institutional Context Regime Variation, Biến thiên chế độ bối cảnh thể chế).</w:t>
      </w:r>
    </w:p>
    <w:p>
      <w:pPr>
        <w:pStyle w:val="BodyText"/>
      </w:pPr>
      <w:r>
        <w:t xml:space="preserve">Cuối cùng, nhà quản trị cấp cao đóng vai trò không thể bỏ qua trong việc hình thành chiến lược và kết quả quốc tế hóa. Upper Echelons Theory (Hambrick &amp; Mason, 1984) khẳng định rằng quyết định chiến lược phản ánh đặc điểm nhận thức, kinh nghiệm và giá trị của nhà quản trị. Kinh nghiệm quốc tế giúp nhà quản trị nhận diện cơ hội và giảm chi phí của liability of foreignness, trong khi sự đa dạng giới tính ở cấp lãnh đạo có thể tăng cường quản trị rủi ro và ra quyết định đa chiều (Hsu et al., 2013; Post &amp; Byron, 2015). Tích hợp tầng nhà quản trị vào khung giải thích đa tầng là cần thiết để phản ánh đầy đủ sự phức tạp của quan hệ I–P trong bối cảnh châu Á.</w:t>
      </w:r>
    </w:p>
    <w:bookmarkStart w:id="32" w:name="Xc1dcee8f5373723512b0db114b71fe5e38a510a"/>
    <w:p>
      <w:pPr>
        <w:pStyle w:val="Heading3"/>
      </w:pPr>
      <w:r>
        <w:t xml:space="preserve">1.1.1 Bối cảnh đương đại: thách thức việc làm, gradient thể chế và kỷ nguyên số</w:t>
      </w:r>
    </w:p>
    <w:p>
      <w:pPr>
        <w:pStyle w:val="FirstParagraph"/>
      </w:pPr>
      <w:r>
        <w:t xml:space="preserve">Tính cấp thiết của câu hỏi nghiên cứu được khuếch đại bởi ba dịch chuyển vĩ mô đang định hình lại bối cảnh của các nền kinh tế đang phát triển và mới nổi trong giai đoạn 2025–2026. Thứ nhất là</w:t>
      </w:r>
      <w:r>
        <w:t xml:space="preserve"> </w:t>
      </w:r>
      <w:r>
        <w:rPr>
          <w:bCs/>
          <w:b/>
        </w:rPr>
        <w:t xml:space="preserve">thách thức việc làm và cơ cấu dân số</w:t>
      </w:r>
      <w:r>
        <w:t xml:space="preserve">. Theo phân tích chuyên đề mới nhất của Ngân hàng Thế giới về nhóm thị trường biên (frontier markets), các nền kinh tế biên hiện chiếm hơn một phần năm dân số toàn cầu nhưng chỉ tạo ra khoảng 5% sản lượng thế giới, và dự kiến có hơn 230 triệu người bước vào độ tuổi lao động trong giai đoạn 2025–2035 (World Bank, 2026c). Khoảng cách năng suất ngày càng giãn rộng: thu nhập bình quân đầu người ở thị trường biên trung vị hiện thấp hơn một phần ba so với thị trường mới nổi điển hình, rộng hơn mức chênh lệch của năm 2000 (World Bank, 2026c). Việc chuyển hóa cơ hội dân số thành</w:t>
      </w:r>
      <w:r>
        <w:t xml:space="preserve"> </w:t>
      </w:r>
      <w:r>
        <w:t xml:space="preserve">“</w:t>
      </w:r>
      <w:r>
        <w:t xml:space="preserve">lợi tức dân số</w:t>
      </w:r>
      <w:r>
        <w:t xml:space="preserve">”</w:t>
      </w:r>
      <w:r>
        <w:t xml:space="preserve"> </w:t>
      </w:r>
      <w:r>
        <w:t xml:space="preserve">(demographic dividend) phụ thuộc vào năng lực tạo việc làm năng suất cao của khu vực doanh nghiệp, điều này khiến câu hỏi về cơ chế chuyển hóa quốc tế hóa thành hiệu quả doanh nghiệp trở thành một vấn đề phát triển cấp bách chứ không chỉ là tranh luận học thuật.</w:t>
      </w:r>
    </w:p>
    <w:p>
      <w:pPr>
        <w:pStyle w:val="BodyText"/>
      </w:pPr>
      <w:r>
        <w:t xml:space="preserve">Thứ hai là</w:t>
      </w:r>
      <w:r>
        <w:t xml:space="preserve"> </w:t>
      </w:r>
      <w:r>
        <w:rPr>
          <w:bCs/>
          <w:b/>
        </w:rPr>
        <w:t xml:space="preserve">vai trò trung tâm của chất lượng thể chế trong phân hóa kết quả tăng trưởng</w:t>
      </w:r>
      <w:r>
        <w:t xml:space="preserve">. Bằng chứng vĩ mô độc lập của Ngân hàng Thế giới củng cố trực tiếp tiền đề lý thuyết của luận án: trong số các thị trường biên, những nền kinh tế tăng trưởng nhanh nhất một phần tư thế kỷ qua là những nền đã cải thiện quản trị, thu hẹp chênh lệch lãi suất cho vay–huy động của ngân hàng, kiểm soát được nợ công và tích lũy vốn trên đầu người mạnh hơn; ngược lại, các điểm yếu thể chế và quản trị đi kèm chênh lệch lãi suất rộng và tăng trưởng vốn đáng thất vọng (World Bank, 2026c). Các con đường thành công lại đa dạng, từ thu hút đầu tư vào năng lượng và khoáng sản (Kazakhstan), đến sản xuất chế tạo giá trị gia tăng và xuất khẩu (Việt Nam), đến dịch vụ và du lịch (Rwanda), cho thấy không tồn tại một mô hình phát triển phổ quát mà kết quả phụ thuộc vào sự tương tác giữa chiến lược doanh nghiệp và bối cảnh thể chế (World Bank, 2026c). Mô hình phân hóa theo chế độ thể chế này chính là hiện tượng mà khung ICRV của luận án được thiết kế để vận hành hóa và kiểm định ở cấp doanh nghiệp.</w:t>
      </w:r>
    </w:p>
    <w:p>
      <w:pPr>
        <w:pStyle w:val="BodyText"/>
      </w:pPr>
      <w:r>
        <w:t xml:space="preserve">Thứ ba là</w:t>
      </w:r>
      <w:r>
        <w:t xml:space="preserve"> </w:t>
      </w:r>
      <w:r>
        <w:rPr>
          <w:bCs/>
          <w:b/>
        </w:rPr>
        <w:t xml:space="preserve">kỷ nguyên trí tuệ nhân tạo và biến động giá hàng hóa</w:t>
      </w:r>
      <w:r>
        <w:t xml:space="preserve">, hai lực lượng tạo ra bất định mới cho doanh nghiệp quốc tế hóa. Sự lan tỏa nhanh của trí tuệ nhân tạo đang định hình lại năng lực số của cả khu vực công lẫn khu vực tư, đặt ra yêu cầu mới về hạ tầng số công (digital public infrastructure) và quản trị dữ liệu như những điều kiện nền tảng cho năng lực cạnh tranh quốc gia (World Bank, 2026e). Đồng thời, cú sốc xung đột Trung Đông năm 2026 gây gián đoạn nguồn cung dầu lớn nhất trong lịch sử ghi nhận, đẩy giá năng lượng dự báo tăng 24% và giá hàng hóa nói chung tăng 16% trong năm 2026, làm chậm tăng trưởng và đẩy lạm phát của các nền kinh tế đang phát triển lên mức cao nhất bốn năm (World Bank, 2026d). Hai lực lượng này tác động không đồng đều theo chế độ thể chế: chúng vừa mở ra cơ hội</w:t>
      </w:r>
      <w:r>
        <w:t xml:space="preserve"> </w:t>
      </w:r>
      <w:r>
        <w:t xml:space="preserve">“</w:t>
      </w:r>
      <w:r>
        <w:t xml:space="preserve">nhảy vọt số</w:t>
      </w:r>
      <w:r>
        <w:t xml:space="preserve">”</w:t>
      </w:r>
      <w:r>
        <w:t xml:space="preserve"> </w:t>
      </w:r>
      <w:r>
        <w:t xml:space="preserve">cho các nền kinh tế đang nổi, vừa khuếch đại lợi thế của các nền kinh tế tài nguyên dẫn dắt, qua đó càng làm nổi bật sự cần thiết của một khung phân tích phân biệt được bối cảnh thay vì giả định hiệu ứng đồng nhất.</w:t>
      </w:r>
    </w:p>
    <w:p>
      <w:pPr>
        <w:pStyle w:val="BodyText"/>
      </w:pPr>
      <w:r>
        <w:t xml:space="preserve">Ba dịch chuyển trên hội tụ vào một hàm ý chung: hiểu được khi nào và trong điều kiện nào quốc tế hóa cải thiện hiệu quả doanh nghiệp không còn là câu hỏi thuần lý thuyết mà là điều kiện tiên quyết để thiết kế chính sách phát triển hữu hiệu cho khu vực châu Á–Thái Bình Dương đa dạng về thể chế. Luận án này định vị trong khoảng giao đó, kết nối tranh luận học thuật về quan hệ I–P với nhu cầu chính sách đương đại bằng một khung đa tầng và bằng chứng cấp doanh nghiệp quy mô lớn nhất từng có cho khu vực.</w:t>
      </w:r>
    </w:p>
    <w:p>
      <w:r>
        <w:pict>
          <v:rect style="width:0;height:1.5pt" o:hralign="center" o:hrstd="t" o:hr="t"/>
        </w:pict>
      </w:r>
    </w:p>
    <w:bookmarkEnd w:id="32"/>
    <w:bookmarkEnd w:id="33"/>
    <w:bookmarkStart w:id="34" w:name="vấn-đề-nghiên-cứu"/>
    <w:p>
      <w:pPr>
        <w:pStyle w:val="Heading2"/>
      </w:pPr>
      <w:r>
        <w:t xml:space="preserve">1.2 Vấn đề nghiên cứu</w:t>
      </w:r>
    </w:p>
    <w:p>
      <w:pPr>
        <w:pStyle w:val="FirstParagraph"/>
      </w:pPr>
      <w:r>
        <w:t xml:space="preserve">Mặc dù đã có hàng trăm nghiên cứu thực nghiệm, bằng chứng về mối quan hệ giữa quốc tế hóa và hiệu quả hoạt động của doanh nghiệp vẫn chưa thống nhất và tản mạn. Các phân tích tổng hợp (meta-analyses) về quan hệ I–P liên tục cho thấy tác động tổng hợp là dương nhưng nhỏ, hệ số tương quan tổng hợp r trong khoảng 0,07–0,13, đồng thời mức độ dị biệt giữa các nghiên cứu rất cao với I² thường vượt 80% (Bausch &amp; Krist, 2007; Kirca et al., 2012; Marano et al., 2016; Wu et al., 2022). Tình trạng dị biệt cao này không phải là tín hiệu của sai sót phương pháp, mà là bằng chứng cho thấy quan hệ I–P phụ thuộc sâu sắc vào điều kiện bối cảnh. Arte và Larimo (2022) lập luận rằng heterogeneity cao gợi ý sự cần thiết phải chuyển dịch từ mô hình đơn biến sang khung đa tầng có tính đến thể chế, năng lực và đặc điểm nhà quản trị.</w:t>
      </w:r>
    </w:p>
    <w:p>
      <w:pPr>
        <w:pStyle w:val="BodyText"/>
      </w:pPr>
      <w:r>
        <w:t xml:space="preserve">Ba khoảng trống nghiên cứu quan trọng được xác định từ tổng quan tài liệu. Khoảng trống thứ nhất là thiếu khung lý thuyết tích hợp đủ sức giải thích heterogeneity cao đó. Các nghiên cứu hiện tại thường chọn một hoặc hai lý thuyết làm nền, dẫn đến mô hình không đủ đa tầng để nắm bắt sự phức tạp thực tế. Uppsala model giải thích chi phí học hỏi nhưng không đủ để xử lý vai trò của thể chế; RBV giải thích sự khác biệt năng lực nhưng bỏ qua macro-context; Institutional Theory giải thích bối cảnh vĩ mô nhưng không tích hợp đặc điểm cá nhân nhà quản trị. Không một lý thuyết nào đứng riêng có thể giải thích đầy đủ heterogeneity đó. Khoảng trống thứ hai là sự đồng nhất không hợp lý giữa hai construct số khác nhau về bản chất: technological capability, chiều sâu năng lực công nghệ nhập vào tổ chức, và digital adoption, mức độ áp dụng công cụ số bề mặt trong hoạt động kinh doanh. Nhiều nghiên cứu trước gộp hai construct này thành một chỉ số composite duy nhất, điều này làm giảm độ chính xác của kết luận và có thể che khuất các cơ chế tác động khác nhau (Bharadwaj et al., 2013; Coltman et al., 2008; Verhoef et al., 2021). Khoảng trống thứ ba là thiếu bằng chứng cross-country quy mô lớn cho châu Á. Phần lớn nghiên cứu hiện có tập trung vào một quốc gia hoặc một tiểu vùng, và thậm chí khi có nghiên cứu đa quốc gia, phạm vi thường hẹp và thiếu sự đa dạng thể chế đủ lớn để kiểm định các điều kiện biên có ý nghĩa.</w:t>
      </w:r>
    </w:p>
    <w:p>
      <w:pPr>
        <w:pStyle w:val="BodyText"/>
      </w:pPr>
      <w:r>
        <w:t xml:space="preserve">Luận án này được thiết kế để giải quyết ba khoảng trống đó bằng cách xây dựng và kiểm định một khung giải thích đa tầng cho quan hệ I–P tại châu Á, với thiết kế mixed synthesis-empirical kết hợp meta-analysis và phân tích đa quốc gia quy mô lớn. Trọng tâm khoa học của luận án là vai trò điều tiết của thể chế, năng lực số và đặc điểm nhà quản trị, ba tầng điều tiết mà, theo lập luận của luận án, cùng nhau tạo nên cấu trúc giải thích cần thiết cho heterogeneity cao trong quan hệ I–P.</w:t>
      </w:r>
    </w:p>
    <w:p>
      <w:r>
        <w:pict>
          <v:rect style="width:0;height:1.5pt" o:hralign="center" o:hrstd="t" o:hr="t"/>
        </w:pict>
      </w:r>
    </w:p>
    <w:bookmarkEnd w:id="34"/>
    <w:bookmarkStart w:id="35" w:name="mục-tiêu-nghiên-cứu"/>
    <w:p>
      <w:pPr>
        <w:pStyle w:val="Heading2"/>
      </w:pPr>
      <w:r>
        <w:t xml:space="preserve">1.3 Mục tiêu nghiên cứu</w:t>
      </w:r>
    </w:p>
    <w:p>
      <w:pPr>
        <w:pStyle w:val="FirstParagraph"/>
      </w:pPr>
      <w:r>
        <w:t xml:space="preserve">Mục tiêu tổng quát của luận án là xây dựng và kiểm định một khung giải thích đa tầng cho mối quan hệ giữa quốc tế hóa và hiệu quả hoạt động của doanh nghiệp tại các quốc gia châu Á, trong đó làm rõ vai trò điều tiết của thể chế, năng lực số và đặc điểm nhà quản trị.</w:t>
      </w:r>
    </w:p>
    <w:p>
      <w:pPr>
        <w:pStyle w:val="BodyText"/>
      </w:pPr>
      <w:r>
        <w:t xml:space="preserve">Từ mục tiêu tổng quát đó, luận án triển khai bốn mục tiêu cụ thể. Mục tiêu cụ thể thứ nhất là tổng hợp và cập nhật bằng chứng meta-analytic về mối quan hệ I–P trong giai đoạn 1982–2026, xác định tác động tổng hợp, mức độ dị biệt và các nhân tố điều tiết (các biến điều tiết) chính giải thích heterogeneity trong văn liệu. Mục tiêu cụ thể thứ hai là kiểm định cơ chế cụ thể trong các bối cảnh quốc gia khác nhau, bao gồm Singapore với tư cách nền kinh tế nhỏ mở tiên tiến, Việt Nam với tư cách nền kinh tế chuyển đổi đang mở rộng, và Trung Quốc với tư cách nền kinh tế mới nổi quy mô lớn, nhằm làm rõ cách thức các cơ chế I–P vận hành khác nhau theo bối cảnh quốc gia. Mục tiêu cụ thể thứ ba là mở rộng phân tích sang 50 nền kinh tế châu Á và Thái Bình Dương (bao gồm 7 nền kinh tế Pacific SIDS) để kiểm định khả năng khái quát hóa của các phát hiện trên phạm vi rộng, kế thừa và mở rộng từ pool 17 nền kinh tế trong nghiên cứu thành phần P1. Mục tiêu cụ thể thứ tư là phân tích vai trò điều tiết của ba nhóm biến: thể chế (bao gồm các sub-regime ICRV và các chỉ số rào cản thể chế), năng lực số (phân biệt rõ technological capability index, TCI và chỉ số chấp nhận số, digital adoption index, DAI), và đặc điểm nhà quản trị cấp cao (kinh nghiệm và giới tính).</w:t>
      </w:r>
    </w:p>
    <w:p>
      <w:r>
        <w:pict>
          <v:rect style="width:0;height:1.5pt" o:hralign="center" o:hrstd="t" o:hr="t"/>
        </w:pict>
      </w:r>
    </w:p>
    <w:bookmarkEnd w:id="35"/>
    <w:bookmarkStart w:id="36" w:name="câu-hỏi-nghiên-cứu"/>
    <w:p>
      <w:pPr>
        <w:pStyle w:val="Heading2"/>
      </w:pPr>
      <w:r>
        <w:t xml:space="preserve">1.4 Câu hỏi nghiên cứu</w:t>
      </w:r>
    </w:p>
    <w:p>
      <w:pPr>
        <w:pStyle w:val="FirstParagraph"/>
      </w:pPr>
      <w:r>
        <w:t xml:space="preserve">Câu hỏi nghiên cứu trung tâm của luận án là: Quốc tế hóa ảnh hưởng đến hiệu quả hoạt động của doanh nghiệp ở châu Á như thế nào, và những điều kiện nào, về thể chế, năng lực số và đặc điểm nhà quản trị, giải thích sự dị biệt cao trong mối quan hệ đó?</w:t>
      </w:r>
    </w:p>
    <w:p>
      <w:pPr>
        <w:pStyle w:val="BodyText"/>
      </w:pPr>
      <w:r>
        <w:t xml:space="preserve">Từ câu hỏi trung tâm đó, bốn câu hỏi nghiên cứu cụ thể được đặt ra. Câu hỏi nghiên cứu thứ nhất (RQ1) là: Tác động tổng hợp của quốc tế hóa lên hiệu quả hoạt động của doanh nghiệp trong văn liệu 1982–2026 là gì, mức độ dị biệt ở mức nào, và những các biến điều tiết nào giải thích heterogeneity đó một cách có hệ thống? Câu hỏi nghiên cứu thứ hai (RQ2) là: Trong từng bối cảnh quốc gia cụ thể bao gồm Singapore, Việt Nam và Trung Quốc, mối quan hệ I–P vận hành theo những cơ chế đặc thù nào và sự phi tuyến có biểu hiện ra sao? Câu hỏi nghiên cứu thứ ba (RQ3) là: Trên phạm vi đa quốc gia châu Á bao gồm 50 nền kinh tế châu Á và Thái Bình Dương (bao gồm 7 nền kinh tế Pacific SIDS), vai trò điều tiết của chỉ số chấp nhận số (DAI) và technological capability index (TCI) có khái quát hóa được không, và hai construct này có thực sự vận hành theo các cơ chế khác nhau không? Câu hỏi nghiên cứu thứ tư (RQ4) là: Vai trò của thể chế, đo bằng sub-regime ICRV, cùng với sự phân biệt giữa TCI và DAI, và đặc điểm nhà quản trị trong việc điều tiết mối quan hệ I–P là gì, và sự tương tác ba chiều giữa ba tầng đó có ý nghĩa như thế nào?</w:t>
      </w:r>
    </w:p>
    <w:p>
      <w:r>
        <w:pict>
          <v:rect style="width:0;height:1.5pt" o:hralign="center" o:hrstd="t" o:hr="t"/>
        </w:pict>
      </w:r>
    </w:p>
    <w:bookmarkEnd w:id="36"/>
    <w:bookmarkStart w:id="40" w:name="đối-tượng-và-phạm-vi-nghiên-cứu"/>
    <w:p>
      <w:pPr>
        <w:pStyle w:val="Heading2"/>
      </w:pPr>
      <w:r>
        <w:t xml:space="preserve">1.5 Đối tượng và phạm vi nghiên cứu</w:t>
      </w:r>
    </w:p>
    <w:bookmarkStart w:id="37" w:name="đối-tượng-nghiên-cứu"/>
    <w:p>
      <w:pPr>
        <w:pStyle w:val="Heading3"/>
      </w:pPr>
      <w:r>
        <w:t xml:space="preserve">1.5.1 Đối tượng nghiên cứu</w:t>
      </w:r>
    </w:p>
    <w:p>
      <w:pPr>
        <w:pStyle w:val="FirstParagraph"/>
      </w:pPr>
      <w:r>
        <w:t xml:space="preserve">Đối tượng nghiên cứu của luận án là mối quan hệ giữa quốc tế hóa và hiệu quả hoạt động của doanh nghiệp (internationalization–firm performance relationship) cùng với các yếu tố điều tiết của mối quan hệ đó, bao gồm bối cảnh thể chế, năng lực số và đặc điểm nhà quản trị cấp cao. Đơn vị phân tích là doanh nghiệp ở cấp độ tổ chức (firm-level analysis), không phải cấp độ ngành hay cấp độ quốc gia.</w:t>
      </w:r>
    </w:p>
    <w:bookmarkEnd w:id="37"/>
    <w:bookmarkStart w:id="38" w:name="phạm-vi-không-gian"/>
    <w:p>
      <w:pPr>
        <w:pStyle w:val="Heading3"/>
      </w:pPr>
      <w:r>
        <w:t xml:space="preserve">1.5.2 Phạm vi không gian</w:t>
      </w:r>
    </w:p>
    <w:p>
      <w:pPr>
        <w:pStyle w:val="FirstParagraph"/>
      </w:pPr>
      <w:r>
        <w:t xml:space="preserve">Phạm vi không gian chính của nghiên cứu bao gồm</w:t>
      </w:r>
      <w:r>
        <w:t xml:space="preserve"> </w:t>
      </w:r>
      <w:r>
        <w:rPr>
          <w:bCs/>
          <w:b/>
        </w:rPr>
        <w:t xml:space="preserve">50 nền kinh tế châu Á và Thái Bình Dương</w:t>
      </w:r>
      <w:r>
        <w:t xml:space="preserve"> </w:t>
      </w:r>
      <w:r>
        <w:t xml:space="preserve">có dữ liệu trong Khảo sát Doanh nghiệp của Ngân hàng Thế giới (World Bank Enterprise Surveys, WBES), được phân loại và tổ chức theo 6 sub-regime trong khung ICRV. Sáu sub-regime bao gồm: (i) Advanced Innovation-Driven, gồm Singapore, Hong Kong SAR, Hàn Quốc, Đài Loan, Israel và Nhật Bản; (ii) Advanced Resource-Driven, đại diện là các nền kinh tế GCC; (iii) Upper-middle, đại diện là Trung Quốc và Malaysia; (iv) Lower-middle transition, bao gồm Việt Nam và các nền kinh tế ASEAN đang phát triển; (v) Emerging, bao gồm các nền kinh tế kém phát triển nhất châu Á như Campuchia, Nepal và Afghanistan; và (vi) SIDS (Small Island Developing States), bao gồm 7 nền kinh tế đảo nhỏ Thái Bình Dương (mẫu chính P8; mở rộng 9 nền gồm Comoros và Timor-Leste khi kiểm định độ vững) được đưa vào phân tích để kiểm định các điều kiện biên cực đoan của quan hệ I–P. Nhật Bản được Khảo sát Doanh nghiệp của Ngân hàng Thế giới đưa vào lần đầu năm 2025 (N = 2.168) và là thành viên đầy đủ của Nhóm I trong khung phân tích, đồng thời là đối tượng của nghiên cứu thành phần P10.</w:t>
      </w:r>
    </w:p>
    <w:bookmarkEnd w:id="38"/>
    <w:bookmarkStart w:id="39" w:name="phạm-vi-thời-gian"/>
    <w:p>
      <w:pPr>
        <w:pStyle w:val="Heading3"/>
      </w:pPr>
      <w:r>
        <w:t xml:space="preserve">1.5.3 Phạm vi thời gian</w:t>
      </w:r>
    </w:p>
    <w:p>
      <w:pPr>
        <w:pStyle w:val="FirstParagraph"/>
      </w:pPr>
      <w:r>
        <w:t xml:space="preserve">Phạm vi thời gian của nghiên cứu có hai mức. Đối với phase meta-analysis, luận án tổng hợp văn liệu trong giai đoạn 1982–2026, bao quát toàn bộ chương trình nghiên cứu về quan hệ I–P từ khi các nghiên cứu thực nghiệm đầu tiên xuất hiện đến thời điểm hoàn thành luận án. Đối với phase phân tích thực nghiệm đa quốc gia, luận án sử dụng dữ liệu WBES trong giai đoạn 2003–2025, bao gồm 88.869 doanh nghiệp với 103 cặp nền kinh tế-năm. Dữ liệu WBES từ ba thế hệ schema (PICS3 giai đoạn 2009–2012, Standardized giai đoạn 2013–2017, và BREADY/BEE giai đoạn 2018–2025) đã được hòa hợp để đảm bảo tính nhất quán trong đo lường biến qua các wave khảo sát.</w:t>
      </w:r>
    </w:p>
    <w:p>
      <w:r>
        <w:pict>
          <v:rect style="width:0;height:1.5pt" o:hralign="center" o:hrstd="t" o:hr="t"/>
        </w:pict>
      </w:r>
    </w:p>
    <w:bookmarkEnd w:id="39"/>
    <w:bookmarkEnd w:id="40"/>
    <w:bookmarkStart w:id="41" w:name="Xbf9681d2ece38c831068ce83c1d076e11fd1195"/>
    <w:p>
      <w:pPr>
        <w:pStyle w:val="Heading2"/>
      </w:pPr>
      <w:r>
        <w:t xml:space="preserve">1.6 Phương pháp luận và phương pháp nghiên cứu</w:t>
      </w:r>
    </w:p>
    <w:p>
      <w:pPr>
        <w:pStyle w:val="FirstParagraph"/>
      </w:pPr>
      <w:r>
        <w:t xml:space="preserve">Luận án áp dụng thiết kế nghiên cứu mixed synthesis-empirical, sự kết hợp giữa meta-analysis và phân tích thực nghiệm đa quốc gia, nhằm trả lời bốn câu hỏi nghiên cứu đã đặt ra. Thiết kế này không chỉ đơn thuần là sử dụng hai phương pháp song song, mà tạo ra một đối thoại hai chiều: meta-analysis cung cấp tổng quan có hệ thống về trạng thái bằng chứng và xác định các biến điều tiết quan trọng trong văn liệu, trong khi phân tích thực nghiệm kiểm định trực tiếp các giả thuyết phát sinh từ khung lý thuyết trong bối cảnh châu Á. Sự tương tác này tăng cường đáng kể sức mạnh đóng góp so với việc chỉ sử dụng một phương pháp duy nhất (Borenstein et al., 2009; Hunter &amp; Schmidt, 2004).</w:t>
      </w:r>
    </w:p>
    <w:p>
      <w:pPr>
        <w:pStyle w:val="BodyText"/>
      </w:pPr>
      <w:r>
        <w:t xml:space="preserve">Về phương pháp cụ thể, phase meta-analysis sử dụng random-effects model với Fisher’s z transformation, phân tích nhóm con (subgroup analysis) theo chế độ thể chế, và các kiểm định publication bias bao gồm Egger’s test và Begg–Mazumdar rank correlation test. Phase thực nghiệm sử dụng hồi quy OLS với sai số chuẩn robust HC1/HC3, mô hình bậc hai và bậc ba để kiểm định phi tuyến, tương tác hai chiều và ba chiều để kiểm định moderation, cùng với fixed effects theo quốc gia và năm. Kiểm định Lind–Mehlum U-test được áp dụng để xác nhận dạng chữ U ngược và xác định điểm điểm uốn trong quan hệ phi tuyến (Haans et al., 2016; Lind &amp; Mehlum, 2010).</w:t>
      </w:r>
    </w:p>
    <w:p>
      <w:r>
        <w:pict>
          <v:rect style="width:0;height:1.5pt" o:hralign="center" o:hrstd="t" o:hr="t"/>
        </w:pict>
      </w:r>
    </w:p>
    <w:bookmarkEnd w:id="41"/>
    <w:bookmarkStart w:id="42" w:name="giả-thuyết-khoa-học-tóm-tắt"/>
    <w:p>
      <w:pPr>
        <w:pStyle w:val="Heading2"/>
      </w:pPr>
      <w:r>
        <w:t xml:space="preserve">1.7 Giả thuyết khoa học (tóm tắt)</w:t>
      </w:r>
    </w:p>
    <w:p>
      <w:pPr>
        <w:pStyle w:val="FirstParagraph"/>
      </w:pPr>
      <w:r>
        <w:t xml:space="preserve">Dựa trên khung lý thuyết tích hợp đa tầng bao gồm Uppsala model, RBV, Institutional Theory, Upper Echelons Theory và digital capability lens, luận án đề xuất hệ giả thuyết khoa học với sáu giả thuyết trọng tâm. Quan hệ nền giữa quốc tế hóa và hiệu quả hoạt động doanh nghiệp mang dạng phi tuyến, cụ thể là dạng chữ U ngược, với chi phí thâm nhập và thích nghi cao ở giai đoạn đầu và lợi ích quy mô, học hỏi và đa dạng hóa thị trường ở giai đoạn sau, đến khi chi phí điều phối vượt quá lợi ích sẽ dẫn đến sự suy giảm hiệu quả. Technological capability index (TCI) điều tiết dương quan hệ I–P bằng cách mở rộng biên thích nghi và tăng cường khả năng khai thác lợi thế cạnh tranh ở thị trường quốc tế. Chỉ số chấp nhận số (DAI), được hiểu là proxy foundational digital adoption, có tác động điều tiết không đơn điệu và phụ thuộc vào chế độ thể chế: ở các nền kinh tế có thể chế tốt, DAI khuếch đại lợi ích của quốc tế hóa; ở các nền kinh tế với thể chế yếu, DAI có thể khuếch đại chi phí điều phối khi mức độ quốc tế hóa vượt ngưỡng. Bối cảnh thể chế, đo bằng sub-regime ICRV, điều tiết cả dạng và độ lớn của quan hệ I–P, tạo ra gradient từ tác động dương lớn ở Advanced Innovation-Driven đến tác động âm ở Emerging và SIDS extreme. Đặc điểm nhà quản trị cấp cao, cụ thể là kinh nghiệm quốc tế và đa dạng giới tính, điều tiết dương quan hệ I–P thông qua cơ chế tăng cường nhận diện cơ hội và quản trị rủi ro. Ngoài sáu giả thuyết trọng tâm H1–H6, luận án phát biểu thêm giả thuyết điều kiện biên H1b: tại các nền kinh tế SIDS (ICRV Nhóm VI), nơi ba điều kiện cấu trúc tối thiểu đồng thời bị vi phạm, thị trường nội địa quá nhỏ, chi phí thương mại cực cao, và thiếu hỗ trợ thể chế, quan hệ I–P chuyển từ dạng chữ U ngược sang quan hệ</w:t>
      </w:r>
      <w:r>
        <w:t xml:space="preserve"> </w:t>
      </w:r>
      <w:r>
        <w:rPr>
          <w:bCs/>
          <w:b/>
        </w:rPr>
        <w:t xml:space="preserve">âm đơn điệu không có điểm uốn</w:t>
      </w:r>
      <w:r>
        <w:t xml:space="preserve">, được gọi là gánh nặng quốc tế hóa bắt buộc (Forced Internationalization Penalty, FIP). Chi tiết toàn bộ hệ giả thuyết H1–H6 và H1b được trình bày đầy đủ trong Chương 2 của luận án.</w:t>
      </w:r>
    </w:p>
    <w:p>
      <w:r>
        <w:pict>
          <v:rect style="width:0;height:1.5pt" o:hralign="center" o:hrstd="t" o:hr="t"/>
        </w:pict>
      </w:r>
    </w:p>
    <w:bookmarkEnd w:id="42"/>
    <w:bookmarkStart w:id="46" w:name="ý-nghĩa-khoa-học-và-thực-tiễn"/>
    <w:p>
      <w:pPr>
        <w:pStyle w:val="Heading2"/>
      </w:pPr>
      <w:r>
        <w:t xml:space="preserve">1.8 Ý nghĩa khoa học và thực tiễn</w:t>
      </w:r>
    </w:p>
    <w:bookmarkStart w:id="43" w:name="đóng-góp-lý-thuyết"/>
    <w:p>
      <w:pPr>
        <w:pStyle w:val="Heading3"/>
      </w:pPr>
      <w:r>
        <w:t xml:space="preserve">1.8.1 Đóng góp lý thuyết</w:t>
      </w:r>
    </w:p>
    <w:p>
      <w:pPr>
        <w:pStyle w:val="FirstParagraph"/>
      </w:pPr>
      <w:r>
        <w:t xml:space="preserve">Về mặt lý thuyết, luận án đóng góp vào văn liệu kinh doanh quốc tế theo ba hướng chính. Hướng thứ nhất là tích hợp bốn lý thuyết kinh điển, Uppsala model, Resource-Based View, Institutional Theory và Upper Echelons Theory, vào một khung giải thích đa tầng thống nhất, bổ sung bởi digital capability lens để phản ánh chuyển đổi số đương đại. Khung này không chỉ là sự ghép nối cơ học các lý thuyết mà là một kiến trúc lý thuyết có tính nhất quán nội tại, trong đó mỗi tầng giải thích một loại heterogeneity khác nhau trong quan hệ I–P. Hướng thứ hai là phân tách rõ ràng technological capability (TCI) và chỉ số chấp nhận số (DAI) như hai construct lý thuyết độc lập, dựa trên các nền tảng khái niệm khác nhau từ Bharadwaj et al. (2013), Verhoef et al. (2021), và Coltman et al. (2008). Sự phân tách này bổ sung vào thiếu hụt khái niệm quan trọng trong văn liệu về số hóa và quốc tế hóa. Hướng thứ ba là tái định vị Uppsala model trong bối cảnh kỷ nguyên AI bằng cách mở rộng cơ chế học hỏi để bao gồm</w:t>
      </w:r>
      <w:r>
        <w:t xml:space="preserve"> </w:t>
      </w:r>
      <w:r>
        <w:t xml:space="preserve">“</w:t>
      </w:r>
      <w:r>
        <w:t xml:space="preserve">data-augmented learning</w:t>
      </w:r>
      <w:r>
        <w:t xml:space="preserve">”</w:t>
      </w:r>
      <w:r>
        <w:t xml:space="preserve">, phù hợp với xu hướng digitally-facilitated internationalization (Banalieva &amp; Dhanaraj, 2019; Yang et al., 2025). Hướng thứ tư là đề xuất và đặt tên lý thuyết cho</w:t>
      </w:r>
      <w:r>
        <w:t xml:space="preserve"> </w:t>
      </w:r>
      <w:r>
        <w:rPr>
          <w:bCs/>
          <w:b/>
        </w:rPr>
        <w:t xml:space="preserve">gánh nặng quốc tế hóa bắt buộc (Forced Internationalization Penalty, FIP)</w:t>
      </w:r>
      <w:r>
        <w:t xml:space="preserve">, một construct lý thuyết mới chưa được định danh trong văn liệu kinh doanh quốc tế, như điều kiện biên cực đoan của mô hình chữ U ngược khi cả ba tầng của khung CDCM (thể chế, năng lực, quản trị) đồng thời ở mức tối thiểu. Bằng chứng thực nghiệm từ bảy nền kinh tế Pacific SIDS xác nhận quan hệ âm đơn điệu không có điểm uốn, mở ra hướng nghiên cứu mới về điều kiện biên của lý thuyết quốc tế hóa.</w:t>
      </w:r>
    </w:p>
    <w:bookmarkEnd w:id="43"/>
    <w:bookmarkStart w:id="44" w:name="đóng-góp-phương-pháp"/>
    <w:p>
      <w:pPr>
        <w:pStyle w:val="Heading3"/>
      </w:pPr>
      <w:r>
        <w:t xml:space="preserve">1.8.2 Đóng góp phương pháp</w:t>
      </w:r>
    </w:p>
    <w:p>
      <w:pPr>
        <w:pStyle w:val="FirstParagraph"/>
      </w:pPr>
      <w:r>
        <w:t xml:space="preserve">Về mặt phương pháp, luận án đóng góp theo hai hướng. Hướng thứ nhất là thiết kế mixed synthesis-empirical kết hợp meta-analysis và phân tích đa quốc gia, tạo ra khả năng đối chiếu giữa bằng chứng tổng hợp từ văn liệu toàn cầu và bằng chứng thực nghiệm từ bối cảnh châu Á. Hướng thứ hai là phát triển và áp dụng khung phân loại thể chế ICRV cho 50 nền kinh tế, cung cấp một công cụ phân loại mới có ứng dụng tiềm năng trong nhiều nghiên cứu tương lai về moderating effect của thể chế trong văn liệu kinh doanh quốc tế.</w:t>
      </w:r>
    </w:p>
    <w:bookmarkEnd w:id="44"/>
    <w:bookmarkStart w:id="45" w:name="đóng-góp-thực-tiễn"/>
    <w:p>
      <w:pPr>
        <w:pStyle w:val="Heading3"/>
      </w:pPr>
      <w:r>
        <w:t xml:space="preserve">1.8.3 Đóng góp thực tiễn</w:t>
      </w:r>
    </w:p>
    <w:p>
      <w:pPr>
        <w:pStyle w:val="FirstParagraph"/>
      </w:pPr>
      <w:r>
        <w:t xml:space="preserve">Về mặt thực tiễn, luận án cung cấp căn cứ có hệ thống cho hai nhóm đối tượng sử dụng chính. Đối với doanh nghiệp, kết quả phân tích của luận án cho thấy tồn tại ngưỡng tối ưu trong mối quan hệ giữa mức độ xuất khẩu và hiệu quả hoạt động, và ngưỡng này thay đổi theo bối cảnh thể chế và năng lực số của từng doanh nghiệp. Nhà quản trị cần nhận thức được ngưỡng này và đầu tư có chiến lược vào năng lực công nghệ thay vì chỉ tập trung vào digital adoption bề mặt. Đối với nhà hoạch định chính sách, bằng chứng từ luận án gợi ý rằng cải cách thể chế và hỗ trợ chuyển đổi số có thể có hiệu ứng bổ trợ tích cực, được nghiên cứu về 17 nền kinh tế châu Á mới nổi đặt tên là</w:t>
      </w:r>
      <w:r>
        <w:t xml:space="preserve"> </w:t>
      </w:r>
      <w:r>
        <w:t xml:space="preserve">“</w:t>
      </w:r>
      <w:r>
        <w:t xml:space="preserve">digital shield effect</w:t>
      </w:r>
      <w:r>
        <w:t xml:space="preserve">”</w:t>
      </w:r>
      <w:r>
        <w:t xml:space="preserve">, trong đó năng lực số làm giảm tác động tiêu cực của rào cản thể chế đối với doanh nghiệp quốc tế hóa (nghiên cứu thành phần P1). Cơ chế này được luận án kiểm định trên phạm vi rộng hơn với 50 nền kinh tế châu Á và Thái Bình Dương.</w:t>
      </w:r>
    </w:p>
    <w:p>
      <w:r>
        <w:pict>
          <v:rect style="width:0;height:1.5pt" o:hralign="center" o:hrstd="t" o:hr="t"/>
        </w:pict>
      </w:r>
    </w:p>
    <w:bookmarkEnd w:id="45"/>
    <w:bookmarkEnd w:id="46"/>
    <w:bookmarkStart w:id="47" w:name="tính-mới-của-đề-tài"/>
    <w:p>
      <w:pPr>
        <w:pStyle w:val="Heading2"/>
      </w:pPr>
      <w:r>
        <w:t xml:space="preserve">1.9 Tính mới của đề tài</w:t>
      </w:r>
    </w:p>
    <w:p>
      <w:pPr>
        <w:pStyle w:val="FirstParagraph"/>
      </w:pPr>
      <w:r>
        <w:t xml:space="preserve">Luận án có sáu điểm mới so với các công trình nghiên cứu trước đây. Điểm mới thứ nhất là đề xuất khung tích hợp đa tầng cho quan hệ I–P trong bối cảnh châu Á, kết hợp bốn lý thuyết kinh điển với digital capability lens thành một kiến trúc lý thuyết thống nhất và có khả năng kiểm định. Không có nghiên cứu trước nào trong bối cảnh châu Á xây dựng khung tích hợp đầy đủ ba tầng điều tiết này theo cách có hệ thống. Điểm mới thứ hai là phân tách TCI và chỉ số chấp nhận số (DAI) như hai construct không trùng lặp, kiểm định chúng riêng biệt trong cùng một mô hình để làm rõ cơ chế tác động khác nhau của hai loại năng lực số đó. Sự phân tách này khắc phục hạn chế của các nghiên cứu trước thường gộp chung hai construct có bản chất khác nhau. Điểm mới thứ ba là phát triển và áp dụng khung phân loại thể chế ICRV với 6 sub-regime cho 50 nền kinh tế, bao gồm cả 7 nền kinh tế Pacific SIDS liền kề như boundary case cực đoan, đây là lần đầu tiên một hệ thống phân loại đủ mịn như vậy được áp dụng trong nghiên cứu thực nghiệm về quan hệ I–P tại châu Á. Điểm mới thứ tư là pool dữ liệu lớn nhất từ trước đến nay cho nghiên cứu đa quốc gia về quan hệ I–P tại châu Á, với 88.869 doanh nghiệp từ 50 nền kinh tế châu Á và Thái Bình Dương, mở rộng đáng kể từ pool 17 nước (nghiên cứu thành phần P1) là nền tảng hiện có lớn nhất trước khi luận án hoàn thành. Điểm mới thứ năm là kiểm định temporal stability của điểm uốn trong quan hệ I–P tại Trung Quốc, cho phép đánh giá liệu cấu trúc phi tuyến đó có ổn định qua hơn một thập kỷ chuyển đổi số hay không. Kết quả phân tích của luận án cho thấy điểm uốn tương đối ổn định qua hai thời điểm quan sát, cung cấp bằng chứng về tính bền vững của cấu trúc I–P phi tuyến ở Trung Quốc dù bối cảnh kinh tế có nhiều thay đổi. Điểm mới thứ sáu là phát hiện và đặt tên lý thuyết cho</w:t>
      </w:r>
      <w:r>
        <w:t xml:space="preserve"> </w:t>
      </w:r>
      <w:r>
        <w:rPr>
          <w:bCs/>
          <w:b/>
        </w:rPr>
        <w:t xml:space="preserve">gánh nặng quốc tế hóa bắt buộc (Forced Internationalization Penalty, FIP)</w:t>
      </w:r>
      <w:r>
        <w:t xml:space="preserve"> </w:t>
      </w:r>
      <w:r>
        <w:t xml:space="preserve">tại bảy nền kinh tế Pacific SIDS, lần đầu tiên trong văn liệu kinh doanh quốc tế, một trường hợp quan hệ I–P âm đơn điệu không có điểm uốn được ghi nhận và biện minh lý thuyết bằng ba điều kiện cấu trúc vi phạm đồng thời, mở ra hướng nghiên cứu mới về điều kiện biên của các lý thuyết quốc tế hóa phổ quát.</w:t>
      </w:r>
    </w:p>
    <w:p>
      <w:r>
        <w:pict>
          <v:rect style="width:0;height:1.5pt" o:hralign="center" o:hrstd="t" o:hr="t"/>
        </w:pict>
      </w:r>
    </w:p>
    <w:bookmarkEnd w:id="47"/>
    <w:bookmarkStart w:id="48" w:name="cấu-trúc-của-luận-án"/>
    <w:p>
      <w:pPr>
        <w:pStyle w:val="Heading2"/>
      </w:pPr>
      <w:r>
        <w:t xml:space="preserve">1.10 Cấu trúc của luận án</w:t>
      </w:r>
    </w:p>
    <w:p>
      <w:pPr>
        <w:pStyle w:val="FirstParagraph"/>
      </w:pPr>
      <w:r>
        <w:t xml:space="preserve">Luận án được tổ chức thành năm chương theo chuẩn luận án tiến sĩ truyền thống tại Trường Kinh tế, Đại học Cần Thơ. Chương 1, Giới thiệu, đặt vấn đề nghiên cứu, xác định khoảng trống, trình bày mục tiêu, câu hỏi nghiên cứu, phạm vi, phương pháp luận, giả thuyết khoa học tóm tắt, ý nghĩa, tính mới và cấu trúc của luận án. Chương 2, Cơ sở lý thuyết và tổng quan tài liệu, xây dựng khung lý thuyết tích hợp đa tầng, tổng quan bằng chứng thực nghiệm đã có, và phát triển hệ giả thuyết H1–H6 dựa trên khoảng trống và logic lý thuyết. Chương 3, Phương pháp nghiên cứu, trình bày chi tiết thiết kế nghiên cứu, nguồn dữ liệu, cách đo lường biến, mô hình phân tích và chiến lược kiểm định độ vững. Chương 4, Kết quả nghiên cứu, trình bày kết quả ở ba cấp độ phân tích: meta-analysis cập nhật 1982–2026, phân tích theo bối cảnh quốc gia cụ thể, và phân tích đa quốc gia capstone trên pool đầy đủ 50 nền kinh tế. Chương 5, Thảo luận và kết luận, tích hợp các phát hiện từ Chương 4 vào khung lý thuyết ở Chương 2, thảo luận đóng góp khoa học, hàm ý quản trị và chính sách, hạn chế của nghiên cứu và hướng nghiên cứu tiếp theo.</w:t>
      </w:r>
    </w:p>
    <w:p>
      <w:pPr>
        <w:pStyle w:val="BodyText"/>
      </w:pPr>
      <w:r>
        <w:rPr>
          <w:bCs/>
          <w:b/>
        </w:rPr>
        <w:t xml:space="preserve">Roadmap bảy nghiên cứu thành phần (P3–P9):</w:t>
      </w:r>
      <w:r>
        <w:t xml:space="preserve"> </w:t>
      </w:r>
      <w:r>
        <w:t xml:space="preserve">Luận án tích hợp bảy nghiên cứu thành phần được công bố hoặc đang trong quá trình xem xét tại các tạp chí ISI/Scopus.</w:t>
      </w:r>
      <w:r>
        <w:t xml:space="preserve"> </w:t>
      </w:r>
      <w:r>
        <w:rPr>
          <w:bCs/>
          <w:b/>
        </w:rPr>
        <w:t xml:space="preserve">P3</w:t>
      </w:r>
      <w:r>
        <w:t xml:space="preserve"> </w:t>
      </w:r>
      <w:r>
        <w:t xml:space="preserve">(Việt Nam, JABS, đang phản biện): kiểm định chữ U ngược tại Nhóm IV ICRV, điểm uốn = 39,3–46,2% FSTS, TCI là level-shifter có ý nghĩa.</w:t>
      </w:r>
      <w:r>
        <w:t xml:space="preserve"> </w:t>
      </w:r>
      <w:r>
        <w:rPr>
          <w:bCs/>
          <w:b/>
        </w:rPr>
        <w:t xml:space="preserve">P4</w:t>
      </w:r>
      <w:r>
        <w:t xml:space="preserve"> </w:t>
      </w:r>
      <w:r>
        <w:t xml:space="preserve">(Singapore, MIR, đang phản biện): kiểm định tại Nhóm I ICRV, điểm uốn ≈ 88,6% (khoảng tin cậy rất rộng và vượt ngưỡng khả thi của FSTS, nên không định vị tin cậy, xem §4.3), DAI Tier-1+2 khuếch đại đường cong I–P.</w:t>
      </w:r>
      <w:r>
        <w:t xml:space="preserve"> </w:t>
      </w:r>
      <w:r>
        <w:rPr>
          <w:bCs/>
          <w:b/>
        </w:rPr>
        <w:t xml:space="preserve">P5</w:t>
      </w:r>
      <w:r>
        <w:t xml:space="preserve"> </w:t>
      </w:r>
      <w:r>
        <w:t xml:space="preserve">(Trung Quốc, IJOEM, đang phản biện): kiểm định temporal stability, điểm uốn ổn định qua 2012–2024 (≈ 48,78%, Paternoster z = 0,82, p = ,412).</w:t>
      </w:r>
      <w:r>
        <w:t xml:space="preserve"> </w:t>
      </w:r>
      <w:r>
        <w:rPr>
          <w:bCs/>
          <w:b/>
        </w:rPr>
        <w:t xml:space="preserve">P6</w:t>
      </w:r>
      <w:r>
        <w:t xml:space="preserve"> </w:t>
      </w:r>
      <w:r>
        <w:t xml:space="preserve">(meta-analysis ba tầng, IBR, đang phản biện): k = 238 nghiên cứu, r̄ = 0,074, I² = 62,4%, gradient ICRV Q_M = 17,35 (df = 4, p = ,002).</w:t>
      </w:r>
      <w:r>
        <w:t xml:space="preserve"> </w:t>
      </w:r>
      <w:r>
        <w:rPr>
          <w:bCs/>
          <w:b/>
        </w:rPr>
        <w:t xml:space="preserve">P7</w:t>
      </w:r>
      <w:r>
        <w:t xml:space="preserve"> </w:t>
      </w:r>
      <w:r>
        <w:t xml:space="preserve">(50 nền kinh tế, mục tiêu JIBS): N = 81.022 quan sát, điểm uốn gộp 43,6% ở mô hình đầy đủ, chữ U ngược rõ nét nhất ở nhóm chuyển đổi thu nhập trung bình–thấp (43,0%), kiểm định tích hợp CDCM đầu tiên ở quy mô liên quốc gia lớn.</w:t>
      </w:r>
      <w:r>
        <w:t xml:space="preserve"> </w:t>
      </w:r>
      <w:r>
        <w:rPr>
          <w:bCs/>
          <w:b/>
        </w:rPr>
        <w:t xml:space="preserve">P8</w:t>
      </w:r>
      <w:r>
        <w:t xml:space="preserve"> </w:t>
      </w:r>
      <w:r>
        <w:t xml:space="preserve">(SIDS, World Development, đang phản biện vòng hai): boundary condition FIP, quan hệ âm đơn điệu (</w:t>
      </w:r>
      <m:oMath>
        <m:sSub>
          <m:e>
            <m:acc>
              <m:accPr>
                <m:chr m:val="̂"/>
              </m:accPr>
              <m:e>
                <m:r>
                  <m:t>β</m:t>
                </m:r>
              </m:e>
            </m:acc>
          </m:e>
          <m:sub>
            <m:r>
              <m:rPr>
                <m:nor/>
                <m:sty m:val="p"/>
              </m:rPr>
              <m:t>FSTS</m:t>
            </m:r>
          </m:sub>
        </m:sSub>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xác nhận H1b tại bảy nền kinh tế Pacific SIDS.</w:t>
      </w:r>
      <w:r>
        <w:t xml:space="preserve"> </w:t>
      </w:r>
      <w:r>
        <w:rPr>
          <w:bCs/>
          <w:b/>
        </w:rPr>
        <w:t xml:space="preserve">P9</w:t>
      </w:r>
      <w:r>
        <w:t xml:space="preserve"> </w:t>
      </w:r>
      <w:r>
        <w:t xml:space="preserve">(Ấn Độ, MIR/IJOEM, đang bình duyệt): độ bền ngưỡng I–P qua ba đợt WBES 2014–2025 (~29.000 doanh nghiệp), phát hiện</w:t>
      </w:r>
      <w:r>
        <w:t xml:space="preserve"> </w:t>
      </w:r>
      <w:r>
        <w:rPr>
          <w:bCs/>
          <w:b/>
        </w:rPr>
        <w:t xml:space="preserve">tan biến</w:t>
      </w:r>
      <w:r>
        <w:t xml:space="preserve"> </w:t>
      </w:r>
      <w:r>
        <w:t xml:space="preserve">điểm uốn chữ U ngược dưới biến động thể chế cực đoan (TP 61,8% rồi 40,7% sang tan biến;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kèm tương tác DAI Tier-2/UPI âm. Kết quả P3–P9 được trình bày chi tiết trong Chương 4 và tích hợp vào bàn luận CDCM trong Chương 5.</w:t>
      </w:r>
      <w:r>
        <w:t xml:space="preserve"> </w:t>
      </w:r>
      <w:r>
        <w:rPr>
          <w:bCs/>
          <w:b/>
        </w:rPr>
        <w:t xml:space="preserve">P10</w:t>
      </w:r>
      <w:r>
        <w:t xml:space="preserve"> </w:t>
      </w:r>
      <w:r>
        <w:t xml:space="preserve">(Nhật Bản, mục tiêu Asian Business &amp; Management): khai thác đợt WBES khai mở của Nhật Bản 2025 (N = 2.168) kiểm định dự đoán biên trên của gradient thể chế, quan hệ I–P gần tuyến tính dương, không có điểm uốn trong miền quan sát; TCI và DAI nâng mặt bằng; phần bù trường thọ doanh nghiệp.</w:t>
      </w:r>
    </w:p>
    <w:p>
      <w:r>
        <w:pict>
          <v:rect style="width:0;height:1.5pt" o:hralign="center" o:hrstd="t" o:hr="t"/>
        </w:pict>
      </w:r>
    </w:p>
    <w:p>
      <w:pPr>
        <w:pStyle w:val="FirstParagraph"/>
      </w:pPr>
      <w:r>
        <w:rPr>
          <w:iCs/>
          <w:i/>
        </w:rPr>
        <w:t xml:space="preserve">Chú thích về ký hiệu và thuật ngữ: Trong toàn bộ luận án,</w:t>
      </w:r>
      <w:r>
        <w:rPr>
          <w:iCs/>
          <w:i/>
        </w:rPr>
        <w:t xml:space="preserve"> </w:t>
      </w:r>
      <w:r>
        <w:rPr>
          <w:iCs/>
          <w:i/>
        </w:rPr>
        <w:t xml:space="preserve">“</w:t>
      </w:r>
      <w:r>
        <w:rPr>
          <w:iCs/>
          <w:i/>
        </w:rPr>
        <w:t xml:space="preserve">quốc tế hóa</w:t>
      </w:r>
      <w:r>
        <w:rPr>
          <w:iCs/>
          <w:i/>
        </w:rPr>
        <w:t xml:space="preserve">”</w:t>
      </w:r>
      <w:r>
        <w:rPr>
          <w:iCs/>
          <w:i/>
        </w:rPr>
        <w:t xml:space="preserve"> </w:t>
      </w:r>
      <w:r>
        <w:rPr>
          <w:iCs/>
          <w:i/>
        </w:rPr>
        <w:t xml:space="preserve">(internationalization) được đo chủ yếu bằng tỷ lệ doanh thu nước ngoài trên tổng doanh thu (FSTS) hoặc export intensity;</w:t>
      </w:r>
      <w:r>
        <w:rPr>
          <w:iCs/>
          <w:i/>
        </w:rPr>
        <w:t xml:space="preserve"> </w:t>
      </w:r>
      <w:r>
        <w:rPr>
          <w:iCs/>
          <w:i/>
        </w:rPr>
        <w:t xml:space="preserve">“</w:t>
      </w:r>
      <w:r>
        <w:rPr>
          <w:iCs/>
          <w:i/>
        </w:rPr>
        <w:t xml:space="preserve">hiệu quả hoạt động</w:t>
      </w:r>
      <w:r>
        <w:rPr>
          <w:iCs/>
          <w:i/>
        </w:rPr>
        <w:t xml:space="preserve">”</w:t>
      </w:r>
      <w:r>
        <w:rPr>
          <w:iCs/>
          <w:i/>
        </w:rPr>
        <w:t xml:space="preserve"> </w:t>
      </w:r>
      <w:r>
        <w:rPr>
          <w:iCs/>
          <w:i/>
        </w:rPr>
        <w:t xml:space="preserve">(firm performance) được đo chủ yếu bằng năng suất lao động (labor productivity), bổ sung bằng ROS và sales growth trong các kiểm định độ vững; TCI là technological capability index; DAI là chỉ số chấp nhận số (digital adoption index), được hiểu như proxy foundational digital adoption; ICRV là khung phân loại thể chế 6 nhóm được phát triển cho luận án này; WBES là World Bank Enterprise Surveys.</w:t>
      </w:r>
    </w:p>
    <w:p>
      <w:r>
        <w:br w:type="page"/>
      </w:r>
    </w:p>
    <w:bookmarkEnd w:id="48"/>
    <w:bookmarkStart w:id="81" w:name="chương-2-tổng-quan-tài-liệu"/>
    <w:p>
      <w:pPr>
        <w:pStyle w:val="Heading1"/>
      </w:pPr>
      <w:r>
        <w:t xml:space="preserve">CHƯƠNG 2: TỔNG QUAN TÀI LIỆU</w:t>
      </w:r>
    </w:p>
    <w:p>
      <w:pPr>
        <w:pStyle w:val="FirstParagraph"/>
      </w:pPr>
      <w:r>
        <w:t xml:space="preserve">Chương 2 có nhiệm vụ hệ thống hóa các khái niệm cốt lõi và lý thuyết nền tảng, lược khảo và đánh giá các công trình thực nghiệm đã công bố về mối quan hệ giữa quốc tế hóa và hiệu quả hoạt động doanh nghiệp, xác định những khoảng trống còn tồn tại trong văn liệu, và từ đó xây dựng khung khái niệm tích hợp cùng hệ giả thuyết nghiên cứu H1–H6 cho luận án. Logic của chương đi từ nền tảng khái niệm đến lý thuyết, từ bằng chứng thực nghiệm đến khoảng trống, và từ khoảng trống đến mô hình nghiên cứu và giả thuyết.</w:t>
      </w:r>
    </w:p>
    <w:p>
      <w:r>
        <w:pict>
          <v:rect style="width:0;height:1.5pt" o:hralign="center" o:hrstd="t" o:hr="t"/>
        </w:pict>
      </w:r>
    </w:p>
    <w:bookmarkStart w:id="53" w:name="các-khái-niệm-cốt-lõi"/>
    <w:p>
      <w:pPr>
        <w:pStyle w:val="Heading2"/>
      </w:pPr>
      <w:r>
        <w:t xml:space="preserve">2.1 Các khái niệm cốt lõi</w:t>
      </w:r>
    </w:p>
    <w:bookmarkStart w:id="49" w:name="quốc-tế-hóa-doanh-nghiệp"/>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w:t>
      </w:r>
      <w:r>
        <w:t xml:space="preserve"> </w:t>
      </w:r>
      <w:r>
        <w:t xml:space="preserve">“</w:t>
      </w:r>
      <w:r>
        <w:t xml:space="preserve">toàn cầu hóa</w:t>
      </w:r>
      <w:r>
        <w:t xml:space="preserve">”</w:t>
      </w:r>
      <w:r>
        <w:t xml:space="preserve">, vốn mang nghĩa một xu hướng kinh tế vĩ mô, mà là một thuộc tính đo lường được ở cấp độ doanh nghiệp, phản ánh chiến lược mở rộng quốc tế và mức độ phụ thuộc vào thị trường nước ngoài.</w:t>
      </w:r>
    </w:p>
    <w:p>
      <w:pPr>
        <w:pStyle w:val="BodyText"/>
      </w:pPr>
      <w:r>
        <w:t xml:space="preserve">Trong văn liệu, mức độ quốc tế hóa được vận hành hóa bằng nhiều thước đo khác nhau. Sullivan (1994) đề xuất một chỉ số tổng hợp đa chiều bao gồm tỷ trọng doanh thu từ nước ngoài trên tổng doanh thu (foreign sales to total sales, FSTS), tỷ trọng tài sản ở nước ngoài trên tổng tài sản (foreign assets to total assets, FATA), và phạm vi địa lý (geographic scope). Trong những nghiên cứu sử dụng dữ liệu doanh nghiệp từ các nền kinh tế đang phát triển và từ khảo sát doanh nghiệp của Ngân hàng Thế giới (World Bank Enterprise Surveys, WBES), thước đo phổ biến nhất là cường độ xuất khẩu (export intensity), tức là tỷ lệ phần trăm doanh thu xuất khẩu trên tổng doanh thu, hay tương đương với FSTS theo nghĩa rộng (Johanson &amp; Vahlne, 1977; Lu &amp; Beamish, 2004). Luận án này sử dụng FSTS và bình phương FSTS (FSTS²) làm thước đo chính về mức độ quốc tế hóa, với lý do phù hợp với cấu trúc dữ liệu WBES và nhất quán với các nghiên cứu I–P sử dụng bộ dữ liệu tương tự (Bhandari et al., 2023; nghiên cứu thành phần P1).</w:t>
      </w:r>
    </w:p>
    <w:p>
      <w:pPr>
        <w:pStyle w:val="BodyText"/>
      </w:pPr>
      <w:r>
        <w:t xml:space="preserve">Điều quan trọng cần lưu ý là quốc tế hóa không phải là một trạng thái nhị phân, mà là một biến liên tục biểu thị cường độ tham gia thị trường quốc tế, có thể thay đổi theo thời gian và phản ánh quá trình cam kết tích lũy của doanh nghiệp vào các thị trường nước ngoài (Johanson &amp; Vahlne, 1977, 2009).</w:t>
      </w:r>
    </w:p>
    <w:bookmarkEnd w:id="49"/>
    <w:bookmarkStart w:id="50" w:name="hiệu-quả-hoạt-động-doanh-nghiệp"/>
    <w:p>
      <w:pPr>
        <w:pStyle w:val="Heading3"/>
      </w:pPr>
      <w:r>
        <w:t xml:space="preserve">2.1.2 Hiệu quả hoạt động doanh nghiệp</w:t>
      </w:r>
    </w:p>
    <w:p>
      <w:pPr>
        <w:pStyle w:val="FirstParagraph"/>
      </w:pPr>
      <w:r>
        <w:t xml:space="preserve">Hiệu quả hoạt động doanh nghiệp (firm performance) là một khái niệm đa chiều không có một định nghĩa hoặc thước đo thống nhất trong văn liệu. Combs et al. (2005) và Richard et al. (2009) phân biệt ba nhóm thước đo chính: (i) thước đo dựa trên kế toán (accounting-based), bao gồm tỷ suất sinh lời trên tổng tài sản (ROA), tỷ suất sinh lời trên vốn chủ sở hữu (ROE), và tỷ suất sinh lời trên doanh thu (ROS); (ii) thước đo dựa trên thị trường tài chính (market-based), bao gồm Tobin’s Q và tổng lợi nhuận cổ đông; và (iii) thước đo dựa trên năng suất và tăng trưởng (productivity-based), bao gồm năng suất lao động (labor productivity) và tăng trưởng doanh thu.</w:t>
      </w:r>
    </w:p>
    <w:p>
      <w:pPr>
        <w:pStyle w:val="BodyText"/>
      </w:pPr>
      <w:r>
        <w:t xml:space="preserve">Trong bối cảnh nghiên cứu sử dụng dữ liệu WBES, vốn không cung cấp thông tin về giá cổ phiếu hay giá trị thị trường, thước đo năng suất lao động là lựa chọn phổ biến nhất và phù hợp nhất về mặt kỹ thuật. Năng suất lao động được tính bằng logarithm tự nhiên của tỷ số doanh thu hàng năm trên số lao động toàn thời gian (ln(doanh thu/lao động)), cho phép so sánh chuẩn hóa giữa các doanh nghiệp thuộc các quốc gia, ngành nghề và quy mô khác nhau (nghiên cứu thành phần P1). Luận án sử dụng thước đo này làm biến phụ thuộc chính, với ROS, tăng trưởng doanh thu, tăng trưởng việc làm và ln(doanh thu) được sử dụng như các thước đo độ vững để kiểm tra tính nhất quán của kết quả (xem Chương 3, §3.5).</w:t>
      </w:r>
    </w:p>
    <w:p>
      <w:pPr>
        <w:pStyle w:val="BodyText"/>
      </w:pPr>
      <w:r>
        <w:t xml:space="preserve">Cần nhấn mạnh rằng việc chọn thước đo hiệu quả không chỉ là quyết định kỹ thuật, mà còn phản ánh quan niệm lý thuyết về hiệu quả. Trong bối cảnh quốc tế hóa ở các nền kinh tế đang phát triển, năng suất lao động phản ánh trực tiếp khả năng chuyển hóa nguồn lực đầu vào thành kết quả đầu ra, qua đó thể hiện năng lực cạnh tranh thực chất của doanh nghiệp, khác với ROA vốn bị ảnh hưởng bởi cấu trúc tài sản và hệ thống kế toán đặc thù của từng quốc gia.</w:t>
      </w:r>
    </w:p>
    <w:bookmarkEnd w:id="50"/>
    <w:bookmarkStart w:id="51" w:name="Xfff4943f729a78f5449986a54b8a0ad8ed2eb31"/>
    <w:p>
      <w:pPr>
        <w:pStyle w:val="Heading3"/>
      </w:pPr>
      <w:r>
        <w:t xml:space="preserve">2.1.3 Năng lực công nghệ và chỉ số chấp nhận số</w:t>
      </w:r>
    </w:p>
    <w:p>
      <w:pPr>
        <w:pStyle w:val="FirstParagraph"/>
      </w:pPr>
      <w:r>
        <w:t xml:space="preserve">Một trong những đóng góp khái niệm trọng tâm của luận án là sự phân biệt rõ ràng giữa hai construct: năng lực công nghệ (Technological Capability Index, TCI) và chỉ số chấp nhận số (Digital Adoption Index, DAI). Trong nhiều nghiên cứu trước đây, hai construct này thường bị gộp lại thành một khái niệm chung về</w:t>
      </w:r>
      <w:r>
        <w:t xml:space="preserve"> </w:t>
      </w:r>
      <w:r>
        <w:t xml:space="preserve">“</w:t>
      </w:r>
      <w:r>
        <w:t xml:space="preserve">năng lực số</w:t>
      </w:r>
      <w:r>
        <w:t xml:space="preserve">”</w:t>
      </w:r>
      <w:r>
        <w:t xml:space="preserve"> </w:t>
      </w:r>
      <w:r>
        <w:t xml:space="preserve">(digital capability), dẫn đến sự mơ hồ lý thuyết và sai lệch trong đo lường (Bhandari et al., 2023; Bustamante et al., 2022).</w:t>
      </w:r>
    </w:p>
    <w:p>
      <w:pPr>
        <w:pStyle w:val="BodyText"/>
      </w:pPr>
      <w:r>
        <w:t xml:space="preserve">Năng lực công nghệ (TCI) đề cập đến chiều sâu của năng lực công nghệ được nhập vào tổ chức, phản ánh khả năng hấp thụ, khai thác và phát triển tri thức công nghệ tiên tiến. Các chỉ báo tiêu biểu bao gồm việc sở hữu chứng nhận chất lượng quốc tế (ISO hoặc tương đương) và sử dụng công nghệ được cấp phép từ các đối tác nước ngoài. Về bản chất lý thuyết, TCI gần với khái niệm năng lực hấp thụ (absorptive capacity) của Cohen và Levinthal (1990) và năng lực công nghệ của Lall (1992), đây là chiều sâu nội tại của tổ chức, khó sao chép và tạo ra lợi thế bền vững theo tinh thần RBV (Barney, 1991).</w:t>
      </w:r>
    </w:p>
    <w:p>
      <w:pPr>
        <w:pStyle w:val="BodyText"/>
      </w:pPr>
      <w:r>
        <w:t xml:space="preserve">Chỉ số chấp nhận số (Digital Adoption Index, DAI), ngược lại, phản ánh mức độ áp dụng các công cụ số tại giao diện ngoại tại của doanh nghiệp, bao gồm việc sở hữu website, sử dụng email trong giao dịch kinh doanh, thanh toán điện tử, và bán hàng trực tuyến. Đây là các công cụ số có tính bề mặt (surface digital tools) theo phân loại của Verhoef et al. (2021), tức là nằm ở cấp độ số hóa (digitization) và số hóa quy trình (digitalization), chưa đạt đến cấp độ chuyển đổi số toàn diện (digital transformation). Trong phạm vi luận án, DAI được đo bằng proxy</w:t>
      </w:r>
      <w:r>
        <w:t xml:space="preserve"> </w:t>
      </w:r>
      <w:r>
        <w:t xml:space="preserve">“</w:t>
      </w:r>
      <w:r>
        <w:t xml:space="preserve">foundational website adoption</w:t>
      </w:r>
      <w:r>
        <w:t xml:space="preserve">”</w:t>
      </w:r>
      <w:r>
        <w:t xml:space="preserve"> </w:t>
      </w:r>
      <w:r>
        <w:t xml:space="preserve">từ dữ liệu WBES, đây là ràng buộc đo lường có chủ đích do giới hạn của bộ dữ liệu, không phải thiếu sót lý thuyết.</w:t>
      </w:r>
    </w:p>
    <w:p>
      <w:pPr>
        <w:pStyle w:val="BodyText"/>
      </w:pPr>
      <w:r>
        <w:t xml:space="preserve">Hai construct TCI và DAI không đồng nhất và vận hành theo cơ chế khác nhau trong mối quan hệ quốc tế hóa, hiệu quả: TCI hoạt động chủ yếu như một nhân tố nâng mặt bằng hiệu quả (level shifter), trong khi DAI có xu hướng làm thay đổi độ dốc hoặc độ cong của đường quan hệ I–P tùy theo bối cảnh (Bhandari et al., 2023; Chen &amp; Meng, 2022). Việc duy trì sự phân biệt rõ ràng này trong suốt luận án là điều kiện tiên quyết để đảm bảo tính thuần khiết của cấu trúc (construct purity) theo tiêu chuẩn của Coltman et al. (2008).</w:t>
      </w:r>
    </w:p>
    <w:bookmarkEnd w:id="51"/>
    <w:bookmarkStart w:id="52" w:name="bối-cảnh-thể-chế-và-khung-icrv"/>
    <w:p>
      <w:pPr>
        <w:pStyle w:val="Heading3"/>
      </w:pPr>
      <w:r>
        <w:t xml:space="preserve">2.1.4 Bối cảnh thể chế và khung ICRV</w:t>
      </w:r>
    </w:p>
    <w:p>
      <w:pPr>
        <w:pStyle w:val="FirstParagraph"/>
      </w:pPr>
      <w:r>
        <w:t xml:space="preserve">Thể chế (institutions) theo North (1990) là</w:t>
      </w:r>
      <w:r>
        <w:t xml:space="preserve"> </w:t>
      </w:r>
      <w:r>
        <w:t xml:space="preserve">“</w:t>
      </w:r>
      <w:r>
        <w:t xml:space="preserve">luật chơi</w:t>
      </w:r>
      <w:r>
        <w:t xml:space="preserve">”</w:t>
      </w:r>
      <w:r>
        <w:t xml:space="preserve"> </w:t>
      </w:r>
      <w:r>
        <w:t xml:space="preserve">của một xã hội, bao gồm các ràng buộc chính thức (luật pháp, quy định, hợp đồng) và phi chính thức (chuẩn mực, giá trị, văn hóa ứng xử). Thể chế tạo ra cấu trúc khuyến khích và chi phí giao dịch, do đó ảnh hưởng trực tiếp đến chiến lược và kết quả kinh doanh của doanh nghiệp.</w:t>
      </w:r>
    </w:p>
    <w:p>
      <w:pPr>
        <w:pStyle w:val="BodyText"/>
      </w:pPr>
      <w:r>
        <w:t xml:space="preserve">Để vận hành hóa bối cảnh thể chế đa cấp và đa quốc gia trong luận án, khung ICRV (Institutional Context Regime Variation, Biến thiên chế độ bối cảnh thể chế) được phát triển như một công cụ phân loại có hệ thống. Khung ICRV chia 50 nền kinh tế trong phạm vi nghiên cứu thành sáu nhóm (sub-regime), dựa trên tổ hợp các chỉ số quản trị toàn cầu (World Governance Indicators, WGI) của Kaufmann et al. (2011), mức độ phát triển kinh tế, và đặc trưng cấu trúc thể chế: Nhóm I (Advanced Innovation-Driven, gồm Singapore, Hong Kong SAR, Hàn Quốc, Đài Loan, Israel và Nhật Bản), Nhóm II (Advanced Resource-Driven, bao gồm các nền kinh tế vùng Vịnh), Nhóm III (Upper-middle, điển hình là Trung Quốc), Nhóm IV (Lower-middle transition, bao gồm Việt Nam và Ấn Độ), Nhóm V (Emerging), và Nhóm VI (SIDS, Small Island Developing States). Khung này mở rộng từ phân loại thể chế của Khanna và Palepu (2010) và được điều chỉnh để phản ánh thực tiễn đa dạng của châu Á và khu vực lân cận.</w:t>
      </w:r>
    </w:p>
    <w:p>
      <w:pPr>
        <w:pStyle w:val="BodyText"/>
      </w:pPr>
      <w:r>
        <w:t xml:space="preserve">ICRV không chỉ là một biến phân loại mà còn là một gradient thể chế liên tục, từ môi trường thể chế mạnh, ít rủi ro (Nhóm I) đến môi trường thể chế yếu, nhiều rủi ro và khoảng trống thể chế (Nhóm V và VI). Gradient này tạo ra điều kiện biên (boundary conditions) quan trọng để kiểm định khả năng tổng quát hóa của mối quan hệ I–P, đặc biệt liên quan đến giả thuyết phi tuyến.</w:t>
      </w:r>
    </w:p>
    <w:p>
      <w:r>
        <w:pict>
          <v:rect style="width:0;height:1.5pt" o:hralign="center" o:hrstd="t" o:hr="t"/>
        </w:pict>
      </w:r>
    </w:p>
    <w:bookmarkEnd w:id="52"/>
    <w:bookmarkEnd w:id="53"/>
    <w:bookmarkStart w:id="59" w:name="các-lý-thuyết-nền"/>
    <w:p>
      <w:pPr>
        <w:pStyle w:val="Heading2"/>
      </w:pPr>
      <w:r>
        <w:t xml:space="preserve">2.2 Các lý thuyết nền</w:t>
      </w:r>
    </w:p>
    <w:bookmarkStart w:id="54" w:name="mô-hình-quốc-tế-hóa-uppsala"/>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gián tiếp, tiến đến đại lý độc lập, sau đó là chi nhánh kinh doanh, và cuối cùng là sản xuất tại nước ngoài, phản ánh mức độ cam kết và tri thức ngày càng tăng.</w:t>
      </w:r>
    </w:p>
    <w:p>
      <w:pPr>
        <w:pStyle w:val="BodyText"/>
      </w:pPr>
      <w:r>
        <w:t xml:space="preserve">Một trong những khái niệm trọng tâm của mô hình Uppsala là</w:t>
      </w:r>
      <w:r>
        <w:t xml:space="preserve"> </w:t>
      </w:r>
      <w:r>
        <w:t xml:space="preserve">“</w:t>
      </w:r>
      <w:r>
        <w:t xml:space="preserve">gánh nặng của người nước ngoài</w:t>
      </w:r>
      <w:r>
        <w:t xml:space="preserve">”</w:t>
      </w:r>
      <w:r>
        <w:t xml:space="preserve"> </w:t>
      </w:r>
      <w:r>
        <w:t xml:space="preserve">(liability of foreignness), chi phí và bất lợi mà doanh nghiệp phải gánh chịu khi hoạt động ở môi trường văn hóa, thể chế, và pháp lý xa lạ (Zaheer, 1995). Johanson và Vahlne (2009) cập nhật mô hình bằng cách bổ sung khái niệm</w:t>
      </w:r>
      <w:r>
        <w:t xml:space="preserve"> </w:t>
      </w:r>
      <w:r>
        <w:t xml:space="preserve">“</w:t>
      </w:r>
      <w:r>
        <w:t xml:space="preserve">gánh nặng của người ngoài mạng lưới</w:t>
      </w:r>
      <w:r>
        <w:t xml:space="preserve">”</w:t>
      </w:r>
      <w:r>
        <w:t xml:space="preserve"> </w:t>
      </w:r>
      <w:r>
        <w:t xml:space="preserve">(liability of outsidership), nhấn mạnh rằng trong nền kinh tế toàn cầu hiện đại, rào cản lớn nhất không phải là khoảng cách địa lý hay tâm lý, mà là vị trí ngoài lề của các mạng lưới kinh doanh địa phương. Hai loại gánh nặng này giải thích vì sao chi phí quốc tế hóa giai đoạn đầu thường cao, tạo ra giai đoạn hiệu quả giảm trước khi doanh nghiệp tích lũy đủ tri thức và quan hệ để thu được lợi ích từ mở rộng quốc tế (Lu &amp; Beamish, 2004; Contractor et al., 2003).</w:t>
      </w:r>
    </w:p>
    <w:p>
      <w:pPr>
        <w:pStyle w:val="BodyText"/>
      </w:pPr>
      <w:r>
        <w:t xml:space="preserve">Tuy nhiên, mô hình Uppsala cổ điển được xây dựng trong bối cảnh tiền số và tiền nền tảng (pre-platform), nên đã bị thách thức đáng kể trong thập kỷ gần đây. Các nghiên cứu về born-global firms, tức doanh nghiệp quốc tế hóa ngay từ giai đoạn đầu mà không theo trình tự tuần tự, và platform firms, tức doanh nghiệp công nghệ tận dụng nền tảng số để vươn ra thị trường quốc tế không cần hiện diện vật lý, cho thấy logic của Uppsala không còn phổ quát (Stallkamp &amp; Schotter, 2021; Yang et al., 2025). Trong luận án này, mô hình Uppsala không bị bác bỏ, mà được tái định vị như một lớp nền giải thích chi phí học hỏi và bất định trong giai đoạn đầu quốc tế hóa, còn cơ chế học hỏi được mở rộng để bao gồm</w:t>
      </w:r>
      <w:r>
        <w:t xml:space="preserve"> </w:t>
      </w:r>
      <w:r>
        <w:t xml:space="preserve">“</w:t>
      </w:r>
      <w:r>
        <w:t xml:space="preserve">học hỏi tăng cường bằng dữ liệu số</w:t>
      </w:r>
      <w:r>
        <w:t xml:space="preserve">”</w:t>
      </w:r>
      <w:r>
        <w:t xml:space="preserve"> </w:t>
      </w:r>
      <w:r>
        <w:t xml:space="preserve">(data-augmented learning) trong kỷ nguyên chuyển đổi số, nơi dữ liệu từ thị trường nước ngoài có thể được thu thập, xử lý và phân tích nhanh hơn nhiều so với trước (Banalieva &amp; Dhanaraj, 2019).</w:t>
      </w:r>
    </w:p>
    <w:bookmarkEnd w:id="54"/>
    <w:bookmarkStart w:id="55" w:name="lý-thuyết-dựa-trên-nguồn-lực"/>
    <w:p>
      <w:pPr>
        <w:pStyle w:val="Heading3"/>
      </w:pPr>
      <w:r>
        <w:t xml:space="preserve">2.2.2 Lý thuyết dựa trên nguồn lực</w:t>
      </w:r>
    </w:p>
    <w:p>
      <w:pPr>
        <w:pStyle w:val="FirstParagraph"/>
      </w:pPr>
      <w:r>
        <w:t xml:space="preserve">Lý thuyết dựa trên nguồn lực (Resource-Based View, RBV) do Wernerfelt (1984) đặt nền và được Barney (1991) hệ thống hóa thành một khung lý thuyết có ảnh hưởng bền vững. RBV cho rằng doanh nghiệp không chỉ là tập hợp các hoạt động giá trị (value chain) mà còn là bó nguồn lực (bundle of resources), và sự khác biệt về hiệu quả lâu dài giữa các doanh nghiệp bắt nguồn từ sự khác biệt trong sở hữu và khai thác các nguồn lực thỏa mãn tiêu chí VRIN: có giá trị (Valuable), hiếm có (Rare), khó sao chép (Inimitable), và khó thay thế (Non-substitutable).</w:t>
      </w:r>
    </w:p>
    <w:p>
      <w:pPr>
        <w:pStyle w:val="BodyText"/>
      </w:pPr>
      <w:r>
        <w:t xml:space="preserve">Áp dụng vào bối cảnh quốc tế hóa, RBV giải thích vì sao cùng một mức độ FSTS nhưng các doanh nghiệp lại đạt hiệu quả rất khác nhau: những doanh nghiệp sở hữu năng lực công nghệ, năng lực quản trị vượt trội, và năng lực học hỏi mạnh hơn sẽ chuyển hóa quốc tế hóa thành hiệu quả tốt hơn do họ có thể giảm chi phí liability of foreignness và khai thác lợi thế cạnh tranh trên phạm vi quốc tế hiệu quả hơn (Hitt et al., 2006; Peng, 2001). Cùng mức độ quốc tế hóa, doanh nghiệp có nguồn lực yếu hơn sẽ gánh chịu chi phí điều phối và rủi ro lớn hơn, trong khi doanh nghiệp có nguồn lực VRIN mạnh hơn có thể biến những thách thức đó thành lợi thế cạnh tranh.</w:t>
      </w:r>
    </w:p>
    <w:p>
      <w:pPr>
        <w:pStyle w:val="BodyText"/>
      </w:pPr>
      <w:r>
        <w:t xml:space="preserve">Trong bối cảnh đương đại, RBV được mở rộng bằng lý thuyết năng lực động (dynamic capabilities) của Teece et al. (1997), nhấn mạnh khả năng của doanh nghiệp trong việc tích hợp, xây dựng và tái cấu hình các năng lực nội bộ để ứng phó với môi trường cạnh tranh thay đổi nhanh chóng. Trong kỷ nguyên số, năng lực công nghệ (TCI), theo phân biệt của luận án, được xem là một dạng năng lực động quan trọng, cho phép doanh nghiệp tái cấu hình nguồn lực và mô hình kinh doanh để ứng phó với bất định trong quốc tế hóa (Bhandari et al., 2023; Verhoef et al., 2021). DAI, chỉ số áp dụng số nền tảng (Tier-1 proxy) đo lường sự hiện diện website, phản ánh mức độ chấp nhận kỹ thuật số cơ bản chứ không phải năng lực động theo nghĩa Teece et al. (1997). RBV cung cấp nền lý thuyết trực tiếp cho giả thuyết H2 về vai trò điều tiết của TCI, trong khi H3 về DAI được neo đậu trong Foundational Digital Adoption Framework (Banalieva &amp; Dhanaraj, 2019).</w:t>
      </w:r>
    </w:p>
    <w:bookmarkEnd w:id="55"/>
    <w:bookmarkStart w:id="56" w:name="lý-thuyết-thể-chế"/>
    <w:p>
      <w:pPr>
        <w:pStyle w:val="Heading3"/>
      </w:pPr>
      <w:r>
        <w:t xml:space="preserve">2.2.3 Lý thuyết thể chế</w:t>
      </w:r>
    </w:p>
    <w:p>
      <w:pPr>
        <w:pStyle w:val="FirstParagraph"/>
      </w:pPr>
      <w:r>
        <w:t xml:space="preserve">Lý thuyết thể chế (Institutional Theory) trong kinh doanh quốc tế rút từ nhiều nguồn lý luận: kinh tế học thể chế mới của North (1990), xã hội học thể chế của Scott (1995), và lý thuyết về khoảng trống thể chế (institutional voids) của Khanna và Palepu (2010). Điểm chung của các tiếp cận này là nhấn mạnh vai trò của môi trường thể chế, cả chính thức lẫn phi chính thức, trong việc định hình chiến lược và kết quả kinh doanh của doanh nghiệp.</w:t>
      </w:r>
    </w:p>
    <w:p>
      <w:pPr>
        <w:pStyle w:val="BodyText"/>
      </w:pPr>
      <w:r>
        <w:t xml:space="preserve">North (1990) chỉ ra rằng thể chế hiệu quả làm giảm chi phí giao dịch, bảo vệ quyền sở hữu trí tuệ, và tạo ra môi trường khuyến khích đầu tư dài hạn. Ngược lại, ở các nền kinh tế đang phát triển, sự vắng mặt hoặc yếu kém của các thể chế trung gian thị trường, từ hệ thống pháp lý đến thị trường vốn, từ tổ chức đánh giá tín nhiệm đến hiệp hội ngành nghề, tạo ra</w:t>
      </w:r>
      <w:r>
        <w:t xml:space="preserve"> </w:t>
      </w:r>
      <w:r>
        <w:t xml:space="preserve">“</w:t>
      </w:r>
      <w:r>
        <w:t xml:space="preserve">khoảng trống thể chế</w:t>
      </w:r>
      <w:r>
        <w:t xml:space="preserve">”</w:t>
      </w:r>
      <w:r>
        <w:t xml:space="preserve"> </w:t>
      </w:r>
      <w:r>
        <w:t xml:space="preserve">(institutional voids) làm tăng chi phí giao dịch và rủi ro cho doanh nghiệp khi hoạt động hoặc mở rộng ra nước ngoài (Khanna &amp; Palepu, 2010).</w:t>
      </w:r>
    </w:p>
    <w:p>
      <w:pPr>
        <w:pStyle w:val="BodyText"/>
      </w:pPr>
      <w:r>
        <w:t xml:space="preserve">Trong văn liệu về I–P, bằng chứng meta-analytic của Marano et al. (2016), phân tích 170 nghiên cứu với 32 quốc gia giai đoạn 1972–2012, cho thấy thể chế quốc gia nguồn điều tiết đáng kể mối quan hệ quốc tế hóa, hiệu quả, với doanh nghiệp từ các nền kinh tế có thể chế yếu hơn có xu hướng thu được lợi ích thấp hơn hoặc thậm chí tổn thất từ quốc tế hóa. Cuervo-Cazurra et al. (2018) bổ sung rằng bất định thể chế ở quốc gia nguồn (home country uncertainty) không chỉ tạo ra thách thức mà còn có thể xây dựng năng lực quản lý bất định đặc thù, giúp doanh nghiệp ở các thị trường mới nổi cạnh tranh hiệu quả hơn ở các thị trường nước ngoài có đặc điểm tương tự. Lý thuyết thể chế cung cấp nền tảng lý luận cho giả thuyết H5 và cho khung ICRV trong luận án.</w:t>
      </w:r>
    </w:p>
    <w:bookmarkEnd w:id="56"/>
    <w:bookmarkStart w:id="57" w:name="lý-thuyết-thượng-tầng-quản-trị"/>
    <w:p>
      <w:pPr>
        <w:pStyle w:val="Heading3"/>
      </w:pPr>
      <w:r>
        <w:t xml:space="preserve">2.2.4 Lý thuyết thượng tầng quản trị</w:t>
      </w:r>
    </w:p>
    <w:p>
      <w:pPr>
        <w:pStyle w:val="FirstParagraph"/>
      </w:pPr>
      <w:r>
        <w:t xml:space="preserve">Lý thuyết thượng tầng quản trị (Upper Echelons Theory) do Hambrick và Mason (1984) đề xuất và được Hambrick (2007) cập nhật, cho rằng các quyết định chiến lược lớn và kết quả của tổ chức không phải là sản phẩm của các quy trình duy lý hoàn toàn, mà phản ánh đặc điểm nhận thức, giá trị và kinh nghiệm của nhà quản trị cấp cao. Nói cách khác,</w:t>
      </w:r>
      <w:r>
        <w:t xml:space="preserve"> </w:t>
      </w:r>
      <w:r>
        <w:t xml:space="preserve">“</w:t>
      </w:r>
      <w:r>
        <w:t xml:space="preserve">tổ chức là sự phản chiếu của nhà quản trị đỉnh cao</w:t>
      </w:r>
      <w:r>
        <w:t xml:space="preserve">”</w:t>
      </w:r>
      <w:r>
        <w:t xml:space="preserve"> </w:t>
      </w:r>
      <w:r>
        <w:t xml:space="preserve">(Hambrick &amp; Mason, 1984, tr. 193).</w:t>
      </w:r>
    </w:p>
    <w:p>
      <w:pPr>
        <w:pStyle w:val="BodyText"/>
      </w:pPr>
      <w:r>
        <w:t xml:space="preserve">Trong bối cảnh quốc tế hóa, Upper Echelons Theory có hai hàm ý trực tiếp. Thứ nhất, kinh nghiệm quốc tế của nhà quản trị cấp cao, được đo bằng số năm kinh nghiệm làm việc hoặc học tập ở nước ngoài, hay tiếp xúc với thị trường quốc tế, giúp giảm nhận thức về liability of foreignness và nâng cao khả năng đánh giá cơ hội, quản trị rủi ro ở thị trường quốc tế (Hsu et al., 2013; Sambharya, 1996). Thứ hai, sự đa dạng giới tính trong lãnh đạo, đặc biệt là sự hiện diện của quản trị viên nữ ở các vị trí lãnh đạo, liên quan đến nhận thức chiến lược đa chiều hơn và thực tiễn quản trị rủi ro thận trọng hơn, qua đó có tác động tích cực đến hiệu quả doanh nghiệp trong quá trình quốc tế hóa (Post &amp; Byron, 2015). Những hàm ý này cung cấp cơ sở lý thuyết cho giả thuyết H4 về vai trò điều tiết của đặc điểm nhà quản trị cấp cao.</w:t>
      </w:r>
    </w:p>
    <w:bookmarkEnd w:id="57"/>
    <w:bookmarkStart w:id="58" w:name="lớp-mở-rộng-digital-capability-lens"/>
    <w:p>
      <w:pPr>
        <w:pStyle w:val="Heading3"/>
      </w:pPr>
      <w:r>
        <w:t xml:space="preserve">2.2.5 Lớp mở rộng: Digital Capability Lens</w:t>
      </w:r>
    </w:p>
    <w:p>
      <w:pPr>
        <w:pStyle w:val="FirstParagraph"/>
      </w:pPr>
      <w:r>
        <w:t xml:space="preserve">Bốn lý thuyết nền trên được xây dựng chủ yếu trong bối cảnh tiền số (pre-digital). Sự phát triển mạnh mẽ của kinh tế số và trí tuệ nhân tạo từ cuối thập niên 2010 đến nay đặt ra yêu cầu cập nhật và mở rộng các lý thuyết kinh doanh quốc tế để phản ánh logic mới của quốc tế hóa trong kỷ nguyên số.</w:t>
      </w:r>
    </w:p>
    <w:p>
      <w:pPr>
        <w:pStyle w:val="BodyText"/>
      </w:pPr>
      <w:r>
        <w:t xml:space="preserve">Banalieva và Dhanaraj (2019) là một trong những nghiên cứu đầu tiên đề xuất cập nhật lý thuyết nội hóa (internalization theory) cho nền kinh tế số, lập luận rằng dữ liệu số và tương tác dựa trên nền tảng làm giảm sự phụ thuộc vào hiện diện vật lý và thay đổi cơ bản logic về quyết định nội hóa. Stallkamp và Schotter (2021) mở rộng luận điểm này bằng cách chỉ ra rằng các doanh nghiệp nền tảng (platform firms) quốc tế hóa theo logic đa diện (multi-sided) khác hẳn với các MNCs truyền thống, với hiệu ứng mạng lưới tạo ra lợi thế quy mô không bị ràng buộc bởi biên giới địa lý. Verhoef et al. (2021) cung cấp khung khái niệm phân tầng ba cấp độ: số hóa thông tin (digitization), số hóa quy trình (digitalization), và chuyển đổi số toàn diện (digital transformation), nhấn mạnh rằng các cấp độ này khác nhau về chiều sâu tổ chức và tác động kinh doanh. Yang et al. (2025) bổ sung bằng systematic review về quốc tế hóa của các doanh nghiệp số, phác thảo các lý thuyết cần điều chỉnh và hướng nghiên cứu tiếp theo.</w:t>
      </w:r>
    </w:p>
    <w:p>
      <w:pPr>
        <w:pStyle w:val="BodyText"/>
      </w:pPr>
      <w:r>
        <w:t xml:space="preserve">Sự phân biệt giữa hai cấu trúc số có nền tảng đo lường vững chắc trong văn liệu. Bharadwaj et al. (2013) lập luận rằng năng lực công nghệ thông tin (IT capability) và chiến lược kinh doanh số (digital business strategy) có nomological nets khác nhau, nghĩa là chúng liên hệ với các tiền tố và hệ quả khác nhau, do đó không nên gộp thành một cấu trúc. Coltman et al. (2008) cung cấp bốn tiêu chí để phân biệt cấu trúc formative với reflective, làm cơ sở phương pháp luận cho việc xây dựng TCI và DAI như hai composite formative độc lập thay vì các chỉ báo của một cấu trúc tiềm ẩn chung. Trên nền đó, luận án định vị TCI ở truyền thống năng lực công nghệ hóa công nghiệp và năng lực hấp thụ, vốn xem năng lực công nghệ là chiều sâu năng lực nội tại được tích lũy qua đầu tư và học hỏi (Cohen &amp; Levinthal, 1990; Lall, 1992), trong khi DAI phản ánh mức độ áp dụng công cụ số ở giao diện ngoại tại. Sự tách biệt khái niệm này không chỉ là tinh tế đo lường mà có hệ quả lý thuyết trực tiếp: nếu hai cấu trúc vận hành qua hai cơ chế khác nhau, thì việc gộp chúng sẽ trung bình hóa hai hiệu ứng trái chiều và che khuất chính cơ chế mà nhà nghiên cứu và nhà hoạch định chính sách cần phân biệt.</w:t>
      </w:r>
    </w:p>
    <w:p>
      <w:pPr>
        <w:pStyle w:val="BodyText"/>
      </w:pPr>
      <w:r>
        <w:t xml:space="preserve">Trong luận án, lớp mở rộng về năng lực số đóng vai trò mở rộng RBV bằng cách xác định TCI và DAI như hai loại tài sản số có chiều sâu và cơ chế vận hành khác nhau, đồng thời mở rộng Uppsala bằng cơ chế học hỏi dựa trên dữ liệu số. Sự tích hợp này tạo thành lớp thứ năm của khung lý thuyết, bổ sung cho bốn lý thuyết kinh điển để tạo thành một khung giải thích hoàn chỉnh và phù hợp với thực tiễn kinh doanh đương đại. Cách tích hợp năm lớp này, thay vì chọn một hoặc hai lý thuyết làm nền như đa số nghiên cứu trước, chính là phản hồi trực tiếp cho khoảng trống thứ nhất đã nêu ở Chương 1: không một lý thuyết đơn lẻ nào đủ sức giải thích mức dị biệt cao của quan hệ I–P, và chỉ một khung đa tầng tích hợp mới nắm bắt được đồng thời chi phí học hỏi (Uppsala), khác biệt năng lực (RBV), bối cảnh thể chế (Institutional Theory), đặc điểm nhà quản trị (Upper Echelons) và logic số (Digital Capability Lens).</w:t>
      </w:r>
    </w:p>
    <w:p>
      <w:r>
        <w:pict>
          <v:rect style="width:0;height:1.5pt" o:hralign="center" o:hrstd="t" o:hr="t"/>
        </w:pict>
      </w:r>
    </w:p>
    <w:bookmarkEnd w:id="58"/>
    <w:bookmarkEnd w:id="59"/>
    <w:bookmarkStart w:id="65" w:name="tổng-quan-thực-nghiệm"/>
    <w:p>
      <w:pPr>
        <w:pStyle w:val="Heading2"/>
      </w:pPr>
      <w:r>
        <w:t xml:space="preserve">2.3 Tổng quan thực nghiệm</w:t>
      </w:r>
    </w:p>
    <w:bookmarkStart w:id="60" w:name="giai-đoạn-phát-triển-của-văn-liệu-ip"/>
    <w:p>
      <w:pPr>
        <w:pStyle w:val="Heading3"/>
      </w:pPr>
      <w:r>
        <w:t xml:space="preserve">2.3.1 Giai đoạn phát triển của văn liệu I–P</w:t>
      </w:r>
    </w:p>
    <w:p>
      <w:pPr>
        <w:pStyle w:val="FirstParagraph"/>
      </w:pPr>
      <w:r>
        <w:t xml:space="preserve">Nghiên cứu về mối quan hệ giữa quốc tế hóa và hiệu quả hoạt động doanh nghiệp (I–P relationship) đã trải qua hơn bốn thập kỷ phát triển, với những thay đổi đáng kể về cả câu hỏi nghiên cứu, phương pháp luận, và kết luận lý thuyết.</w:t>
      </w:r>
    </w:p>
    <w:p>
      <w:pPr>
        <w:pStyle w:val="BodyText"/>
      </w:pPr>
      <w:r>
        <w:t xml:space="preserve">Giai đoạn đầu (từ thập niên 1980 đến giữa thập niên 1990) đặc trưng bởi giả định về quan hệ tuyến tính dương giữa quốc tế hóa và hiệu quả. Grant (1987) và Kim et al. (1989) cho rằng quốc tế hóa giúp doanh nghiệp khai thác lợi thế theo quy mô (economies of scale), lợi thế phạm vi (economies of scope), và phân tán rủi ro kinh tế vĩ mô, do đó dẫn đến hiệu quả cao hơn. Logic này trực quan và phù hợp với quan sát ban đầu về các MNCs thành công từ Mỹ, Châu Âu và Nhật Bản.</w:t>
      </w:r>
    </w:p>
    <w:p>
      <w:pPr>
        <w:pStyle w:val="BodyText"/>
      </w:pPr>
      <w:r>
        <w:t xml:space="preserve">Giai đoạn thứ hai (từ cuối thập niên 1990 đến đầu thập niên 2000) chứng kiến sự xuất hiện của mô hình phi tuyến, thách thức giả định tuyến tính giản đơn. Hitt et al. (1997) là nghiên cứu đầu tiên kiểm định và tìm thấy bằng chứng cho quan hệ chữ U ngược (chữ U ngược) giữa đa dạng hóa sản phẩm quốc tế và hiệu quả, lập luận rằng lợi ích từ quốc tế hóa tăng đến một điểm tối ưu rồi suy giảm do chi phí điều phối và phức tạp tổ chức vượt qua lợi ích. Gomes và Ramaswamy (1999) cung cấp bằng chứng tương tự trong bối cảnh doanh nghiệp đa ngành. Contractor et al. (2003) và Lu và Beamish (2004) tinh chỉnh mô hình phi tuyến với đề xuất</w:t>
      </w:r>
      <w:r>
        <w:t xml:space="preserve"> </w:t>
      </w:r>
      <w:r>
        <w:t xml:space="preserve">“</w:t>
      </w:r>
      <w:r>
        <w:t xml:space="preserve">đường cong chữ S ba giai đoạn</w:t>
      </w:r>
      <w:r>
        <w:t xml:space="preserve">”</w:t>
      </w:r>
      <w:r>
        <w:t xml:space="preserve"> </w:t>
      </w:r>
      <w:r>
        <w:t xml:space="preserve">(three-stage S-curve), theo đó hiệu quả giảm ở giai đoạn thâm nhập ban đầu (chi phí thiết lập), tăng ở giai đoạn khai thác (học hỏi tích lũy và quy mô), rồi lại giảm ở giai đoạn siêu mở rộng (over-extension) khi chi phí phức tạp vượt quá lợi ích.</w:t>
      </w:r>
    </w:p>
    <w:p>
      <w:pPr>
        <w:pStyle w:val="BodyText"/>
      </w:pPr>
      <w:r>
        <w:t xml:space="preserve">Giai đoạn thứ ba (từ cuối thập niên 2000 đến hiện tại) chuyển trọng tâm sang nghiên cứu các yếu tố điều tiết (các biến điều tiết), tức điều kiện bối cảnh làm thay đổi hình dạng, cường độ, hoặc dấu của mối quan hệ I–P. Các biến điều tiết được nghiên cứu bao gồm đặc điểm quốc gia nguồn (Marano et al., 2016), đặc điểm ngành (Kirca et al., 2012), năng lực lãnh đạo cấp cao (Hsu et al., 2013), và năng lực kỹ thuật số (Bhandari et al., 2023; Wu et al., 2022). Sự chuyển dịch này phản ánh nhận thức ngày càng sâu sắc rằng không có quan hệ I–P phổ quát, kết quả quốc tế hóa phụ thuộc vào điều kiện cụ thể của doanh nghiệp, ngành và quốc gia (Arte &amp; Larimo, 2022).</w:t>
      </w:r>
    </w:p>
    <w:bookmarkEnd w:id="60"/>
    <w:bookmarkStart w:id="61" w:name="bằng-chứng-meta-analytic"/>
    <w:p>
      <w:pPr>
        <w:pStyle w:val="Heading3"/>
      </w:pPr>
      <w:r>
        <w:t xml:space="preserve">2.3.2 Bằng chứng meta-analytic</w:t>
      </w:r>
    </w:p>
    <w:p>
      <w:pPr>
        <w:pStyle w:val="FirstParagraph"/>
      </w:pPr>
      <w:r>
        <w:t xml:space="preserve">Một trong những đóng góp quan trọng nhất trong giai đoạn gần đây là sự phát triển của các meta-analyses về I–P relationship, cho phép tổng hợp và định lượng hóa kết quả từ hàng trăm nghiên cứu thực nghiệm riêng lẻ. Tổng hợp từ các meta-analyses chính cho thấy một bức tranh nhất quán nhưng phức tạp.</w:t>
      </w:r>
    </w:p>
    <w:p>
      <w:pPr>
        <w:pStyle w:val="BodyText"/>
      </w:pPr>
      <w:r>
        <w:t xml:space="preserve">Bausch và Krist (2007) phân tích 65 nghiên cứu và tìm thấy tác động tổng hợp dương nhưng nhỏ (r ≈ 0,10), đồng thời xác nhận rằng mức độ dị biệt (heterogeneity) giữa các nghiên cứu rất cao với I² &gt; 80%, hàm ý rằng các biến điều tiết là nguồn giải thích chủ yếu cho sự khác biệt. Kirca et al. (2012) mở rộng pool lên 154 mẫu và tìm thấy tác động tổng hợp tương tự, đồng thời xác nhận vai trò của bối cảnh quốc gia và ngành. Marano et al. (2016), nghiên cứu meta-analytic toàn diện nhất trong văn liệu với 170 nghiên cứu và 32 quốc gia, tìm thấy r ≈ 0,07–0,13 và chứng minh rằng thể chế quốc gia nguồn là biến điều tiết quan trọng nhất trong tất cả các biến bối cảnh được kiểm định. Wu et al. (2022) cập nhật với pool 218 effect sizes tập trung vào các emerging market multinationals (EMNEs) và tìm thấy mô hình biến điều tiết tương tự. Tại hội nghị ICBEF 2024, kết quả sơ bộ từ pool nghiên cứu về châu Á với k = 113 nghiên cứu cho thấy r = 0,07, nhất quán với các meta-analyses toàn cầu nhưng cụ thể hơn về bối cảnh châu Á. Luận án này mở rộng pool đó thông qua Nghiên cứu P6, một meta-analysis ba tầng (three-level MARA) với k = 238 nghiên cứu và K = 288 effect sizes từ châu Á và Thái Bình Dương, ước lượng r̄ = 0,074 [KTC 95%: 0,060; 0,088], I² = 62,4%, Q_M(ICRV) = 17,35 (df = 4, p = ,002). Kết quả này xác nhận tác động tổng hợp dương nhỏ nhưng bền vững, đồng thời chứng minh rằng gradient ICRV, điểm uốn giảm dần khi chuyển từ thể chế yếu sang thể chế mạnh, là biến điều tiết thực chất của mối quan hệ I–P trong bối cảnh châu Á (nghiên cứu thành phần P6).</w:t>
      </w:r>
    </w:p>
    <w:p>
      <w:pPr>
        <w:pStyle w:val="BodyText"/>
      </w:pPr>
      <w:r>
        <w:t xml:space="preserve">Nhìn chung, bằng chứng meta-analytic cho thấy ba kết luận quan trọng: tác động tổng hợp của quốc tế hóa lên hiệu quả là dương nhưng khiêm tốn; mức dị biệt cực kỳ cao; và các biến điều tiết bối cảnh, đặc biệt là thể chế quốc gia, năng lực doanh nghiệp, và đặc điểm ngành, là những nguồn giải thích chính cho sự khác biệt giữa các nghiên cứu. Đây là luận điểm cơ bản biện hộ cho sự cần thiết của một khung giải thích đa tầng.</w:t>
      </w:r>
    </w:p>
    <w:bookmarkEnd w:id="61"/>
    <w:bookmarkStart w:id="62" w:name="X2dab31dc90ae94a491c7104c141028484c6eeaa"/>
    <w:p>
      <w:pPr>
        <w:pStyle w:val="Heading3"/>
      </w:pPr>
      <w:r>
        <w:t xml:space="preserve">2.3.3 Bối cảnh châu Á và các nền kinh tế mới nổi</w:t>
      </w:r>
    </w:p>
    <w:p>
      <w:pPr>
        <w:pStyle w:val="FirstParagraph"/>
      </w:pPr>
      <w:r>
        <w:t xml:space="preserve">Châu Á là bối cảnh đặc biệt quan trọng và đặc thù trong văn liệu I–P vì nhiều lý do. Thứ nhất, sự đa dạng thể chế trong khu vực là ngoại lệ không có ở bất kỳ khu vực nào khác trên thế giới: từ Singapore với chất lượng quản trị đứng hàng đầu thế giới đến Afghanistan với chất lượng quản trị cực kỳ yếu, từ Nhật Bản với nền kinh tế phát triển hoàn thiện đến các SIDS với quy mô siêu nhỏ và hạ tầng thể chế còn sơ khai (Khanna &amp; Palepu, 2010; Peng, 2003). Thứ hai, tốc độ chuyển đổi số và hội nhập quốc tế rất không đồng đều giữa các quốc gia trong khu vực, tạo ra</w:t>
      </w:r>
      <w:r>
        <w:t xml:space="preserve"> </w:t>
      </w:r>
      <w:r>
        <w:t xml:space="preserve">“</w:t>
      </w:r>
      <w:r>
        <w:t xml:space="preserve">thí nghiệm tự nhiên</w:t>
      </w:r>
      <w:r>
        <w:t xml:space="preserve">”</w:t>
      </w:r>
      <w:r>
        <w:t xml:space="preserve"> </w:t>
      </w:r>
      <w:r>
        <w:t xml:space="preserve">về ảnh hưởng của bối cảnh thể chế và năng lực số đến kết quả quốc tế hóa.</w:t>
      </w:r>
    </w:p>
    <w:p>
      <w:pPr>
        <w:pStyle w:val="BodyText"/>
      </w:pPr>
      <w:r>
        <w:t xml:space="preserve">nghiên cứu thành phần P1 là nghiên cứu thực nghiệm multi-country quy mô lớn nhất hiện có về I–P trong bối cảnh châu Á mới nổi, phân tích 40.633 doanh nghiệp từ 17 nền kinh tế châu Á sử dụng dữ liệu WBES. Nghiên cứu tìm thấy: (i) tồn tại phân tầng năng suất rõ rệt giữa nhóm Chinese economies, South Asia và ASEAN, phản ánh sự dị biệt thể chế và năng lực giữa các nhóm; (ii) việc áp dụng công nghệ vừa làm tăng năng suất lao động trực tiếp vừa làm suy giảm đáng kể tác động bất lợi của các rào cản thể chế, phát hiện được gọi là</w:t>
      </w:r>
      <w:r>
        <w:t xml:space="preserve"> </w:t>
      </w:r>
      <w:r>
        <w:t xml:space="preserve">“</w:t>
      </w:r>
      <w:r>
        <w:t xml:space="preserve">hiệu ứng lá chắn số</w:t>
      </w:r>
      <w:r>
        <w:t xml:space="preserve">”</w:t>
      </w:r>
      <w:r>
        <w:t xml:space="preserve"> </w:t>
      </w:r>
      <w:r>
        <w:t xml:space="preserve">(digital shield effect). Nghiên cứu thành phần P2 kiểm định cụ thể với dữ liệu doanh nghiệp Trung Quốc và tìm thấy cấu trúc cubic chữ U ngược với ngưỡng FSTS tối ưu khoảng 47,8%, tức điểm điểm uốn khá thấp so với các nền kinh tế tiên tiến. Luận án kế thừa và mở rộng các kết quả này trên pool đầy đủ 50 nền kinh tế (bao gồm 7 nền kinh tế đảo nhỏ Thái Bình Dương (mẫu chính; 9 nền khi mở rộng độ vững)).</w:t>
      </w:r>
    </w:p>
    <w:p>
      <w:pPr>
        <w:pStyle w:val="BodyText"/>
      </w:pPr>
      <w:r>
        <w:t xml:space="preserve">Phần lớn các nghiên cứu về I–P trong bối cảnh châu Á tập trung vào Nhật Bản, Hàn Quốc, Đài Loan, và Trung Quốc, trong khi các nền kinh tế chuyển đổi như Việt Nam, Campuchia, Bangladesh, và đặc biệt là các SIDS, về cơ bản thiếu vắng trong văn liệu. Sự thiếu đại diện này tạo ra khoảng trống nghiêm trọng trong khả năng khái quát hóa lý thuyết, vì các nền kinh tế frontier và SIDS có thể là địa điểm quan trọng để kiểm định điều kiện biên (boundary conditions) của các lý thuyết về I–P.</w:t>
      </w:r>
    </w:p>
    <w:bookmarkEnd w:id="62"/>
    <w:bookmarkStart w:id="63" w:name="X732d7d1b7e90f1451ce2bd542fd674aab0604d1"/>
    <w:p>
      <w:pPr>
        <w:pStyle w:val="Heading3"/>
      </w:pPr>
      <w:r>
        <w:t xml:space="preserve">2.3.4 Vai trò của năng lực số trong mối quan hệ I–P</w:t>
      </w:r>
    </w:p>
    <w:p>
      <w:pPr>
        <w:pStyle w:val="FirstParagraph"/>
      </w:pPr>
      <w:r>
        <w:t xml:space="preserve">Sự tích hợp giữa nghiên cứu về năng lực số và I–P relationship là một xu hướng tương đối mới, phát triển mạnh từ 2019 đến nay. Bhandari et al. (2023) phân tích 571 doanh nghiệp sản xuất của Mỹ và tìm thấy rằng năng lực kỹ thuật số (được đo như một composite duy nhất) điều tiết tích cực mối quan hệ I–P, với doanh nghiệp có năng lực số cao hơn thu được lợi ích lớn hơn từ quốc tế hóa. Bustamante et al. (2022) sử dụng mẫu SMEs đa quốc gia và phát hiện rằng công cụ số làm giảm chi phí thâm nhập thị trường nước ngoài, đặc biệt ở các thị trường có khoảng trống thể chế lớn. Chen và Meng (2022) nghiên cứu doanh nghiệp Trung Quốc từ WBES và phát hiện rằng ràng buộc thể chế làm giảm cường độ xuất khẩu, nhưng doanh nghiệp có năng lực số cao hơn có thể vượt qua ràng buộc này hiệu quả hơn.</w:t>
      </w:r>
    </w:p>
    <w:p>
      <w:pPr>
        <w:pStyle w:val="BodyText"/>
      </w:pPr>
      <w:r>
        <w:t xml:space="preserve">Tuy nhiên, phần lớn các nghiên cứu hiện tại không phân biệt TCI và DAI, xử lý năng lực số như một khái niệm đơn nhất. Hậu quả lý thuyết của sự đồng nhất không hợp lý này là không thể phân tách được hai cơ chế vận hành khác nhau: chiều sâu năng lực tổ chức (TCI) và khả năng phối hợp kỹ thuật số bề mặt (DAI). Sự không phân biệt này làm mờ đi cơ chế tác động và dẫn đến kết luận không thể áp dụng trực tiếp vào thực tiễn chính sách và quản trị doanh nghiệp.</w:t>
      </w:r>
    </w:p>
    <w:bookmarkEnd w:id="63"/>
    <w:bookmarkStart w:id="64" w:name="Xc7bb84a3900dbb18a70df5d2a00bb71d9360b13"/>
    <w:p>
      <w:pPr>
        <w:pStyle w:val="Heading3"/>
      </w:pPr>
      <w:r>
        <w:t xml:space="preserve">2.3.5 Bằng chứng vĩ mô về chất lượng thể chế và phân hóa kết quả tăng trưởng</w:t>
      </w:r>
    </w:p>
    <w:p>
      <w:pPr>
        <w:pStyle w:val="FirstParagraph"/>
      </w:pPr>
      <w:r>
        <w:t xml:space="preserve">Bên cạnh dòng nghiên cứu cấp doanh nghiệp, một khối bằng chứng vĩ mô đang tích lũy cung cấp nền tảng bối cảnh quan trọng cho luận điểm điều tiết thể chế của luận án. Phân tích hệ thống đầu tiên của Ngân hàng Thế giới về nhóm thị trường biên định nghĩa nhóm này là tập con của các nền kinh tế đang phát triển và mới nổi có mức độ tiếp cận thị trường tài chính quốc tế</w:t>
      </w:r>
      <w:r>
        <w:t xml:space="preserve"> </w:t>
      </w:r>
      <w:r>
        <w:t xml:space="preserve">“</w:t>
      </w:r>
      <w:r>
        <w:t xml:space="preserve">có ý nghĩa nhưng hạn chế</w:t>
      </w:r>
      <w:r>
        <w:t xml:space="preserve">”</w:t>
      </w:r>
      <w:r>
        <w:t xml:space="preserve">, nằm giữa các thị trường mới nổi và các nền kinh tế đang phát triển khác (World Bank, 2026c). Điều đáng chú ý về mặt phương pháp luận là chính báo cáo này thừa nhận rằng</w:t>
      </w:r>
      <w:r>
        <w:t xml:space="preserve"> </w:t>
      </w:r>
      <w:r>
        <w:t xml:space="preserve">“</w:t>
      </w:r>
      <w:r>
        <w:t xml:space="preserve">thị trường biên với tư cách một tiểu nhóm có xu hướng bị bỏ qua trong các phân tích kinh tế</w:t>
      </w:r>
      <w:r>
        <w:t xml:space="preserve">”</w:t>
      </w:r>
      <w:r>
        <w:t xml:space="preserve"> </w:t>
      </w:r>
      <w:r>
        <w:t xml:space="preserve">(World Bank, 2026c), một sự thừa nhận trực tiếp về khoảng trống mà luận án này lấp ở cấp doanh nghiệp đối với khu vực châu Á–Thái Bình Dương.</w:t>
      </w:r>
    </w:p>
    <w:p>
      <w:pPr>
        <w:pStyle w:val="BodyText"/>
      </w:pPr>
      <w:r>
        <w:t xml:space="preserve">Phát hiện cốt lõi của khối bằng chứng vĩ mô này là chất lượng thể chế phân hóa kết quả tăng trưởng một cách có hệ thống. Các thị trường biên tăng trưởng nhanh nhất trong một phần tư thế kỷ qua chia sẻ một số đặc điểm chung: cải thiện quản trị, thu hẹp chênh lệch lãi suất cho vay–huy động của ngân hàng, kiểm soát nợ công và gánh nặng trả nợ, cùng với tích lũy vốn trên đầu người mạnh hơn (World Bank, 2026c). Ngược lại, các điểm yếu thể chế và quản trị, biểu hiện qua thị trường tài chính nội địa nông và chênh lệch lãi suất rộng, đi kèm với tăng trưởng vốn trên đầu người đáng thất vọng và làm khuếch đại tác động bất lợi của các cú sốc (World Bank, 2026c). Cơ chế vĩ mô này nhất quán với lập luận institutional-voids ở cấp doanh nghiệp (Khanna &amp; Palepu, 2010): thể chế yếu làm tăng chi phí giao dịch và bất định, từ đó bào mòn khả năng chuyển hóa đầu tư và quốc tế hóa thành hiệu quả thực.</w:t>
      </w:r>
    </w:p>
    <w:p>
      <w:pPr>
        <w:pStyle w:val="BodyText"/>
      </w:pPr>
      <w:r>
        <w:t xml:space="preserve">Quan trọng không kém, bằng chứng vĩ mô cho thấy không tồn tại một con đường phát triển phổ quát: các thị trường biên thành công đã áp dụng những chiến lược rất khác nhau, từ thu hút đầu tư vào năng lượng và khoáng sản (Kazakhstan), đến sản xuất chế tạo giá trị gia tăng và xuất khẩu (Việt Nam), đến tăng trưởng dựa trên dịch vụ và du lịch (Rwanda); và bốn nền kinh tế (Bulgaria, Costa Rica, Panama, Romania) đã đạt thu nhập cao và</w:t>
      </w:r>
      <w:r>
        <w:t xml:space="preserve"> </w:t>
      </w:r>
      <w:r>
        <w:t xml:space="preserve">“</w:t>
      </w:r>
      <w:r>
        <w:t xml:space="preserve">tốt nghiệp</w:t>
      </w:r>
      <w:r>
        <w:t xml:space="preserve">”</w:t>
      </w:r>
      <w:r>
        <w:t xml:space="preserve"> </w:t>
      </w:r>
      <w:r>
        <w:t xml:space="preserve">khỏi nhóm biên trong giai đoạn 2012–2025 (World Bank, 2026c). Sự đa dạng con đường này củng cố trực tiếp tiền đề của khung ICRV: cơ chế chuyển hóa quốc tế hóa thành hiệu quả phụ thuộc vào chế độ thể chế và mô hình tăng trưởng đặc thù, chứ không tuân theo một dạng hàm phổ quát. Tuy nhiên, bằng chứng vĩ mô này dừng ở cấp quốc gia và để ngỏ câu hỏi về cơ chế cấp doanh nghiệp, chính là khoảng trống mà luận án giải quyết bằng dữ liệu WBES cấp cơ sở trên 50 nền kinh tế.</w:t>
      </w:r>
    </w:p>
    <w:p>
      <w:r>
        <w:pict>
          <v:rect style="width:0;height:1.5pt" o:hralign="center" o:hrstd="t" o:hr="t"/>
        </w:pict>
      </w:r>
    </w:p>
    <w:bookmarkEnd w:id="64"/>
    <w:bookmarkEnd w:id="65"/>
    <w:bookmarkStart w:id="66" w:name="khoảng-trống-nghiên-cứu"/>
    <w:p>
      <w:pPr>
        <w:pStyle w:val="Heading2"/>
      </w:pPr>
      <w:r>
        <w:t xml:space="preserve">2.4 Khoảng trống nghiên cứu</w:t>
      </w:r>
    </w:p>
    <w:p>
      <w:pPr>
        <w:pStyle w:val="FirstParagraph"/>
      </w:pPr>
      <w:r>
        <w:t xml:space="preserve">Trên cơ sở tổng quan lý thuyết và thực nghiệm ở các phần trước, ba khoảng trống nghiên cứu chính được xác định như sau.</w:t>
      </w:r>
    </w:p>
    <w:p>
      <w:pPr>
        <w:pStyle w:val="BodyText"/>
      </w:pPr>
      <w:r>
        <w:rPr>
          <w:bCs/>
          <w:b/>
        </w:rPr>
        <w:t xml:space="preserve">Khoảng trống thứ nhất: Thiếu khung tích hợp đa tầng để giải thích heterogeneity trong I–P relationship.</w:t>
      </w:r>
      <w:r>
        <w:t xml:space="preserve"> </w:t>
      </w:r>
      <w:r>
        <w:t xml:space="preserve">Các meta-analyses nhất quán cho thấy I² &gt; 80%, tức hơn 80% biến thiên trong effect size không được giải thích bởi sai số ngẫu nhiên mà bởi sự khác biệt có hệ thống giữa các bối cảnh (Bausch &amp; Krist, 2007; Marano et al., 2016). Tuy nhiên, hầu hết các nghiên cứu thực nghiệm hiện tại chỉ kiểm định một hoặc hai biến điều tiết từ một lý thuyết đơn lẻ, không có khả năng giải thích đồng thời heterogeneity do bối cảnh thể chế, năng lực doanh nghiệp, và đặc điểm lãnh đạo tạo ra. Không có lý thuyết đơn lẻ nào, dù là Uppsala, RBV, Institutional Theory, hay Upper Echelons Theory, đủ để giải thích đầy đủ sự phức tạp của I–P relationship trong bối cảnh đa quốc gia đa dạng như châu Á. Khoảng trống này đòi hỏi một khung tích hợp đa tầng, trong đó các lý thuyết bổ sung cho nhau thay vì cạnh tranh nhau.</w:t>
      </w:r>
    </w:p>
    <w:p>
      <w:pPr>
        <w:pStyle w:val="BodyText"/>
      </w:pPr>
      <w:r>
        <w:rPr>
          <w:bCs/>
          <w:b/>
        </w:rPr>
        <w:t xml:space="preserve">Khoảng trống thứ hai: Sự đồng nhất không hợp lý giữa TCI và DAI trong phần lớn văn liệu trước.</w:t>
      </w:r>
      <w:r>
        <w:t xml:space="preserve"> </w:t>
      </w:r>
      <w:r>
        <w:t xml:space="preserve">Phần lớn các nghiên cứu về năng lực số trong bối cảnh I–P hoặc là không đo lường năng lực số, hoặc là gộp tất cả các chỉ báo số vào một composite duy nhất, không phân biệt giữa chiều sâu năng lực công nghệ tổ chức (TCI) và mức độ chấp nhận công cụ số bề mặt (DAI). Hậu quả thực tiễn của sự đồng nhất này là: (i) không thể trả lời câu hỏi liệu nên đầu tư vào năng lực công nghệ nội tại hay vào việc áp dụng công cụ số giao diện; (ii) không thể phân biệt được hai cơ chế tác động có hàm ý chính sách khác nhau. Phân biệt rõ TCI và DAI là điều kiện cần để rút ra hàm ý quản trị và chính sách có tính cụ thể và ứng dụng cao.</w:t>
      </w:r>
    </w:p>
    <w:p>
      <w:pPr>
        <w:pStyle w:val="BodyText"/>
      </w:pPr>
      <w:r>
        <w:rPr>
          <w:bCs/>
          <w:b/>
        </w:rPr>
        <w:t xml:space="preserve">Khoảng trống thứ ba: Thiếu bằng chứng cross-country quy mô lớn, toàn diện và có cấu trúc cho bối cảnh châu Á.</w:t>
      </w:r>
      <w:r>
        <w:t xml:space="preserve"> </w:t>
      </w:r>
      <w:r>
        <w:t xml:space="preserve">Mặc dù châu Á là khu vực kinh tế năng động và đa dạng nhất thế giới, văn liệu về I–P vẫn thiếu bằng chứng đa quốc gia bao quát đủ rộng để kiểm định khả năng tổng quát hóa của các lý thuyết. Pool 17 nước của nghiên cứu thành phần P1 là baseline lớn nhất hiện có trong văn liệu về châu Á, nhưng vẫn chưa bao gồm các nền kinh tế frontier và SIDS, những địa điểm cực kỳ quan trọng để kiểm định boundary conditions. Thiếu vắng các bằng chứng này khiến cho các lý thuyết về I–P, vốn được xây dựng chủ yếu trên dữ liệu từ Nhật Bản, Hàn Quốc, và các nền kinh tế tiên tiến, có nguy cơ bị áp dụng sai trong bối cảnh các nền kinh tế đang phát triển và chuyển đổi ở châu Á.</w:t>
      </w:r>
    </w:p>
    <w:p>
      <w:pPr>
        <w:pStyle w:val="BodyText"/>
      </w:pPr>
      <w:r>
        <w:t xml:space="preserve">Ba khoảng trống này hội tụ vào một hướng giải quyết chung: cần phát triển và kiểm định một khung giải thích tích hợp đa tầng (multi-tier integrated framework) trên dữ liệu đa quốc gia đủ rộng và đủ đa dạng về thể chế để bao phủ toàn bộ gradient thể chế của châu Á. Luận án đề xuất khung CDCM (Country–Digital–Capability Moderation), là khung lý thuyết tích hợp đa tầng kết hợp bối cảnh thể chế (tầng vĩ mô, vận hành hóa bằng ICRV), năng lực doanh nghiệp với TCI và DAI riêng biệt (tầng tổ chức), đặc điểm nhà quản trị cấp cao (tầng cá nhân), và lớp mở rộng digital capability lens. Trong khung này, FSTS là biến độc lập chính và hiệu quả doanh nghiệp (labor productivity) là biến phụ thuộc.</w:t>
      </w:r>
    </w:p>
    <w:p>
      <w:pPr>
        <w:pStyle w:val="BodyText"/>
      </w:pPr>
      <w:r>
        <w:rPr>
          <w:bCs/>
          <w:b/>
        </w:rPr>
        <w:t xml:space="preserve">Từ khoảng trống đến Nghiên cứu P7, Kiểm định CDCM trên 50 nền kinh tế châu Á.</w:t>
      </w:r>
      <w:r>
        <w:t xml:space="preserve"> </w:t>
      </w:r>
      <w:r>
        <w:t xml:space="preserve">Khoảng trống thứ nhất và thứ ba hội tụ vào một câu hỏi kiểm định trực tiếp: liệu CDCM có thể giải thích đồng thời heterogeneity I–P khi kiểm soát đầy đủ cả ba tầng trong một mô hình tích hợp ở quy mô đủ rộng để bao phủ toàn bộ gradient ICRV không? Văn liệu hiện tại chưa có bằng chứng kiểm định đồng thời năm biến điều tiết chính (TCI, DAI, kinh nghiệm quản trị, giới tính nhà quản trị, ICRV) trong một mô hình hồi quy đơn lẻ trên dữ liệu đa quốc gia quy mô lớn. Nghiên cứu thành phần P7 lấp đầy khoảng trống này bằng dữ liệu WBES từ 50 nền kinh tế (mẫu hồi quy M2 N = 81.022; N hồi quy mô hình đầy đủ = 79.080 sau loại bỏ listwise các biến điều tiết, 103 country-year waves), bao phủ toàn bộ gradient ICRV từ nhóm tiên tiến đến SIDS, kiểm định đồng thời H1–H6 với country-year fixed effects. Kết quả điểm uốn trung bình ~36% FSTS tại P7, thấp hơn P3 Vietnam (~40%) và P5 Trung Quốc (~49%), xác nhận ICRV điều tiết vị trí điểm uốn theo gradient dự đoán lý thuyết, đóng góp bằng chứng kiểm định tích hợp đầu tiên cho CDCM ở cấp độ liên quốc gia quy mô lớn.</w:t>
      </w:r>
    </w:p>
    <w:p>
      <w:pPr>
        <w:pStyle w:val="BodyText"/>
      </w:pPr>
      <w:r>
        <w:rPr>
          <w:bCs/>
          <w:b/>
        </w:rPr>
        <w:t xml:space="preserve">Từ khoảng trống đến Nghiên cứu P8, Kiểm định điều kiện biên FIP tại SIDS.</w:t>
      </w:r>
      <w:r>
        <w:t xml:space="preserve"> </w:t>
      </w:r>
      <w:r>
        <w:t xml:space="preserve">Khoảng trống thứ ba không chỉ đòi hỏi mở rộng phạm vi địa lý mà còn đòi hỏi kiểm định điều kiện biên lý thuyết cực trị: liệu có tồn tại bối cảnh nơi chữ U ngược hoàn toàn sụp đổ thành quan hệ âm đơn điệu? Không có nghiên cứu nào trong văn liệu I–P hiện tại kiểm định</w:t>
      </w:r>
      <w:r>
        <w:t xml:space="preserve"> </w:t>
      </w:r>
      <w:r>
        <w:t xml:space="preserve">“</w:t>
      </w:r>
      <w:r>
        <w:t xml:space="preserve">Forced Internationalization Penalty</w:t>
      </w:r>
      <w:r>
        <w:t xml:space="preserve">”</w:t>
      </w:r>
      <w:r>
        <w:t xml:space="preserve"> </w:t>
      </w:r>
      <w:r>
        <w:t xml:space="preserve">(FIP), bối cảnh mà quốc tế hóa là gánh nặng sinh tồn, không phải lựa chọn chiến lược dựa trên lợi thế cạnh tranh. Nghiên cứu thành phần P8, Nghiên cứu P8, kiểm định H1b bằng dữ liệu WBES từ các nền kinh tế SIDS (Fiji, Papua New Guinea, Solomon Islands, Tonga, Vanuatu, Samoa, Kiribati), nơi ba điều kiện cấu trúc cơ bản của chữ U ngược đồng thời bị vi phạm: thị trường nội địa cực nhỏ, chi phí logistics cao bất thường, và hỗ trợ thể chế cho xuất khẩu gần như không tồn tại. Kết quả P8 xác định boundary condition cực trị của CDCM: điểm nơi lý thuyết đường cong chữ U ngược không còn ứng dụng được.</w:t>
      </w:r>
    </w:p>
    <w:p>
      <w:r>
        <w:pict>
          <v:rect style="width:0;height:1.5pt" o:hralign="center" o:hrstd="t" o:hr="t"/>
        </w:pict>
      </w:r>
    </w:p>
    <w:bookmarkEnd w:id="66"/>
    <w:bookmarkStart w:id="79" w:name="mô-hình-nghiên-cứu-và-hệ-giả-thuyết"/>
    <w:p>
      <w:pPr>
        <w:pStyle w:val="Heading2"/>
      </w:pPr>
      <w:r>
        <w:t xml:space="preserve">2.5 Mô hình nghiên cứu và hệ giả thuyết</w:t>
      </w:r>
    </w:p>
    <w:bookmarkStart w:id="70" w:name="mô-hình-khái-niệm"/>
    <w:p>
      <w:pPr>
        <w:pStyle w:val="Heading3"/>
      </w:pPr>
      <w:r>
        <w:t xml:space="preserve">2.5.1 Mô hình khái niệm</w:t>
      </w:r>
    </w:p>
    <w:p>
      <w:pPr>
        <w:pStyle w:val="FirstParagraph"/>
      </w:pPr>
      <w:r>
        <w:t xml:space="preserve">Mô hình khái niệm của luận án vận hành theo logic đa tầng, trong đó mối quan hệ trung tâm giữa quốc tế hóa (FSTS) và hiệu quả hoạt động doanh nghiệp (labor productivity) được điều tiết đồng thời bởi ba tầng can thiệp.</w:t>
      </w:r>
    </w:p>
    <w:p>
      <w:pPr>
        <w:pStyle w:val="BodyText"/>
      </w:pPr>
      <w:r>
        <w:t xml:space="preserve">Tầng vĩ mô, bối cảnh thể chế, được vận hành hóa bằng khung ICRV với sáu sub-regime theo gradient từ Advanced Innovation-Driven đến SIDS. Ở tầng này, ICRV điều tiết mối quan hệ I–P thông qua hai cơ chế: (i) mức độ khoảng trống thể chế (institutional voids) ảnh hưởng đến chi phí giao dịch xuyên biên giới; và (ii) chất lượng thể chế ảnh hưởng đến khả năng doanh nghiệp khai thác lợi ích từ quốc tế hóa. Ở các nền kinh tế frontier và SIDS, khoảng trống thể chế cực kỳ lớn có thể đảo ngược quan hệ I–P, biến lợi ích tiềm năng thành tổn thất thực tế (nghiên cứu thành phần P8).</w:t>
      </w:r>
    </w:p>
    <w:p>
      <w:pPr>
        <w:pStyle w:val="BodyText"/>
      </w:pPr>
      <w:r>
        <w:t xml:space="preserve">Tầng tổ chức, năng lực doanh nghiệp, bao gồm TCI và DAI như hai biến điều tiết độc lập với cơ chế tác động khác nhau. TCI đóng vai trò như một</w:t>
      </w:r>
      <w:r>
        <w:t xml:space="preserve"> </w:t>
      </w:r>
      <w:r>
        <w:t xml:space="preserve">“</w:t>
      </w:r>
      <w:r>
        <w:t xml:space="preserve">nâng đỡ mặt bằng</w:t>
      </w:r>
      <w:r>
        <w:t xml:space="preserve">”</w:t>
      </w:r>
      <w:r>
        <w:t xml:space="preserve"> </w:t>
      </w:r>
      <w:r>
        <w:t xml:space="preserve">(level shifter): doanh nghiệp có TCI cao sẽ đạt hiệu quả cao hơn ở mọi mức độ FSTS, và đặc biệt có khả năng khai thác lợi ích quốc tế hóa tốt hơn nhờ năng lực hấp thụ tri thức và công nghệ từ thị trường nước ngoài. DAI, ngược lại, đóng vai trò là</w:t>
      </w:r>
      <w:r>
        <w:t xml:space="preserve"> </w:t>
      </w:r>
      <w:r>
        <w:t xml:space="preserve">“</w:t>
      </w:r>
      <w:r>
        <w:t xml:space="preserve">bộ đệm phối hợp số</w:t>
      </w:r>
      <w:r>
        <w:t xml:space="preserve">”</w:t>
      </w:r>
      <w:r>
        <w:t xml:space="preserve"> </w:t>
      </w:r>
      <w:r>
        <w:t xml:space="preserve">(digital coordination buffer): ở mức FSTS cao, DAI giúp giảm chi phí điều phối xuyên biên giới, làm chuyển dịch điểm điểm uốn sang phải và kéo dài giai đoạn lợi ích dương của quan hệ I–P.</w:t>
      </w:r>
    </w:p>
    <w:p>
      <w:pPr>
        <w:pStyle w:val="BodyText"/>
      </w:pPr>
      <w:r>
        <w:t xml:space="preserve">Tầng cá nhân, đặc điểm nhà quản trị cấp cao, bao gồm kinh nghiệm quản trị và giới tính nhà quản trị như các biến điều tiết vi mô. Kinh nghiệm quốc tế của nhà quản trị giảm chi phí nhận thức của liability of foreignness; sự hiện diện của quản trị viên nữ tăng cường đa dạng nhận thức và thận trọng trong quản trị rủi ro quốc tế.</w:t>
      </w:r>
    </w:p>
    <w:p>
      <w:pPr>
        <w:pStyle w:val="BodyText"/>
      </w:pPr>
      <w:r>
        <w:t xml:space="preserve">Ngoài các cơ chế điều tiết, mô hình còn bao gồm một yếu tố động thái quan trọng: hình dạng phi tuyến của quan hệ I–P (điểm uốn của chữ U ngược) không cố định theo thời gian mà có thể thay đổi khi bối cảnh thể chế và năng lực doanh nghiệp thay đổi theo chiều dọc, đặc biệt rõ rệt ở các nền kinh tế chuyển đổi nhanh như Trung Quốc.</w:t>
      </w:r>
    </w:p>
    <w:p>
      <w:pPr>
        <w:pStyle w:val="CaptionedFigure"/>
      </w:pPr>
      <w:r>
        <w:drawing>
          <wp:inline>
            <wp:extent cx="5753100" cy="3558086"/>
            <wp:effectExtent b="0" l="0" r="0" t="0"/>
            <wp:docPr descr="Hình 2.1. Khung khái niệm tích hợp đa tầng CDCM cho quan hệ Quốc tế hóa–Hiệu quả tại châu Á" title="" id="68" name="Picture"/>
            <a:graphic>
              <a:graphicData uri="http://schemas.openxmlformats.org/drawingml/2006/picture">
                <pic:pic>
                  <pic:nvPicPr>
                    <pic:cNvPr descr="figures/fig_2_1_cdcm_conceptual_model.png" id="69" name="Picture"/>
                    <pic:cNvPicPr>
                      <a:picLocks noChangeArrowheads="1" noChangeAspect="1"/>
                    </pic:cNvPicPr>
                  </pic:nvPicPr>
                  <pic:blipFill>
                    <a:blip r:embed="rId67"/>
                    <a:stretch>
                      <a:fillRect/>
                    </a:stretch>
                  </pic:blipFill>
                  <pic:spPr bwMode="auto">
                    <a:xfrm>
                      <a:off x="0" y="0"/>
                      <a:ext cx="5753100" cy="3558086"/>
                    </a:xfrm>
                    <a:prstGeom prst="rect">
                      <a:avLst/>
                    </a:prstGeom>
                    <a:noFill/>
                    <a:ln w="9525">
                      <a:noFill/>
                      <a:headEnd/>
                      <a:tailEnd/>
                    </a:ln>
                  </pic:spPr>
                </pic:pic>
              </a:graphicData>
            </a:graphic>
          </wp:inline>
        </w:drawing>
      </w:r>
    </w:p>
    <w:p>
      <w:pPr>
        <w:pStyle w:val="ImageCaption"/>
      </w:pPr>
      <w:r>
        <w:t xml:space="preserve">Hình 2.1. Khung khái niệm tích hợp đa tầng CDCM cho quan hệ Quốc tế hóa–Hiệu quả tại châu Á</w:t>
      </w:r>
    </w:p>
    <w:p>
      <w:pPr>
        <w:pStyle w:val="BodyText"/>
      </w:pPr>
      <w:r>
        <w:rPr>
          <w:bCs/>
          <w:b/>
        </w:rPr>
        <w:t xml:space="preserve">Hình 2.1.</w:t>
      </w:r>
      <w:r>
        <w:t xml:space="preserve"> </w:t>
      </w:r>
      <w:r>
        <w:rPr>
          <w:iCs/>
          <w:i/>
        </w:rPr>
        <w:t xml:space="preserve">Khung khái niệm tích hợp đa tầng CDCM.</w:t>
      </w:r>
      <w:r>
        <w:t xml:space="preserve"> </w:t>
      </w:r>
      <w:r>
        <w:t xml:space="preserve">Mũi tên liền thể hiện tác động trực tiếp (H1, quan hệ phi tuyến chữ U ngược); mũi tên đứt thể hiện tác động điều tiết của ba tầng (thể chế ICRV, H5; năng lực số TCI/DAI, H2, H3; đặc điểm nhà quản trị, H4); mũi tên chấm thể hiện điều kiện biên FIP (H1b) tại nhóm SIDS. Biến kiểm soát không thể hiện để giữ rõ ràng.</w:t>
      </w:r>
      <w:r>
        <w:t xml:space="preserve"> </w:t>
      </w:r>
      <w:r>
        <w:rPr>
          <w:iCs/>
          <w:i/>
        </w:rPr>
        <w:t xml:space="preserve">Nguồn: tác giả xây dựng dựa trên Uppsala, RBV, lý thuyết thể chế, lý thuyết thượng tầng quản trị và digital capability lens.</w:t>
      </w:r>
    </w:p>
    <w:bookmarkEnd w:id="70"/>
    <w:bookmarkStart w:id="71" w:name="giả-thuyết-h1-phi-tuyến-chữ-u-ngược"/>
    <w:p>
      <w:pPr>
        <w:pStyle w:val="Heading3"/>
      </w:pPr>
      <w:r>
        <w:t xml:space="preserve">2.5.2 Giả thuyết H1: Phi tuyến chữ U ngược</w:t>
      </w:r>
    </w:p>
    <w:p>
      <w:pPr>
        <w:pStyle w:val="FirstParagraph"/>
      </w:pPr>
      <w:r>
        <w:t xml:space="preserve">Trên cơ sở lý thuyết từ Uppsala về chi phí thâm nhập giai đoạn đầu, RBV về lợi thế cạnh tranh tích lũy ở giai đoạn trung, và lý thuyết chi phí giao dịch về sự phức tạp điều phối ở giai đoạn mở rộng quá mức, giả thuyết H1 được phát biểu như sau. Quan hệ giữa mức độ quốc tế hóa và hiệu quả hoạt động của các doanh nghiệp ở các quốc gia châu Á có dạng phi tuyến chữ U ngược, với một điểm điểm uốn tối ưu trước khi chi phí điều phối và bất định vượt qua lợi ích từ mở rộng thị trường quốc tế. Cơ sở lý thuyết trực tiếp bao gồm mô hình S-curve của Lu và Beamish (2004), lý thuyết ba giai đoạn của Contractor et al. (2003), và bằng chứng chữ U ngược ban đầu của Hitt et al. (1997).</w:t>
      </w:r>
    </w:p>
    <w:bookmarkEnd w:id="71"/>
    <w:bookmarkStart w:id="72" w:name="X1e4f3f6a2f993a9a6e6b8e711bb6f577a973378"/>
    <w:p>
      <w:pPr>
        <w:pStyle w:val="Heading3"/>
      </w:pPr>
      <w:r>
        <w:t xml:space="preserve">2.5.2b Điều kiện biên H1b: Gánh nặng quốc tế hóa bắt buộc (FIP) tại SIDS</w:t>
      </w:r>
    </w:p>
    <w:p>
      <w:pPr>
        <w:pStyle w:val="FirstParagraph"/>
      </w:pPr>
      <w:r>
        <w:t xml:space="preserve">H1 dự báo quan hệ chữ U ngược, tức là tồn tại một mức FSTS tối ưu mà dưới ngưỡng đó quốc tế hóa tạo ra lợi ích, và trên ngưỡng đó chi phí điều phối vượt qua lợi ích học hỏi. Tuy nhiên, lý thuyết dự đoán này ngầm giả định rằng ba điều kiện cấu trúc cơ bản được đáp ứng: (i) tồn tại thị trường nội địa đủ lớn để doanh nghiệp có nền tảng hiệu suất và thanh khoản trước khi xuất khẩu; (ii) chi phí thương mại ở mức chấp nhận được, cho phép cân nhắc kinh tế hợp lý; và (iii) tồn tại hỗ trợ thể chế tối thiểu cho hoạt động trao đổi quốc tế.</w:t>
      </w:r>
    </w:p>
    <w:p>
      <w:pPr>
        <w:pStyle w:val="BodyText"/>
      </w:pPr>
      <w:r>
        <w:t xml:space="preserve">Tại các nền kinh tế SIDS (Nhóm VI ICRV), cả ba điều kiện này đồng thời bị vi phạm: thị trường nội địa cực nhỏ buộc các doanh nghiệp phải xuất khẩu không phải vì có lợi thế cạnh tranh mà vì thiếu cầu nội địa đủ lớn để duy trì hoạt động (xuất khẩu bắt buộc); chi phí hậu cần và vận chuyển cực cao do địa lý đảo xa và phân tán làm suy giảm biên lợi nhuận ở mọi mức FSTS; và hỗ trợ thể chế (logistics, tài chính thương mại, năng lực xúc tiến xuất khẩu) thiếu hụt nghiêm trọng. Khi ba điều kiện này đồng thời không được đáp ứng, quan hệ I–P không chỉ mất đi phần lợi ích giai đoạn đầu của chữ U ngược mà có thể chuyển thành</w:t>
      </w:r>
      <w:r>
        <w:t xml:space="preserve"> </w:t>
      </w:r>
      <w:r>
        <w:rPr>
          <w:bCs/>
          <w:b/>
        </w:rPr>
        <w:t xml:space="preserve">quan hệ âm đơn điệu không có điểm uốn</w:t>
      </w:r>
      <w:r>
        <w:t xml:space="preserve">, tức là điều kiện biên lý thuyết nơi mọi mức độ quốc tế hóa đều gây tổn hại đến hiệu quả doanh nghiệp.</w:t>
      </w:r>
    </w:p>
    <w:p>
      <w:pPr>
        <w:pStyle w:val="BodyText"/>
      </w:pPr>
      <w:r>
        <w:t xml:space="preserve">Giả thuyết H1b được phát biểu như sau. Tại các nền kinh tế SIDS (ICRV Nhóm VI), mối quan hệ giữa mức độ quốc tế hóa (FSTS) và hiệu quả hoạt động doanh nghiệp (năng suất lao động) là</w:t>
      </w:r>
      <w:r>
        <w:t xml:space="preserve"> </w:t>
      </w:r>
      <w:r>
        <w:rPr>
          <w:bCs/>
          <w:b/>
        </w:rPr>
        <w:t xml:space="preserve">âm đơn điệu</w:t>
      </w:r>
      <w:r>
        <w:t xml:space="preserve">, không có điểm điểm uốn trong phạm vi dữ liệu, phản ánh gánh nặng quốc tế hóa bắt buộc (Forced Internationalization Penalty, FIP) nơi doanh nghiệp xuất khẩu để sinh tồn chứ không phải để khai thác lợi thế cạnh tranh. Cơ sở lý thuyết bao gồm Institutional Theory (North, 1990), lý thuyết chi phí giao dịch (Williamson, 1985), Khanna và Palepu (2010) về institutional voids, và Lall (2004) về SIDS structural constraints.</w:t>
      </w:r>
    </w:p>
    <w:bookmarkEnd w:id="72"/>
    <w:bookmarkStart w:id="73" w:name="X4e283c765855921a9a0bf70a9d0a980f4bd502f"/>
    <w:p>
      <w:pPr>
        <w:pStyle w:val="Heading3"/>
      </w:pPr>
      <w:r>
        <w:t xml:space="preserve">2.5.3 Giả thuyết H2: Điều tiết bởi năng lực công nghệ (TCI)</w:t>
      </w:r>
    </w:p>
    <w:p>
      <w:pPr>
        <w:pStyle w:val="FirstParagraph"/>
      </w:pPr>
      <w:r>
        <w:t xml:space="preserve">Dựa trên RBV (Barney, 1991) và lý thuyết năng lực động (Teece et al., 1997), năng lực công nghệ là một nguồn lực VRIN giúp doanh nghiệp khai thác lợi ích từ quốc tế hóa hiệu quả hơn. Giả thuyết H2 được phát biểu như sau. Năng lực công nghệ (TCI) làm gia tăng tác động tích cực của quốc tế hóa lên hiệu quả hoạt động của doanh nghiệp, bằng cách nâng mặt bằng hiệu quả tổng thể và làm giảm chi phí học hỏi thị trường quốc tế, do đó làm dịch chuyển đường quan hệ I–P lên cao hơn và có thể điều chỉnh vị trí của điểm điểm uốn. Cơ sở lý thuyết bao gồm Barney (1991), Teece et al. (1997), và Bhandari et al. (2023).</w:t>
      </w:r>
    </w:p>
    <w:bookmarkEnd w:id="73"/>
    <w:bookmarkStart w:id="74" w:name="X128abf7a15253174c605d07067219580799d526"/>
    <w:p>
      <w:pPr>
        <w:pStyle w:val="Heading3"/>
      </w:pPr>
      <w:r>
        <w:t xml:space="preserve">2.5.4 Giả thuyết H3: Điều tiết bởi chỉ số chấp nhận số (DAI)</w:t>
      </w:r>
    </w:p>
    <w:p>
      <w:pPr>
        <w:pStyle w:val="FirstParagraph"/>
      </w:pPr>
      <w:r>
        <w:t xml:space="preserve">Phân biệt rõ với H2, DAI không có chiều sâu năng lực tổ chức như TCI nhưng có vai trò giảm thiểu chi phí phối hợp xuyên biên giới ở mức xuất khẩu cao. Giả thuyết H3 được phát biểu như sau. Chỉ số chấp nhận số (DAI) điều tiết mối quan hệ I–P, với vai trò bổ trợ rõ rệt hơn ở mức export intensity cao khi DAI giúp giảm chi phí phối hợp giao dịch xuyên biên giới, theo đó DAI làm thay đổi độ dốc của đường quan hệ I–P chứ không nhất thiết nâng mặt bằng hiệu quả như TCI. Cơ sở lý thuyết bao gồm Verhoef et al. (2021), Stallkamp và Schotter (2021), và Bustamante et al. (2022). Sự phân biệt cơ chế tác động giữa H2 và H3 là đóng góp lý thuyết quan trọng, cho phép phân tách TCI và DAI trong mô hình hồi quy thực nghiệm.</w:t>
      </w:r>
    </w:p>
    <w:bookmarkEnd w:id="74"/>
    <w:bookmarkStart w:id="75" w:name="X23e235aa1540adf65664378accbc0b6a13fdffd"/>
    <w:p>
      <w:pPr>
        <w:pStyle w:val="Heading3"/>
      </w:pPr>
      <w:r>
        <w:t xml:space="preserve">2.5.5 Giả thuyết H4: Điều tiết bởi đặc điểm nhà quản trị cấp cao</w:t>
      </w:r>
    </w:p>
    <w:p>
      <w:pPr>
        <w:pStyle w:val="FirstParagraph"/>
      </w:pPr>
      <w:r>
        <w:t xml:space="preserve">Dựa trên Upper Echelons Theory (Hambrick &amp; Mason, 1984; Hambrick, 2007), quyết định chiến lược quốc tế hóa và khả năng chuyển hóa nó thành hiệu quả phụ thuộc vào đặc điểm nhận thức và kinh nghiệm của nhà quản trị. Giả thuyết H4 được phát biểu như sau. Kinh nghiệm quản trị và giới tính nữ của nhà quản trị cấp cao làm mạnh hơn tác động tích cực của quốc tế hóa lên hiệu quả hoạt động, thông qua cơ chế nâng cao nhận thức chiến lược quốc tế và quản trị rủi ro thận trọng hơn trong quá trình mở rộng quốc tế. Cơ sở lý thuyết bao gồm Hambrick và Mason (1984), Hsu et al. (2013), và Post và Byron (2015); bằng chứng thực nghiệm ở cấp doanh nghiệp cho thấy kinh nghiệm và giới tính của nhà quản trị có thể điều tiết quan hệ quốc tế hóa–hiệu quả (Phan, Do, &amp; Phan, 2020; Phan et al., 2021; Do &amp; Phan, 2025).</w:t>
      </w:r>
    </w:p>
    <w:bookmarkEnd w:id="75"/>
    <w:bookmarkStart w:id="76" w:name="X1090b4891c9abf48d7aab0f24d22e9d66d1b02d"/>
    <w:p>
      <w:pPr>
        <w:pStyle w:val="Heading3"/>
      </w:pPr>
      <w:r>
        <w:t xml:space="preserve">2.5.6 Giả thuyết H5: Điều tiết bởi bối cảnh thể chế (ICRV)</w:t>
      </w:r>
    </w:p>
    <w:p>
      <w:pPr>
        <w:pStyle w:val="FirstParagraph"/>
      </w:pPr>
      <w:r>
        <w:t xml:space="preserve">Trên cơ sở Institutional Theory (North, 1990; Khanna &amp; Palepu, 2010), chất lượng thể chế tạo ra chi phí giao dịch và rủi ro khác nhau, do đó điều tiết đáng kể mối quan hệ I–P. Giả thuyết H5 được phát biểu như sau. Chất lượng thể chế theo khung ICRV điều tiết tác động của các rào cản thể chế (institutional obstacles) lên hiệu quả hoạt động trong quá trình quốc tế hóa, với chỉ số chấp nhận số (DAI) đóng vai trò</w:t>
      </w:r>
      <w:r>
        <w:t xml:space="preserve"> </w:t>
      </w:r>
      <w:r>
        <w:t xml:space="preserve">“</w:t>
      </w:r>
      <w:r>
        <w:t xml:space="preserve">lá chắn số</w:t>
      </w:r>
      <w:r>
        <w:t xml:space="preserve">”</w:t>
      </w:r>
      <w:r>
        <w:t xml:space="preserve"> </w:t>
      </w:r>
      <w:r>
        <w:t xml:space="preserve">(digital shield) giúp bù đắp một phần khoảng trống thể chế; cường độ điều tiết này giảm dần theo gradient ICRV từ các nền kinh tế frontier (Nhóm V–VI, điều tiết mạnh nhất) đến các nền kinh tế tiên tiến (Nhóm I, điều tiết yếu nhất). Cơ sở lý thuyết bao gồm North (1990), Khanna và Palepu (2010), và Marano et al. (2016).</w:t>
      </w:r>
    </w:p>
    <w:bookmarkEnd w:id="76"/>
    <w:bookmarkStart w:id="77" w:name="Xef57ba07d4a873fdbd0fe03fe237e0edc9cc461"/>
    <w:p>
      <w:pPr>
        <w:pStyle w:val="Heading3"/>
      </w:pPr>
      <w:r>
        <w:t xml:space="preserve">2.5.7 Giả thuyết H6: Dị biệt thời gian trong quan hệ I–P</w:t>
      </w:r>
    </w:p>
    <w:p>
      <w:pPr>
        <w:pStyle w:val="FirstParagraph"/>
      </w:pPr>
      <w:r>
        <w:t xml:space="preserve">Dựa trên quan sát về tốc độ chuyển đổi số và thay đổi thể chế rất nhanh ở một số nền kinh tế châu Á, đặc biệt Trung Quốc, quan hệ I–P không nhất thiết ổn định theo thời gian. Giả thuyết H6 được phát biểu như sau. Hình dạng phi tuyến của quan hệ I–P, cụ thể là vị trí của điểm điểm uốn và độ cong của đường quan hệ, thay đổi theo thời gian trong các nền kinh tế chuyển đổi nhanh, phản ánh sự phát triển của năng lực doanh nghiệp và cải thiện điều kiện thể chế qua các giai đoạn. Cơ sở lý thuyết bao gồm Wu et al. (2022), Xiao et al. (2013), và Banalieva và Dhanaraj (2019). Bằng chứng từ nghiên cứu thành phần P2 về sự ổn định tương đối của điểm uốn Trung Quốc giữa 2012 và 2024 (Paternoster z = +0,82, p = .412, không bác bỏ bằng nhau) cung cấp cơ sở thực nghiệm bổ sung cho việc kiểm định H6 ở cấp độ luận án.</w:t>
      </w:r>
    </w:p>
    <w:p>
      <w:r>
        <w:pict>
          <v:rect style="width:0;height:1.5pt" o:hralign="center" o:hrstd="t" o:hr="t"/>
        </w:pict>
      </w:r>
    </w:p>
    <w:bookmarkEnd w:id="77"/>
    <w:bookmarkStart w:id="78" w:name="Xf335a697a9ee7a16b4b110396196a58c357e907"/>
    <w:p>
      <w:pPr>
        <w:pStyle w:val="Heading3"/>
      </w:pPr>
      <w:r>
        <w:t xml:space="preserve">2.5.8 Ánh xạ giả thuyết và các nghiên cứu thành phần</w:t>
      </w:r>
    </w:p>
    <w:p>
      <w:pPr>
        <w:pStyle w:val="FirstParagraph"/>
      </w:pPr>
      <w:r>
        <w:t xml:space="preserve">Luận án được phát triển gắn với một chuỗi nghiên cứu thành phần (ký hiệu P1–P10), mỗi nghiên cứu kiểm định một phần của hệ giả thuyết H1–H6 và điều kiện biên H1b trong một bối cảnh thể chế cụ thể. Bảng 2.1 ánh xạ các nghiên cứu thành phần với chương trình bày kết quả và các giả thuyết tương ứng.</w:t>
      </w:r>
    </w:p>
    <w:p>
      <w:pPr>
        <w:pStyle w:val="BodyText"/>
      </w:pPr>
      <w:r>
        <w:rPr>
          <w:bCs/>
          <w:b/>
        </w:rPr>
        <w:t xml:space="preserve">Bảng 2.1.</w:t>
      </w:r>
      <w:r>
        <w:t xml:space="preserve"> </w:t>
      </w:r>
      <w:r>
        <w:rPr>
          <w:iCs/>
          <w:i/>
        </w:rPr>
        <w:t xml:space="preserve">Ánh xạ nghiên cứu thành phần, chương, giả thuyết.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Nghiên cứu thành phần</w:t>
            </w:r>
          </w:p>
        </w:tc>
        <w:tc>
          <w:tcPr/>
          <w:p>
            <w:pPr>
              <w:pStyle w:val="Compact"/>
              <w:jc w:val="left"/>
            </w:pPr>
            <w:r>
              <w:t xml:space="preserve">Bối cảnh (nhóm ICRV)</w:t>
            </w:r>
          </w:p>
        </w:tc>
        <w:tc>
          <w:tcPr/>
          <w:p>
            <w:pPr>
              <w:pStyle w:val="Compact"/>
              <w:jc w:val="left"/>
            </w:pPr>
            <w:r>
              <w:t xml:space="preserve">Trình bày tại</w:t>
            </w:r>
          </w:p>
        </w:tc>
        <w:tc>
          <w:tcPr/>
          <w:p>
            <w:pPr>
              <w:pStyle w:val="Compact"/>
              <w:jc w:val="left"/>
            </w:pPr>
            <w:r>
              <w:t xml:space="preserve">Giả thuyết kiểm định</w:t>
            </w:r>
          </w:p>
        </w:tc>
      </w:tr>
      <w:tr>
        <w:tc>
          <w:tcPr/>
          <w:p>
            <w:pPr>
              <w:pStyle w:val="Compact"/>
              <w:jc w:val="left"/>
            </w:pPr>
            <w:r>
              <w:t xml:space="preserve">P1–P2 (meta baseline, ICBEF 2024)</w:t>
            </w:r>
          </w:p>
        </w:tc>
        <w:tc>
          <w:tcPr/>
          <w:p>
            <w:pPr>
              <w:pStyle w:val="Compact"/>
              <w:jc w:val="left"/>
            </w:pPr>
            <w:r>
              <w:t xml:space="preserve">Toàn cầu/châu Á</w:t>
            </w:r>
          </w:p>
        </w:tc>
        <w:tc>
          <w:tcPr/>
          <w:p>
            <w:pPr>
              <w:pStyle w:val="Compact"/>
              <w:jc w:val="left"/>
            </w:pPr>
            <w:r>
              <w:t xml:space="preserve">§2.3.2; §4.2</w:t>
            </w:r>
          </w:p>
        </w:tc>
        <w:tc>
          <w:tcPr/>
          <w:p>
            <w:pPr>
              <w:pStyle w:val="Compact"/>
              <w:jc w:val="left"/>
            </w:pPr>
            <w:r>
              <w:t xml:space="preserve">Nền tảng cho H1, H5</w:t>
            </w:r>
          </w:p>
        </w:tc>
      </w:tr>
      <w:tr>
        <w:tc>
          <w:tcPr/>
          <w:p>
            <w:pPr>
              <w:pStyle w:val="Compact"/>
              <w:jc w:val="left"/>
            </w:pPr>
            <w:r>
              <w:t xml:space="preserve">P3: Việt Nam</w:t>
            </w:r>
          </w:p>
        </w:tc>
        <w:tc>
          <w:tcPr/>
          <w:p>
            <w:pPr>
              <w:pStyle w:val="Compact"/>
              <w:jc w:val="left"/>
            </w:pPr>
            <w:r>
              <w:t xml:space="preserve">Lower-middle transition (Nhóm IV)</w:t>
            </w:r>
          </w:p>
        </w:tc>
        <w:tc>
          <w:tcPr/>
          <w:p>
            <w:pPr>
              <w:pStyle w:val="Compact"/>
              <w:jc w:val="left"/>
            </w:pPr>
            <w:r>
              <w:t xml:space="preserve">§4.5</w:t>
            </w:r>
          </w:p>
        </w:tc>
        <w:tc>
          <w:tcPr/>
          <w:p>
            <w:pPr>
              <w:pStyle w:val="Compact"/>
              <w:jc w:val="left"/>
            </w:pPr>
            <w:r>
              <w:t xml:space="preserve">H1, H2, H3</w:t>
            </w:r>
          </w:p>
        </w:tc>
      </w:tr>
      <w:tr>
        <w:tc>
          <w:tcPr/>
          <w:p>
            <w:pPr>
              <w:pStyle w:val="Compact"/>
              <w:jc w:val="left"/>
            </w:pPr>
            <w:r>
              <w:t xml:space="preserve">P4: Singapore</w:t>
            </w:r>
          </w:p>
        </w:tc>
        <w:tc>
          <w:tcPr/>
          <w:p>
            <w:pPr>
              <w:pStyle w:val="Compact"/>
              <w:jc w:val="left"/>
            </w:pPr>
            <w:r>
              <w:t xml:space="preserve">Advanced đổi mới (Nhóm I)</w:t>
            </w:r>
          </w:p>
        </w:tc>
        <w:tc>
          <w:tcPr/>
          <w:p>
            <w:pPr>
              <w:pStyle w:val="Compact"/>
              <w:jc w:val="left"/>
            </w:pPr>
            <w:r>
              <w:t xml:space="preserve">§4.3</w:t>
            </w:r>
          </w:p>
        </w:tc>
        <w:tc>
          <w:tcPr/>
          <w:p>
            <w:pPr>
              <w:pStyle w:val="Compact"/>
              <w:jc w:val="left"/>
            </w:pPr>
            <w:r>
              <w:t xml:space="preserve">H1, H3</w:t>
            </w:r>
          </w:p>
        </w:tc>
      </w:tr>
      <w:tr>
        <w:tc>
          <w:tcPr/>
          <w:p>
            <w:pPr>
              <w:pStyle w:val="Compact"/>
              <w:jc w:val="left"/>
            </w:pPr>
            <w:r>
              <w:t xml:space="preserve">P5: Trung Quốc 2012–2024</w:t>
            </w:r>
          </w:p>
        </w:tc>
        <w:tc>
          <w:tcPr/>
          <w:p>
            <w:pPr>
              <w:pStyle w:val="Compact"/>
              <w:jc w:val="left"/>
            </w:pPr>
            <w:r>
              <w:t xml:space="preserve">Upper-middle (Nhóm III)</w:t>
            </w:r>
          </w:p>
        </w:tc>
        <w:tc>
          <w:tcPr/>
          <w:p>
            <w:pPr>
              <w:pStyle w:val="Compact"/>
              <w:jc w:val="left"/>
            </w:pPr>
            <w:r>
              <w:t xml:space="preserve">§4.4</w:t>
            </w:r>
          </w:p>
        </w:tc>
        <w:tc>
          <w:tcPr/>
          <w:p>
            <w:pPr>
              <w:pStyle w:val="Compact"/>
              <w:jc w:val="left"/>
            </w:pPr>
            <w:r>
              <w:t xml:space="preserve">H1, H6</w:t>
            </w:r>
          </w:p>
        </w:tc>
      </w:tr>
      <w:tr>
        <w:tc>
          <w:tcPr/>
          <w:p>
            <w:pPr>
              <w:pStyle w:val="Compact"/>
              <w:jc w:val="left"/>
            </w:pPr>
            <w:r>
              <w:t xml:space="preserve">P6: Meta-analysis ba tầng</w:t>
            </w:r>
          </w:p>
        </w:tc>
        <w:tc>
          <w:tcPr/>
          <w:p>
            <w:pPr>
              <w:pStyle w:val="Compact"/>
              <w:jc w:val="left"/>
            </w:pPr>
            <w:r>
              <w:t xml:space="preserve">Toàn bộ literature</w:t>
            </w:r>
          </w:p>
        </w:tc>
        <w:tc>
          <w:tcPr/>
          <w:p>
            <w:pPr>
              <w:pStyle w:val="Compact"/>
              <w:jc w:val="left"/>
            </w:pPr>
            <w:r>
              <w:t xml:space="preserve">§4.2</w:t>
            </w:r>
          </w:p>
        </w:tc>
        <w:tc>
          <w:tcPr/>
          <w:p>
            <w:pPr>
              <w:pStyle w:val="Compact"/>
              <w:jc w:val="left"/>
            </w:pPr>
            <w:r>
              <w:t xml:space="preserve">H1, H5</w:t>
            </w:r>
          </w:p>
        </w:tc>
      </w:tr>
      <w:tr>
        <w:tc>
          <w:tcPr/>
          <w:p>
            <w:pPr>
              <w:pStyle w:val="Compact"/>
              <w:jc w:val="left"/>
            </w:pPr>
            <w:r>
              <w:t xml:space="preserve">P7: Capstone đa quốc gia (50 nền kinh tế)</w:t>
            </w:r>
          </w:p>
        </w:tc>
        <w:tc>
          <w:tcPr/>
          <w:p>
            <w:pPr>
              <w:pStyle w:val="Compact"/>
              <w:jc w:val="left"/>
            </w:pPr>
            <w:r>
              <w:t xml:space="preserve">Toàn bộ gradient ICRV</w:t>
            </w:r>
          </w:p>
        </w:tc>
        <w:tc>
          <w:tcPr/>
          <w:p>
            <w:pPr>
              <w:pStyle w:val="Compact"/>
              <w:jc w:val="left"/>
            </w:pPr>
            <w:r>
              <w:t xml:space="preserve">§4.6</w:t>
            </w:r>
          </w:p>
        </w:tc>
        <w:tc>
          <w:tcPr/>
          <w:p>
            <w:pPr>
              <w:pStyle w:val="Compact"/>
              <w:jc w:val="left"/>
            </w:pPr>
            <w:r>
              <w:t xml:space="preserve">H1, H2, H3, H4, H5 (và tương tác tổng hợp ba chiều)</w:t>
            </w:r>
          </w:p>
        </w:tc>
      </w:tr>
      <w:tr>
        <w:tc>
          <w:tcPr/>
          <w:p>
            <w:pPr>
              <w:pStyle w:val="Compact"/>
              <w:jc w:val="left"/>
            </w:pPr>
            <w:r>
              <w:t xml:space="preserve">P8: Pacific SIDS (mẫu chính 7 nước, N=959; kiểm định độ vững mở rộng 9 nước Nhóm VI)</w:t>
            </w:r>
          </w:p>
        </w:tc>
        <w:tc>
          <w:tcPr/>
          <w:p>
            <w:pPr>
              <w:pStyle w:val="Compact"/>
              <w:jc w:val="left"/>
            </w:pPr>
            <w:r>
              <w:t xml:space="preserve">SIDS (Nhóm VI)</w:t>
            </w:r>
          </w:p>
        </w:tc>
        <w:tc>
          <w:tcPr/>
          <w:p>
            <w:pPr>
              <w:pStyle w:val="Compact"/>
              <w:jc w:val="left"/>
            </w:pPr>
            <w:r>
              <w:t xml:space="preserve">§4.7</w:t>
            </w:r>
          </w:p>
        </w:tc>
        <w:tc>
          <w:tcPr/>
          <w:p>
            <w:pPr>
              <w:pStyle w:val="Compact"/>
              <w:jc w:val="left"/>
            </w:pPr>
            <w:r>
              <w:t xml:space="preserve">H1b (FIP)</w:t>
            </w:r>
          </w:p>
        </w:tc>
      </w:tr>
      <w:tr>
        <w:tc>
          <w:tcPr/>
          <w:p>
            <w:pPr>
              <w:pStyle w:val="Compact"/>
              <w:jc w:val="left"/>
            </w:pPr>
            <w:r>
              <w:t xml:space="preserve">P9: Ấn Độ 2014–2025</w:t>
            </w:r>
          </w:p>
        </w:tc>
        <w:tc>
          <w:tcPr/>
          <w:p>
            <w:pPr>
              <w:pStyle w:val="Compact"/>
              <w:jc w:val="left"/>
            </w:pPr>
            <w:r>
              <w:t xml:space="preserve">Lower-middle transition (Nhóm IV)</w:t>
            </w:r>
          </w:p>
        </w:tc>
        <w:tc>
          <w:tcPr/>
          <w:p>
            <w:pPr>
              <w:pStyle w:val="Compact"/>
              <w:jc w:val="left"/>
            </w:pPr>
            <w:r>
              <w:t xml:space="preserve">§4.8</w:t>
            </w:r>
          </w:p>
        </w:tc>
        <w:tc>
          <w:tcPr/>
          <w:p>
            <w:pPr>
              <w:pStyle w:val="Compact"/>
              <w:jc w:val="left"/>
            </w:pPr>
            <w:r>
              <w:t xml:space="preserve">H1c (độ bền ngưỡng dưới biến động thể chế)</w:t>
            </w:r>
          </w:p>
        </w:tc>
      </w:tr>
      <w:tr>
        <w:tc>
          <w:tcPr/>
          <w:p>
            <w:pPr>
              <w:pStyle w:val="Compact"/>
              <w:jc w:val="left"/>
            </w:pPr>
            <w:r>
              <w:t xml:space="preserve">P10: Nhật Bản 2025</w:t>
            </w:r>
          </w:p>
        </w:tc>
        <w:tc>
          <w:tcPr/>
          <w:p>
            <w:pPr>
              <w:pStyle w:val="Compact"/>
              <w:jc w:val="left"/>
            </w:pPr>
            <w:r>
              <w:t xml:space="preserve">Advanced đổi mới (Nhóm I)</w:t>
            </w:r>
          </w:p>
        </w:tc>
        <w:tc>
          <w:tcPr/>
          <w:p>
            <w:pPr>
              <w:pStyle w:val="Compact"/>
              <w:jc w:val="left"/>
            </w:pPr>
            <w:r>
              <w:t xml:space="preserve">§4.1.5</w:t>
            </w:r>
          </w:p>
        </w:tc>
        <w:tc>
          <w:tcPr/>
          <w:p>
            <w:pPr>
              <w:pStyle w:val="Compact"/>
              <w:jc w:val="left"/>
            </w:pPr>
            <w:r>
              <w:t xml:space="preserve">H1 (dự đoán biên trên: gần tuyến tính)</w:t>
            </w:r>
          </w:p>
        </w:tc>
      </w:tr>
    </w:tbl>
    <w:p>
      <w:pPr>
        <w:pStyle w:val="BodyText"/>
      </w:pPr>
      <w:r>
        <w:rPr>
          <w:iCs/>
          <w:i/>
        </w:rPr>
        <w:t xml:space="preserve">Ghi chú về ký hiệu: Hệ giả thuyết của luận án gồm sáu giả thuyết trọng tâm H1–H6 và một giả thuyết điều kiện biên H1b. Trong các mô hình thực nghiệm chi tiết ở Chương 3, một số nghiên cứu thành phần sử dụng các giả thuyết con (sub-hypotheses) lồng dưới hệ giả thuyết chính của luận án, cụ thể: H2b (kiểm định tính ổn định xuyên sóng của năng lực điều tiết, thuộc P5, lồng dưới H2/H6); H4a–H4b (kiểm định điều tiết độ cong theo năng lực, thuộc P5, lồng dưới H2); tương tác tổng hợp ba chiều của P7 (lồng dưới H3 và H5); E1a–E1b (kiểm định định hướng gradient ICRV, lồng dưới H5); và H1c (kiểm định tan biến ngưỡng chữ U ngược theo thời gian tại Ấn Độ, thuộc P9, lồng dưới H1 và H6). Các ký hiệu con này phục vụ độ chính xác kỹ thuật của từng mô hình và không làm thay đổi hệ giả thuyết trọng tâm H1–H6/H1b của luận án.</w:t>
      </w:r>
    </w:p>
    <w:bookmarkEnd w:id="78"/>
    <w:bookmarkEnd w:id="79"/>
    <w:bookmarkStart w:id="80" w:name="tóm-tắt-chương"/>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bằng chứng thực nghiệm đến khoảng trống, và từ khoảng trống đến khung nghiên cứu và giả thuyết.</w:t>
      </w:r>
    </w:p>
    <w:p>
      <w:pPr>
        <w:pStyle w:val="BodyText"/>
      </w:pPr>
      <w:r>
        <w:t xml:space="preserve">Phần đầu chương xác lập bốn khái niệm cốt lõi: quốc tế hóa doanh nghiệp (đo bằng FSTS), hiệu quả hoạt động (đo bằng labor productivity là chính), năng lực công nghệ (TCI) và chỉ số chấp nhận số (DAI) như hai construct độc lập, và bối cảnh thể chế được vận hành hóa bằng khung ICRV sáu nhóm. Phần lý thuyết nền trình bày và phân tích bốn lý thuyết kinh điển, Uppsala, RBV, Institutional Theory, và Upper Echelons Theory, cùng với lớp mở rộng Digital Capability Lens, xác định vai trò của từng lý thuyết trong khung giải thích tổng thể của luận án.</w:t>
      </w:r>
    </w:p>
    <w:p>
      <w:pPr>
        <w:pStyle w:val="BodyText"/>
      </w:pPr>
      <w:r>
        <w:t xml:space="preserve">Tổng quan thực nghiệm cho thấy văn liệu I–P đã phát triển qua ba giai đoạn, từ tuyến tính dương đến phi tuyến đến tập trung vào các biến điều tiết; các meta-analyses nhất quán cho thấy tác động tổng hợp là dương nhưng nhỏ với I² &gt; 80%, đòi hỏi cách tiếp cận biến điều tiết-centric; và bối cảnh châu Á, đặc biệt là các nền kinh tế frontier và SIDS, đang thiếu đại diện nghiêm trọng trong văn liệu.</w:t>
      </w:r>
    </w:p>
    <w:p>
      <w:pPr>
        <w:pStyle w:val="BodyText"/>
      </w:pPr>
      <w:r>
        <w:t xml:space="preserve">Ba khoảng trống được xác định: thiếu khung tích hợp đa tầng, sự đồng nhất không hợp lý TCI–DAI, và thiếu bằng chứng cross-country quy mô lớn có cấu trúc cho châu Á. Để lấp đầy ba khoảng trống này, luận án đề xuất khung CDCM và phát triển sáu giả thuyết (H1–H6) bao phủ phi tuyến cơ bản, vai trò của TCI và DAI, vai trò của đặc điểm nhà quản trị, vai trò của thể chế ICRV, và dị biệt thời gian. Chương 3 sẽ trình bày thiết kế phương pháp và chiến lược kiểm định hệ giả thuyết này.</w:t>
      </w:r>
    </w:p>
    <w:p>
      <w:r>
        <w:br w:type="page"/>
      </w:r>
    </w:p>
    <w:bookmarkEnd w:id="80"/>
    <w:bookmarkEnd w:id="81"/>
    <w:bookmarkStart w:id="82" w:name="chương-3-phương-pháp-nghiên-cứu"/>
    <w:p>
      <w:pPr>
        <w:pStyle w:val="Heading1"/>
      </w:pPr>
      <w:r>
        <w:t xml:space="preserve">CHƯƠNG 3: PHƯƠNG PHÁP NGHIÊN CỨU</w:t>
      </w:r>
    </w:p>
    <w:bookmarkEnd w:id="82"/>
    <w:p>
      <w:r>
        <w:pict>
          <v:rect style="width:0;height:1.5pt" o:hralign="center" o:hrstd="t" o:hr="t"/>
        </w:pict>
      </w:r>
    </w:p>
    <w:bookmarkStart w:id="85" w:name="thiết-kế-nghiên-cứu-tổng-thể"/>
    <w:p>
      <w:pPr>
        <w:pStyle w:val="Heading2"/>
      </w:pPr>
      <w:r>
        <w:t xml:space="preserve">3.1 Thiết kế nghiên cứu tổng thể</w:t>
      </w:r>
    </w:p>
    <w:bookmarkStart w:id="83" w:name="loại-thiết-kế"/>
    <w:p>
      <w:pPr>
        <w:pStyle w:val="Heading3"/>
      </w:pPr>
      <w:r>
        <w:t xml:space="preserve">3.1.1 Loại thiết kế</w:t>
      </w:r>
    </w:p>
    <w:p>
      <w:pPr>
        <w:pStyle w:val="FirstParagraph"/>
      </w:pPr>
      <w:r>
        <w:t xml:space="preserve">Luận án sử dụng</w:t>
      </w:r>
      <w:r>
        <w:t xml:space="preserve"> </w:t>
      </w:r>
      <w:r>
        <w:rPr>
          <w:bCs/>
          <w:b/>
        </w:rPr>
        <w:t xml:space="preserve">mixed synthesis-empirical design</w:t>
      </w:r>
      <w:r>
        <w:t xml:space="preserve"> </w:t>
      </w:r>
      <w:r>
        <w:t xml:space="preserve">gồm hai phase bổ sung cho nhau. Phase thứ nhất là meta-analysis tổng hợp văn liệu để trả lời RQ1, còn phase thứ hai là phân tích thực nghiệm doanh nghiệp đa quốc gia để trả lời RQ2–RQ4. Hai phase đối thoại hai chiều: meta cung cấp baseline và gợi ý biến điều tiết cần kiểm định, còn empirical cung cấp bằng chứng bổ sung cho meta về bối cảnh châu Á và Pacific.</w:t>
      </w:r>
    </w:p>
    <w:p>
      <w:pPr>
        <w:pStyle w:val="BodyText"/>
      </w:pPr>
      <w:r>
        <w:rPr>
          <w:bCs/>
          <w:b/>
        </w:rPr>
        <w:t xml:space="preserve">Cơ sở kế thừa</w:t>
      </w:r>
      <w:r>
        <w:t xml:space="preserve">: Mixed design kết hợp meta và primary data đã được áp dụng trong quản trị chiến lược và IB (Borenstein et al., 2009; Hunter &amp; Schmidt, 2004; Combs et al., 2011).</w:t>
      </w:r>
    </w:p>
    <w:p>
      <w:pPr>
        <w:pStyle w:val="BodyText"/>
      </w:pPr>
      <w:r>
        <w:rPr>
          <w:bCs/>
          <w:b/>
        </w:rPr>
        <w:t xml:space="preserve">Đóng góp mới</w:t>
      </w:r>
      <w:r>
        <w:t xml:space="preserve">: Áp dụng mixed design cho một luận án duy nhất về internationalization–firm performance trong bối cảnh châu Á và Thái Bình Dương với</w:t>
      </w:r>
      <w:r>
        <w:t xml:space="preserve"> </w:t>
      </w:r>
      <w:r>
        <w:rPr>
          <w:bCs/>
          <w:b/>
        </w:rPr>
        <w:t xml:space="preserve">50 nền kinh tế</w:t>
      </w:r>
      <w:r>
        <w:t xml:space="preserve"> </w:t>
      </w:r>
      <w:r>
        <w:t xml:space="preserve">là thiết kế hiếm gặp; đa số các luận án IB chỉ làm một trong hai phase. Quy mô 50 nền kinh tế/88.869 doanh nghiệp là phạm vi địa lý lớn nhất từng có cho khu vực, mở rộng từ pool 17 nước trong nghiên cứu thành phần P1.</w:t>
      </w:r>
    </w:p>
    <w:bookmarkEnd w:id="83"/>
    <w:bookmarkStart w:id="84" w:name="quy-trình-nghiên-cứu"/>
    <w:p>
      <w:pPr>
        <w:pStyle w:val="Heading3"/>
      </w:pPr>
      <w:r>
        <w:t xml:space="preserve">3.1.2 Quy trình nghiên cứu</w:t>
      </w:r>
    </w:p>
    <w:p>
      <w:pPr>
        <w:pStyle w:val="FirstParagraph"/>
      </w:pPr>
      <w:r>
        <w:t xml:space="preserve">Quy trình đi theo sáu bước: (i) xác định khoảng trống nghiên cứu từ tổng quan và meta-analysis trước đây; (ii) xây dựng khung lý thuyết tích hợp đa tầng và hệ giả thuyết H1–H6; (iii) tiến hành meta-analysis cập nhật 1982–2026; (iv) thu thập và chuẩn hóa dữ liệu WBES cho</w:t>
      </w:r>
      <w:r>
        <w:t xml:space="preserve"> </w:t>
      </w:r>
      <w:r>
        <w:rPr>
          <w:bCs/>
          <w:b/>
        </w:rPr>
        <w:t xml:space="preserve">50 nền kinh tế châu Á và Thái Bình Dương</w:t>
      </w:r>
      <w:r>
        <w:t xml:space="preserve"> </w:t>
      </w:r>
      <w:r>
        <w:t xml:space="preserve">sau khi hòa hợp 3 thế hệ schema (PICS3, Standardized, BREADY/BEE); (v) ước lượng mô hình thực nghiệm theo bối cảnh quốc gia và đa quốc gia; (vi) kiểm định độ vững và tích hợp kết quả để đóng góp lý thuyết.</w:t>
      </w:r>
    </w:p>
    <w:bookmarkEnd w:id="84"/>
    <w:bookmarkEnd w:id="85"/>
    <w:bookmarkStart w:id="89" w:name="phase-1-meta-analysis-19822026"/>
    <w:p>
      <w:pPr>
        <w:pStyle w:val="Heading2"/>
      </w:pPr>
      <w:r>
        <w:t xml:space="preserve">3.2 Phase 1: Meta-analysis 1982–2026</w:t>
      </w:r>
    </w:p>
    <w:bookmarkStart w:id="86" w:name="cơ-sở-kế-thừa"/>
    <w:p>
      <w:pPr>
        <w:pStyle w:val="Heading3"/>
      </w:pPr>
      <w:r>
        <w:t xml:space="preserve">3.2.1 Cơ sở kế thừa</w:t>
      </w:r>
    </w:p>
    <w:p>
      <w:pPr>
        <w:pStyle w:val="FirstParagraph"/>
      </w:pPr>
      <w:r>
        <w:t xml:space="preserve">Meta-analysis trong IB đã được thiết lập vững chắc qua nhiều thập kỷ (Hunter &amp; Schmidt, 2004; Borenstein et al., 2009). Phương pháp chuẩn bao gồm: xây dựng inclusion criteria theo PRISMA (Page et al., 2021), chuyển dạng hiệu ứng bằng Fisher’s</w:t>
      </w:r>
      <w:r>
        <w:t xml:space="preserve"> </w:t>
      </w:r>
      <m:oMath>
        <m:r>
          <m:t>z</m:t>
        </m:r>
      </m:oMath>
      <w:r>
        <w:t xml:space="preserve">, tính pooled effect size theo random-effects, kiểm định heterogeneity bằng</w:t>
      </w:r>
      <w:r>
        <w:t xml:space="preserve"> </w:t>
      </w:r>
      <m:oMath>
        <m:r>
          <m:t>Q</m:t>
        </m:r>
      </m:oMath>
      <w:r>
        <w:t xml:space="preserve">-test và</w:t>
      </w:r>
      <w:r>
        <w:t xml:space="preserve"> </w:t>
      </w:r>
      <m:oMath>
        <m:sSup>
          <m:e>
            <m:r>
              <m:t>I</m:t>
            </m:r>
          </m:e>
          <m:sup>
            <m:r>
              <m:t>2</m:t>
            </m:r>
          </m:sup>
        </m:sSup>
      </m:oMath>
      <w:r>
        <w:t xml:space="preserve">, và đánh giá publication bias bằng Egger và Begg-Mazumdar (Egger et al., 1997; Begg &amp; Mazumdar, 1994). Các meta-analyses trước đây về I–P (Bausch &amp; Krist, 2007; Kirca et al., 2012; Marano et al., 2016; Wu et al., 2022; Arte &amp; Larimo, 2022) cung cấp quy trình mẫu mà luận án kế thừa và cập nhật.</w:t>
      </w:r>
    </w:p>
    <w:bookmarkEnd w:id="86"/>
    <w:bookmarkStart w:id="87" w:name="đóng-góp-mớiđiều-chỉnh"/>
    <w:p>
      <w:pPr>
        <w:pStyle w:val="Heading3"/>
      </w:pPr>
      <w:r>
        <w:t xml:space="preserve">3.2.2 Đóng góp mới/điều chỉnh</w:t>
      </w:r>
    </w:p>
    <w:p>
      <w:pPr>
        <w:numPr>
          <w:ilvl w:val="0"/>
          <w:numId w:val="1004"/>
        </w:numPr>
        <w:pStyle w:val="Compact"/>
      </w:pPr>
      <w:r>
        <w:rPr>
          <w:bCs/>
          <w:b/>
        </w:rPr>
        <w:t xml:space="preserve">Mở rộng coverage time</w:t>
      </w:r>
      <w:r>
        <w:t xml:space="preserve">: từ 1977–2022 (bài ICBEF 2025) sang</w:t>
      </w:r>
      <w:r>
        <w:t xml:space="preserve"> </w:t>
      </w:r>
      <w:r>
        <w:rPr>
          <w:bCs/>
          <w:b/>
        </w:rPr>
        <w:t xml:space="preserve">1982–2026</w:t>
      </w:r>
      <w:r>
        <w:t xml:space="preserve">, bổ sung các nghiên cứu 2023–2026 liên quan đến digital transformation và EMNEs.</w:t>
      </w:r>
    </w:p>
    <w:p>
      <w:pPr>
        <w:numPr>
          <w:ilvl w:val="0"/>
          <w:numId w:val="1004"/>
        </w:numPr>
        <w:pStyle w:val="Compact"/>
      </w:pPr>
      <w:r>
        <w:rPr>
          <w:bCs/>
          <w:b/>
        </w:rPr>
        <w:t xml:space="preserve">Mở rộng biến điều tiết coverage</w:t>
      </w:r>
      <w:r>
        <w:t xml:space="preserve">: thêm cụm biến điều tiết về digital capability và 6 sub-regime ICRV, chưa được xem xét đầy đủ trong các meta-analyses trước.</w:t>
      </w:r>
    </w:p>
    <w:p>
      <w:pPr>
        <w:numPr>
          <w:ilvl w:val="0"/>
          <w:numId w:val="1004"/>
        </w:numPr>
        <w:pStyle w:val="Compact"/>
      </w:pPr>
      <w:r>
        <w:rPr>
          <w:bCs/>
          <w:b/>
        </w:rPr>
        <w:t xml:space="preserve">Tập tổng hợp</w:t>
      </w:r>
      <w:r>
        <w:t xml:space="preserve">: K=288 effect sizes / k=238 nghiên cứu, được xây dựng theo chiến lược tìm kiếm hệ thống nhưng có giới hạn (citation-anchored: backward/forward citation từ 5 meta-analysis mỏ neo + bổ sung cơ sở dữ liệu), báo cáo theo biến thể PRISMA 2020</w:t>
      </w:r>
      <w:r>
        <w:t xml:space="preserve"> </w:t>
      </w:r>
      <w:r>
        <w:t xml:space="preserve">“</w:t>
      </w:r>
      <w:r>
        <w:t xml:space="preserve">studies identified via other methods</w:t>
      </w:r>
      <w:r>
        <w:t xml:space="preserve">”</w:t>
      </w:r>
      <w:r>
        <w:t xml:space="preserve">; mở rộng so với bản nền ICBEF 2025 (K=200 / k=113).</w:t>
      </w:r>
    </w:p>
    <w:p>
      <w:pPr>
        <w:numPr>
          <w:ilvl w:val="0"/>
          <w:numId w:val="1004"/>
        </w:numPr>
        <w:pStyle w:val="Compact"/>
      </w:pPr>
      <w:r>
        <w:rPr>
          <w:bCs/>
          <w:b/>
        </w:rPr>
        <w:t xml:space="preserve">Subgroup theo châu Á và Pacific</w:t>
      </w:r>
      <w:r>
        <w:t xml:space="preserve">: tách riêng nhóm nghiên cứu về doanh nghiệp châu Á và Pacific để cung cấp baseline trực tiếp cho phase empirical, đối chiếu với pool 17 nước trong nghiên cứu thành phần P1.</w:t>
      </w:r>
    </w:p>
    <w:bookmarkEnd w:id="87"/>
    <w:bookmarkStart w:id="88" w:name="quy-trình-prisma"/>
    <w:p>
      <w:pPr>
        <w:pStyle w:val="Heading3"/>
      </w:pPr>
      <w:r>
        <w:t xml:space="preserve">3.2.3 Quy trình PRISMA</w:t>
      </w:r>
    </w:p>
    <w:p>
      <w:pPr>
        <w:pStyle w:val="FirstParagraph"/>
      </w:pPr>
      <w:r>
        <w:t xml:space="preserve">Identification, Screening, Eligibility, Inclusion theo hướng dẫn PRISMA 2020 (Page et al., 2021). Inclusion criteria: nghiên cứu thực nghiệm ở cấp doanh nghiệp, có đo lường internationalization và firm performance, có đủ thống kê để tính effect size (Pearson</w:t>
      </w:r>
      <w:r>
        <w:t xml:space="preserve"> </w:t>
      </w:r>
      <m:oMath>
        <m:r>
          <m:t>r</m:t>
        </m:r>
      </m:oMath>
      <w:r>
        <w:t xml:space="preserve">,</w:t>
      </w:r>
      <w:r>
        <w:t xml:space="preserve"> </w:t>
      </w:r>
      <m:oMath>
        <m:r>
          <m:t>β</m:t>
        </m:r>
      </m:oMath>
      <w:r>
        <w:t xml:space="preserve">,</w:t>
      </w:r>
      <w:r>
        <w:t xml:space="preserve"> </w:t>
      </w:r>
      <m:oMath>
        <m:r>
          <m:t>t</m:t>
        </m:r>
      </m:oMath>
      <w:r>
        <w:t xml:space="preserve">-stat).</w:t>
      </w:r>
    </w:p>
    <w:bookmarkEnd w:id="88"/>
    <w:bookmarkEnd w:id="89"/>
    <w:bookmarkStart w:id="98" w:name="X8de0b19c054d402e314fef9726425749df3fc18"/>
    <w:p>
      <w:pPr>
        <w:pStyle w:val="Heading2"/>
      </w:pPr>
      <w:r>
        <w:t xml:space="preserve">3.3 Phase 2: Phân tích thực nghiệm đa quốc gia</w:t>
      </w:r>
    </w:p>
    <w:bookmarkStart w:id="90" w:name="nguồn-dữ-liệu"/>
    <w:p>
      <w:pPr>
        <w:pStyle w:val="Heading3"/>
      </w:pPr>
      <w:r>
        <w:t xml:space="preserve">3.3.1 Nguồn dữ liệu</w:t>
      </w:r>
    </w:p>
    <w:p>
      <w:pPr>
        <w:pStyle w:val="FirstParagraph"/>
      </w:pPr>
      <w:r>
        <w:t xml:space="preserve">Luận án sử dụng World Bank Enterprise Surveys cho</w:t>
      </w:r>
      <w:r>
        <w:t xml:space="preserve"> </w:t>
      </w:r>
      <w:r>
        <w:rPr>
          <w:bCs/>
          <w:b/>
        </w:rPr>
        <w:t xml:space="preserve">50 nền kinh tế châu Á và Thái Bình Dương</w:t>
      </w:r>
      <w:r>
        <w:t xml:space="preserve"> </w:t>
      </w:r>
      <w:r>
        <w:t xml:space="preserve">trong giai đoạn</w:t>
      </w:r>
      <w:r>
        <w:t xml:space="preserve"> </w:t>
      </w:r>
      <w:r>
        <w:rPr>
          <w:bCs/>
          <w:b/>
        </w:rPr>
        <w:t xml:space="preserve">2003–2025</w:t>
      </w:r>
      <w:r>
        <w:t xml:space="preserve"> </w:t>
      </w:r>
      <w:r>
        <w:t xml:space="preserve">(88.869 doanh nghiệp trong khung phân tích, 103 cặp nền kinh tế và năm; bao gồm Nhật Bản 2025; pool phân loại ICRV 96.415 doanh nghiệp/52 nhãn nền) (World Bank, n.d., 2019, 2023, 2026). WBES là bộ dữ liệu doanh nghiệp chuẩn hóa, phù hợp cho nghiên cứu so sánh đa quốc gia về firm-level outcomes (Aterido et al., 2011). Quy trình hợp nhất và hài hòa hóa chi tiết các bộ khảo sát quốc gia–năm thành bộ dữ liệu phân tích thống nhất (sáu bước S1–S6, xử lý tính so sánh tiền tệ, chiến lược pooled cross-section với hiệu ứng cố định hai chiều, cùng dòng dữ liệu PRISMA và mã tái lập) được trình bày đầy đủ ở</w:t>
      </w:r>
      <w:r>
        <w:t xml:space="preserve"> </w:t>
      </w:r>
      <w:r>
        <w:rPr>
          <w:bCs/>
          <w:b/>
        </w:rPr>
        <w:t xml:space="preserve">Phụ lục A</w:t>
      </w:r>
      <w:r>
        <w:t xml:space="preserve">.</w:t>
      </w:r>
    </w:p>
    <w:p>
      <w:pPr>
        <w:pStyle w:val="BodyText"/>
      </w:pPr>
      <w:r>
        <w:rPr>
          <w:bCs/>
          <w:b/>
        </w:rPr>
        <w:t xml:space="preserve">Cơ sở kế thừa</w:t>
      </w:r>
      <w:r>
        <w:t xml:space="preserve">: WBES đã được sử dụng rộng rãi trong nghiên cứu IB về emerging markets (Ayyagari et al., 2011; Cuervo-Cazurra et al., 2018; Chen &amp; Meng, 2022), đồng thời đã được sử dụng trong bài nghiên cứu thực trạng emerging Asia với 17 nền kinh tế và ~40.633 quan sát doanh nghiệp (nghiên cứu thành phần P1).</w:t>
      </w:r>
    </w:p>
    <w:p>
      <w:pPr>
        <w:pStyle w:val="BodyText"/>
      </w:pPr>
      <w:r>
        <w:rPr>
          <w:bCs/>
          <w:b/>
        </w:rPr>
        <w:t xml:space="preserve">Đóng góp mới</w:t>
      </w:r>
      <w:r>
        <w:t xml:space="preserve">: mở rộng quy mô từ 17 sang</w:t>
      </w:r>
      <w:r>
        <w:t xml:space="preserve"> </w:t>
      </w:r>
      <w:r>
        <w:rPr>
          <w:bCs/>
          <w:b/>
        </w:rPr>
        <w:t xml:space="preserve">50 nền kinh tế châu Á và Thái Bình Dương</w:t>
      </w:r>
      <w:r>
        <w:t xml:space="preserve">, với 6 sub-regime ICRV (Advanced innovation-driven, Advanced resource-driven, Upper-middle, Lower-middle transition, Emerging, SIDS). Quy mô này là lớn nhất cho khu vực trong văn liệu internationalization–performance, gồm cả boundary case Pacific SIDS (7 nước, n=959 (mẫu phân tích sau lọc missing)) cho phép kiểm định forced internationalization penalty (nghiên cứu thành phần P8).</w:t>
      </w:r>
    </w:p>
    <w:p>
      <w:pPr>
        <w:pStyle w:val="BlockText"/>
      </w:pPr>
      <w:r>
        <w:rPr>
          <w:bCs/>
          <w:b/>
        </w:rPr>
        <w:t xml:space="preserve">Ghi chú về trọng số khảo sát (survey sampling weights):</w:t>
      </w:r>
      <w:r>
        <w:t xml:space="preserve"> </w:t>
      </w:r>
      <w:r>
        <w:t xml:space="preserve">WBES cung cấp sampling weights để đại diện cho tổng thể doanh nghiệp trong từng quốc gia. Tuy nhiên, luận án</w:t>
      </w:r>
      <w:r>
        <w:t xml:space="preserve"> </w:t>
      </w:r>
      <w:r>
        <w:rPr>
          <w:iCs/>
          <w:i/>
        </w:rPr>
        <w:t xml:space="preserve">không áp dụng sampling weights</w:t>
      </w:r>
      <w:r>
        <w:t xml:space="preserve"> </w:t>
      </w:r>
      <w:r>
        <w:t xml:space="preserve">trong ước lượng mô hình hồi quy vì ba lý do: (1) Mục tiêu của luận án là kiểm định cơ chế lý thuyết (mechanism testing) chứ không phải ước lượng mô tả đại diện tổng thể (population-representative descriptive estimation), trong bối cảnh này, không áp dụng weights là thực hành chuẩn trong văn liệu IB sử dụng WBES (Aterido et al., 2011; Cuervo-Cazurra et al., 2018); (2) Fixed effects ở cấp country-year đã kiểm soát đặc điểm cấu trúc của từng sóng khảo sát; (3) Việc áp dụng weights có thể làm sai lệch ước lượng khi mẫu được gộp chung từ nhiều quốc gia có quy mô tổng thể doanh nghiệp khác nhau nhiều bậc (ví dụ: Trung Quốc ~100 triệu so với Tonga ~500 doanh nghiệp). Phân tích độ nhạy có áp dụng survey weights cho từng quốc gia riêng lẻ (P3/P4/P5) không thay đổi hướng hoặc mức độ ý nghĩa của các hệ số chính (xem §3.5).</w:t>
      </w:r>
    </w:p>
    <w:bookmarkEnd w:id="90"/>
    <w:bookmarkStart w:id="91" w:name="Xbff20786659f3471473d6f5f9041e850d60d8e2"/>
    <w:p>
      <w:pPr>
        <w:pStyle w:val="Heading3"/>
      </w:pPr>
      <w:r>
        <w:t xml:space="preserve">3.3.2 Đo lường biến phụ thuộc: Hiệu quả hoạt động</w:t>
      </w:r>
    </w:p>
    <w:p>
      <w:pPr>
        <w:pStyle w:val="FirstParagraph"/>
      </w:pPr>
      <w:r>
        <w:rPr>
          <w:bCs/>
          <w:b/>
        </w:rPr>
        <w:t xml:space="preserve">Biến chính</w:t>
      </w:r>
      <w:r>
        <w:t xml:space="preserve">: Labor productivity đo bằng</w:t>
      </w:r>
      <w:r>
        <w:t xml:space="preserve"> </w:t>
      </w:r>
      <m:oMath>
        <m:r>
          <m:rPr>
            <m:sty m:val="p"/>
          </m:rPr>
          <m:t>ln</m:t>
        </m:r>
        <m:d>
          <m:dPr>
            <m:begChr m:val="("/>
            <m:endChr m:val=")"/>
            <m:sepChr m:val=""/>
            <m:grow/>
          </m:dPr>
          <m:e>
            <m:r>
              <m:rPr>
                <m:nor/>
                <m:sty m:val="p"/>
              </m:rPr>
              <m:t>annual sales</m:t>
            </m:r>
            <m:r>
              <m:rPr>
                <m:sty m:val="p"/>
              </m:rPr>
              <m:t>/</m:t>
            </m:r>
            <m:r>
              <m:rPr>
                <m:nor/>
                <m:sty m:val="p"/>
              </m:rPr>
              <m:t>permanent full-time employees</m:t>
            </m:r>
          </m:e>
        </m:d>
      </m:oMath>
      <w:r>
        <w:t xml:space="preserve">.</w:t>
      </w:r>
    </w:p>
    <w:p>
      <w:pPr>
        <w:pStyle w:val="BodyText"/>
      </w:pPr>
      <w:r>
        <w:rPr>
          <w:bCs/>
          <w:b/>
        </w:rPr>
        <w:t xml:space="preserve">Cơ sở kế thừa</w:t>
      </w:r>
      <w:r>
        <w:t xml:space="preserve">: Labor productivity được sử dụng rộng rãi trong nghiên cứu WBES và trong văn liệu về firm productivity (Bloom et al., 2012; Hsieh &amp; Klenow, 2009). Chỉ tiêu này đã được vận hành hóa thành công trong bài thực trạng emerging Asia (nghiên cứu thành phần P1).</w:t>
      </w:r>
    </w:p>
    <w:p>
      <w:pPr>
        <w:pStyle w:val="BodyText"/>
      </w:pPr>
      <w:r>
        <w:rPr>
          <w:bCs/>
          <w:b/>
        </w:rPr>
        <w:t xml:space="preserve">Lập luận chọn</w:t>
      </w:r>
      <w:r>
        <w:t xml:space="preserve">: WBES không phải bộ financial statement đầy đủ, nên labor productivity phù hợp hơn ROA/ROE/ROS trong bối cảnh đa quốc gia. Ngoài ra, labor productivity ít bị ảnh hưởng bởi chuẩn mực kế toán khác biệt giữa các nước hơn so với các chỉ tiêu kế toán (Combs et al., 2005; Richard et al., 2009).</w:t>
      </w:r>
    </w:p>
    <w:p>
      <w:pPr>
        <w:pStyle w:val="BodyText"/>
      </w:pPr>
      <w:r>
        <w:rPr>
          <w:bCs/>
          <w:b/>
        </w:rPr>
        <w:t xml:space="preserve">Nhất quán đo lường xuyên các nghiên cứu thành phần và điều kiện so sánh tiền tệ</w:t>
      </w:r>
      <w:r>
        <w:t xml:space="preserve">: cùng một construct</w:t>
      </w:r>
      <w:r>
        <w:t xml:space="preserve"> </w:t>
      </w:r>
      <m:oMath>
        <m:r>
          <m:rPr>
            <m:sty m:val="p"/>
          </m:rPr>
          <m:t>ln</m:t>
        </m:r>
        <m:d>
          <m:dPr>
            <m:begChr m:val="("/>
            <m:endChr m:val=")"/>
            <m:sepChr m:val=""/>
            <m:grow/>
          </m:dPr>
          <m:e>
            <m:r>
              <m:rPr>
                <m:nor/>
                <m:sty m:val="p"/>
              </m:rPr>
              <m:t>LP</m:t>
            </m:r>
          </m:e>
        </m:d>
      </m:oMath>
      <w:r>
        <w:t xml:space="preserve"> </w:t>
      </w:r>
      <w:r>
        <w:t xml:space="preserve">từ trường WBES d2/l1 được dùng thống nhất ở P3, P4, P5 và P7, nhưng cách xử lý đơn vị tiền tệ khác nhau</w:t>
      </w:r>
      <w:r>
        <w:t xml:space="preserve"> </w:t>
      </w:r>
      <w:r>
        <w:rPr>
          <w:bCs/>
          <w:b/>
        </w:rPr>
        <w:t xml:space="preserve">theo đúng bản chất thiết kế</w:t>
      </w:r>
      <w:r>
        <w:t xml:space="preserve"> </w:t>
      </w:r>
      <w:r>
        <w:t xml:space="preserve">của từng nghiên cứu: (i) các nghiên cứu</w:t>
      </w:r>
      <w:r>
        <w:t xml:space="preserve"> </w:t>
      </w:r>
      <w:r>
        <w:rPr>
          <w:bCs/>
          <w:b/>
        </w:rPr>
        <w:t xml:space="preserve">đơn quốc gia</w:t>
      </w:r>
      <w:r>
        <w:t xml:space="preserve"> </w:t>
      </w:r>
      <w:r>
        <w:t xml:space="preserve">(P3 Việt Nam, P4 Singapore, P5 Trung Quốc, P9 Ấn Độ) đo doanh thu bằng</w:t>
      </w:r>
      <w:r>
        <w:t xml:space="preserve"> </w:t>
      </w:r>
      <w:r>
        <w:rPr>
          <w:bCs/>
          <w:b/>
        </w:rPr>
        <w:t xml:space="preserve">một nội tệ duy nhất</w:t>
      </w:r>
      <w:r>
        <w:t xml:space="preserve"> </w:t>
      </w:r>
      <w:r>
        <w:t xml:space="preserve">nên mức</w:t>
      </w:r>
      <w:r>
        <w:t xml:space="preserve"> </w:t>
      </w:r>
      <m:oMath>
        <m:r>
          <m:rPr>
            <m:sty m:val="p"/>
          </m:rPr>
          <m:t>ln</m:t>
        </m:r>
        <m:d>
          <m:dPr>
            <m:begChr m:val="("/>
            <m:endChr m:val=")"/>
            <m:sepChr m:val=""/>
            <m:grow/>
          </m:dPr>
          <m:e>
            <m:r>
              <m:rPr>
                <m:nor/>
                <m:sty m:val="p"/>
              </m:rPr>
              <m:t>LP</m:t>
            </m:r>
          </m:e>
        </m:d>
      </m:oMath>
      <w:r>
        <w:t xml:space="preserve"> </w:t>
      </w:r>
      <w:r>
        <w:t xml:space="preserve">so sánh được trực tiếp trong nội bộ mẫu; khác biệt mặt bằng giá giữa các đợt khảo sát được hấp thụ bằng biến giả đợt/hiệu ứng cố định năm (P5:</w:t>
      </w:r>
      <w:r>
        <w:t xml:space="preserve"> </w:t>
      </w:r>
      <m:oMath>
        <m:sSub>
          <m:e>
            <m:r>
              <m:t>D</m:t>
            </m:r>
          </m:e>
          <m:sub>
            <m:r>
              <m:t>2024</m:t>
            </m:r>
          </m:sub>
        </m:sSub>
      </m:oMath>
      <w:r>
        <w:t xml:space="preserve">; P3 bổ sung hiệu chỉnh PPP cho khoảng cách 14 năm 2009–2023), kèm winsorize 1%/99% (P4); (ii) nghiên cứu</w:t>
      </w:r>
      <w:r>
        <w:t xml:space="preserve"> </w:t>
      </w:r>
      <w:r>
        <w:rPr>
          <w:bCs/>
          <w:b/>
        </w:rPr>
        <w:t xml:space="preserve">đa quốc gia</w:t>
      </w:r>
      <w:r>
        <w:t xml:space="preserve"> </w:t>
      </w:r>
      <w:r>
        <w:t xml:space="preserve">(P7) gộp doanh thu bằng</w:t>
      </w:r>
      <w:r>
        <w:t xml:space="preserve"> </w:t>
      </w:r>
      <w:r>
        <w:rPr>
          <w:bCs/>
          <w:b/>
        </w:rPr>
        <w:t xml:space="preserve">nhiều nội tệ</w:t>
      </w:r>
      <w:r>
        <w:t xml:space="preserve">, do đó mức</w:t>
      </w:r>
      <w:r>
        <w:t xml:space="preserve"> </w:t>
      </w:r>
      <m:oMath>
        <m:r>
          <m:rPr>
            <m:sty m:val="p"/>
          </m:rPr>
          <m:t>ln</m:t>
        </m:r>
        <m:d>
          <m:dPr>
            <m:begChr m:val="("/>
            <m:endChr m:val=")"/>
            <m:sepChr m:val=""/>
            <m:grow/>
          </m:dPr>
          <m:e>
            <m:r>
              <m:rPr>
                <m:nor/>
                <m:sty m:val="p"/>
              </m:rPr>
              <m:t>LP</m:t>
            </m:r>
          </m:e>
        </m:d>
      </m:oMath>
      <w:r>
        <w:t xml:space="preserve"> </w:t>
      </w:r>
      <w:r>
        <w:t xml:space="preserve">thô không so sánh được giữa các nước, tính so sánh được bảo đảm bằng chuẩn hóa z within country–year và hiệu ứng cố định hai chiều, như trình bày chi tiết ở Phụ lục A (§A.5); mọi so sánh</w:t>
      </w:r>
      <w:r>
        <w:t xml:space="preserve"> </w:t>
      </w:r>
      <w:r>
        <w:rPr>
          <w:bCs/>
          <w:b/>
        </w:rPr>
        <w:t xml:space="preserve">mức</w:t>
      </w:r>
      <w:r>
        <w:t xml:space="preserve"> </w:t>
      </w:r>
      <w:r>
        <w:t xml:space="preserve">xuyên quốc gia trong luận án dùng tỷ suất không thứ nguyên (ROS) hoặc giá trị đã hiệu chỉnh PPP. Như vậy tính so sánh xuyên quốc gia của thước đo là</w:t>
      </w:r>
      <w:r>
        <w:t xml:space="preserve"> </w:t>
      </w:r>
      <w:r>
        <w:rPr>
          <w:bCs/>
          <w:b/>
        </w:rPr>
        <w:t xml:space="preserve">có điều kiện</w:t>
      </w:r>
      <w:r>
        <w:t xml:space="preserve">, đạt được qua thiết kế ước lượng, không phải tự động ở mức thô. Về phía biến quốc tế hóa, khung ước lượng đa quốc gia của luận án (P7, P8, P9) và thống kê mô tả ở Chuyên đề 1 đo FSTS bằng</w:t>
      </w:r>
      <w:r>
        <w:t xml:space="preserve"> </w:t>
      </w:r>
      <w:r>
        <w:rPr>
          <w:bCs/>
          <w:b/>
        </w:rPr>
        <w:t xml:space="preserve">tổng xuất khẩu trực tiếp và gián tiếp</w:t>
      </w:r>
      <w:r>
        <w:t xml:space="preserve"> </w:t>
      </w:r>
      <w:r>
        <w:t xml:space="preserve">(trường WBES d3b + d3c), định nghĩa tham gia xuất khẩu chuẩn của bộ công cụ WBES; hai nghiên cứu đơn quốc gia (P3 Việt Nam, P5 Trung Quốc) dùng</w:t>
      </w:r>
      <w:r>
        <w:t xml:space="preserve"> </w:t>
      </w:r>
      <w:r>
        <w:rPr>
          <w:bCs/>
          <w:b/>
        </w:rPr>
        <w:t xml:space="preserve">riêng xuất khẩu trực tiếp</w:t>
      </w:r>
      <w:r>
        <w:t xml:space="preserve"> </w:t>
      </w:r>
      <w:r>
        <w:t xml:space="preserve">(d3c), vì xuất khẩu gián tiếp ủy thác chức năng quốc tế hóa cho trung gian thương mại với cơ chế học hỏi và yêu cầu nguồn lực khác về bản chất (Hessels &amp; Terjesen, 2010; Peng &amp; Ilinitch, 1998), trong khi tỷ trọng doanh thu xuất khẩu là thước đo cường độ quốc tế hóa chuẩn của văn liệu I–P (Lu &amp; Beamish, 2001; Sullivan, 1994); lựa chọn thao tác hóa được ghi rõ trong phần dữ liệu của từng nghiên cứu thành phần.</w:t>
      </w:r>
    </w:p>
    <w:p>
      <w:pPr>
        <w:pStyle w:val="BodyText"/>
      </w:pPr>
      <w:r>
        <w:rPr>
          <w:bCs/>
          <w:b/>
        </w:rPr>
        <w:t xml:space="preserve">Biến độ vững</w:t>
      </w:r>
      <w:r>
        <w:t xml:space="preserve">: ROS, sales growth, employment growth,</w:t>
      </w:r>
      <w:r>
        <w:t xml:space="preserve"> </w:t>
      </w:r>
      <m:oMath>
        <m:r>
          <m:rPr>
            <m:sty m:val="p"/>
          </m:rPr>
          <m:t>ln</m:t>
        </m:r>
      </m:oMath>
      <w:r>
        <w:t xml:space="preserve">(annual sales).</w:t>
      </w:r>
    </w:p>
    <w:p>
      <w:pPr>
        <w:pStyle w:val="BodyText"/>
      </w:pPr>
      <w:r>
        <w:rPr>
          <w:bCs/>
          <w:b/>
        </w:rPr>
        <w:t xml:space="preserve">Đóng góp mới</w:t>
      </w:r>
      <w:r>
        <w:t xml:space="preserve">: lập luận rõ ràng về firm performance là khái niệm đa chiều và việc lựa chọn thước đo phải phù hợp với bối cảnh dữ liệu (xem Chương 2).</w:t>
      </w:r>
    </w:p>
    <w:bookmarkEnd w:id="91"/>
    <w:bookmarkStart w:id="92" w:name="đo-lường-biến-độc-lập-quốc-tế-hóa"/>
    <w:p>
      <w:pPr>
        <w:pStyle w:val="Heading3"/>
      </w:pPr>
      <w:r>
        <w:t xml:space="preserve">3.3.3 Đo lường biến độc lập: Quốc tế hóa</w:t>
      </w:r>
    </w:p>
    <w:p>
      <w:pPr>
        <w:pStyle w:val="FirstParagraph"/>
      </w:pPr>
      <w:r>
        <w:rPr>
          <w:bCs/>
          <w:b/>
        </w:rPr>
        <w:t xml:space="preserve">Biến chính</w:t>
      </w:r>
      <w:r>
        <w:t xml:space="preserve">: Foreign Sales To Total Sales (FSTS), đo bằng tỷ lệ doanh thu xuất khẩu trên tổng doanh thu. Mô hình có cả</w:t>
      </w:r>
      <w:r>
        <w:t xml:space="preserve"> </w:t>
      </w:r>
      <m:oMath>
        <m:r>
          <m:t>F</m:t>
        </m:r>
        <m:r>
          <m:t>S</m:t>
        </m:r>
        <m:r>
          <m:t>T</m:t>
        </m:r>
        <m:r>
          <m:t>S</m:t>
        </m:r>
      </m:oMath>
      <w:r>
        <w:t xml:space="preserve">,</w:t>
      </w:r>
      <w:r>
        <w:t xml:space="preserve"> </w:t>
      </w:r>
      <m:oMath>
        <m:r>
          <m:t>F</m:t>
        </m:r>
        <m:r>
          <m:t>S</m:t>
        </m:r>
        <m:r>
          <m:t>T</m:t>
        </m:r>
        <m:sSup>
          <m:e>
            <m:r>
              <m:t>S</m:t>
            </m:r>
          </m:e>
          <m:sup>
            <m:r>
              <m:t>2</m:t>
            </m:r>
          </m:sup>
        </m:sSup>
      </m:oMath>
      <w:r>
        <w:t xml:space="preserve">, và</w:t>
      </w:r>
      <w:r>
        <w:t xml:space="preserve"> </w:t>
      </w:r>
      <m:oMath>
        <m:r>
          <m:t>F</m:t>
        </m:r>
        <m:r>
          <m:t>S</m:t>
        </m:r>
        <m:r>
          <m:t>T</m:t>
        </m:r>
        <m:sSup>
          <m:e>
            <m:r>
              <m:t>S</m:t>
            </m:r>
          </m:e>
          <m:sup>
            <m:r>
              <m:t>3</m:t>
            </m:r>
          </m:sup>
        </m:sSup>
      </m:oMath>
      <w:r>
        <w:t xml:space="preserve"> </w:t>
      </w:r>
      <w:r>
        <w:t xml:space="preserve">để kiểm định phi tuyến S-curve / cubic.</w:t>
      </w:r>
    </w:p>
    <w:p>
      <w:pPr>
        <w:pStyle w:val="BodyText"/>
      </w:pPr>
      <w:r>
        <w:rPr>
          <w:bCs/>
          <w:b/>
        </w:rPr>
        <w:t xml:space="preserve">Cơ sở kế thừa</w:t>
      </w:r>
      <w:r>
        <w:t xml:space="preserve">: FSTS là thước đo internationalization phổ biến nhất trong I–P văn liệu (Sullivan, 1994; Hitt et al., 2006). Việc bổ sung</w:t>
      </w:r>
      <w:r>
        <w:t xml:space="preserve"> </w:t>
      </w:r>
      <m:oMath>
        <m:r>
          <m:t>F</m:t>
        </m:r>
        <m:r>
          <m:t>S</m:t>
        </m:r>
        <m:r>
          <m:t>T</m:t>
        </m:r>
        <m:sSup>
          <m:e>
            <m:r>
              <m:t>S</m:t>
            </m:r>
          </m:e>
          <m:sup>
            <m:r>
              <m:t>2</m:t>
            </m:r>
          </m:sup>
        </m:sSup>
      </m:oMath>
      <w:r>
        <w:t xml:space="preserve"> </w:t>
      </w:r>
      <w:r>
        <w:t xml:space="preserve">để kiểm định phi tuyến đã được áp dụng trong Lu và Beamish (2004), Contractor et al. (2003), và Hitt et al. (1997). Specification cubic được nghiên cứu thành phần P2 xác nhận có ý nghĩa thống kê ở Trung Quốc với điểm uốn ~47,8% FSTS, làm baseline cho việc kiểm định mở rộng trong luận án.</w:t>
      </w:r>
    </w:p>
    <w:bookmarkEnd w:id="92"/>
    <w:bookmarkStart w:id="96" w:name="đo-lường-biến-điều-tiết"/>
    <w:p>
      <w:pPr>
        <w:pStyle w:val="Heading3"/>
      </w:pPr>
      <w:r>
        <w:t xml:space="preserve">3.3.4 Đo lường biến điều tiết</w:t>
      </w:r>
    </w:p>
    <w:bookmarkStart w:id="93" w:name="digital-constructs-tci-và-dai"/>
    <w:p>
      <w:pPr>
        <w:pStyle w:val="Heading4"/>
      </w:pPr>
      <w:r>
        <w:t xml:space="preserve">Digital constructs (TCI và DAI)</w:t>
      </w:r>
    </w:p>
    <w:p>
      <w:pPr>
        <w:pStyle w:val="FirstParagraph"/>
      </w:pPr>
      <w:r>
        <w:t xml:space="preserve">Luận án phân biệt rõ hai construct:</w:t>
      </w:r>
    </w:p>
    <w:p>
      <w:pPr>
        <w:numPr>
          <w:ilvl w:val="0"/>
          <w:numId w:val="1005"/>
        </w:numPr>
        <w:pStyle w:val="Compact"/>
      </w:pPr>
      <w:r>
        <w:rPr>
          <w:bCs/>
          <w:b/>
        </w:rPr>
        <w:t xml:space="preserve">Technological Capability Index (TCI)</w:t>
      </w:r>
      <w:r>
        <w:t xml:space="preserve">: chiều sâu năng lực công nghệ, tổng hợp từ foreign technology licensing, R&amp;D spending, product innovation, và quality certification.</w:t>
      </w:r>
    </w:p>
    <w:p>
      <w:pPr>
        <w:numPr>
          <w:ilvl w:val="0"/>
          <w:numId w:val="1005"/>
        </w:numPr>
        <w:pStyle w:val="Compact"/>
      </w:pPr>
      <w:r>
        <w:rPr>
          <w:bCs/>
          <w:b/>
        </w:rPr>
        <w:t xml:space="preserve">Digital Adoption Index (DAI)</w:t>
      </w:r>
      <w:r>
        <w:t xml:space="preserve">: mức độ chấp nhận số bề mặt, tổng hợp từ website, email, online sales (DAI_thin) hoặc bổ sung e-payment và e-supplier (DAI_rich).</w:t>
      </w:r>
    </w:p>
    <w:p>
      <w:pPr>
        <w:pStyle w:val="FirstParagraph"/>
      </w:pPr>
      <w:r>
        <w:rPr>
          <w:bCs/>
          <w:b/>
        </w:rPr>
        <w:t xml:space="preserve">Nguyên tắc non-overlapping</w:t>
      </w:r>
      <w:r>
        <w:t xml:space="preserve">: TCI và DAI không được chia sẻ component để bảo đảm construct purity. Đặc biệt, foreign technology licensing thuộc TCI chứ không được đồng thời tính vào DAI.</w:t>
      </w:r>
    </w:p>
    <w:p>
      <w:pPr>
        <w:pStyle w:val="BodyText"/>
      </w:pPr>
      <w:r>
        <w:rPr>
          <w:bCs/>
          <w:b/>
        </w:rPr>
        <w:t xml:space="preserve">Cơ sở kế thừa</w:t>
      </w:r>
      <w:r>
        <w:t xml:space="preserve">: Bhandari et al. (2023) phân biệt digitalization, internationalization và capability theo resource-orchestration logic; Verhoef et al. (2021) phân biệt three stages (digitization, digitalization, digital transformation). Pattern</w:t>
      </w:r>
      <w:r>
        <w:t xml:space="preserve"> </w:t>
      </w:r>
      <w:r>
        <w:t xml:space="preserve">“</w:t>
      </w:r>
      <w:r>
        <w:t xml:space="preserve">digital shield effect</w:t>
      </w:r>
      <w:r>
        <w:t xml:space="preserve">”</w:t>
      </w:r>
      <w:r>
        <w:t xml:space="preserve"> </w:t>
      </w:r>
      <w:r>
        <w:t xml:space="preserve">được nghiên cứu thành phần P1 phát hiện trên 17 nước châu Á mới nổi.</w:t>
      </w:r>
    </w:p>
    <w:p>
      <w:pPr>
        <w:pStyle w:val="BodyText"/>
      </w:pPr>
      <w:r>
        <w:rPr>
          <w:bCs/>
          <w:b/>
        </w:rPr>
        <w:t xml:space="preserve">Đóng góp mới</w:t>
      </w:r>
      <w:r>
        <w:t xml:space="preserve">: Đưa ra</w:t>
      </w:r>
      <w:r>
        <w:t xml:space="preserve"> </w:t>
      </w:r>
      <w:r>
        <w:rPr>
          <w:bCs/>
          <w:b/>
        </w:rPr>
        <w:t xml:space="preserve">measurement harmonization protocol</w:t>
      </w:r>
      <w:r>
        <w:t xml:space="preserve"> </w:t>
      </w:r>
      <w:r>
        <w:t xml:space="preserve">trong bối cảnh WBES, đảm bảo construct purity ở 50 nền kinh tế châu Á và Thái Bình Dương, với pipeline hòa hợp 3 thế hệ schema. Phân tách TCI và DAI theo (i) Bharadwaj et al. (2013), IT capability vs digital business strategy có nomological nets khác nhau; (ii) phân tầng 3 cấp của Verhoef et al. (2021), digitization, digitalization, digital transformation; (iii) truyền thống Lall (1992) và Cohen &amp; Levinthal (1990) coi technological capability là chiều sâu năng lực nội tại (absorptive capacity), khác về bản chất với digital adoption ở giao diện ngoại tại; (iv) resource-orchestration logic của Bhandari et al. (2023) cho I–P relationship; và (v) 4 tiêu chí formative composite của Coltman et al. (2008), đảm bảo TCI và DAI là hai composite độc lập.</w:t>
      </w:r>
    </w:p>
    <w:bookmarkEnd w:id="93"/>
    <w:bookmarkStart w:id="94" w:name="biến-thể-chế"/>
    <w:p>
      <w:pPr>
        <w:pStyle w:val="Heading4"/>
      </w:pPr>
      <w:r>
        <w:t xml:space="preserve">Biến thể chế</w:t>
      </w:r>
    </w:p>
    <w:p>
      <w:pPr>
        <w:pStyle w:val="FirstParagraph"/>
      </w:pPr>
      <w:r>
        <w:rPr>
          <w:bCs/>
          <w:b/>
        </w:rPr>
        <w:t xml:space="preserve">Biến chính</w:t>
      </w:r>
      <w:r>
        <w:t xml:space="preserve">: business obstacle index (tổng hợp từ các câu hỏi WBES về obstacles), country-level governance proxies, chỉ số pháp quyền WGI (Kaufmann et al., 2011), 6 sub-regime ICRV (classification từ Khanna &amp; Palepu, 2010 mở rộng).</w:t>
      </w:r>
    </w:p>
    <w:p>
      <w:pPr>
        <w:pStyle w:val="BodyText"/>
      </w:pPr>
      <w:r>
        <w:rPr>
          <w:bCs/>
          <w:b/>
        </w:rPr>
        <w:t xml:space="preserve">Cơ sở kế thừa</w:t>
      </w:r>
      <w:r>
        <w:t xml:space="preserve">: Khanna và Palepu (2010) với institutional voids; North (1990) với institutional analysis; Marano et al. (2016) với meta-analytic evidence về institutional các biến điều tiết.</w:t>
      </w:r>
    </w:p>
    <w:bookmarkEnd w:id="94"/>
    <w:bookmarkStart w:id="95" w:name="đặc-điểm-nhà-quản-trị-cấp-cao"/>
    <w:p>
      <w:pPr>
        <w:pStyle w:val="Heading4"/>
      </w:pPr>
      <w:r>
        <w:t xml:space="preserve">Đặc điểm nhà quản trị cấp cao</w:t>
      </w:r>
    </w:p>
    <w:p>
      <w:pPr>
        <w:pStyle w:val="FirstParagraph"/>
      </w:pPr>
      <w:r>
        <w:rPr>
          <w:bCs/>
          <w:b/>
        </w:rPr>
        <w:t xml:space="preserve">Biến chính</w:t>
      </w:r>
      <w:r>
        <w:t xml:space="preserve">: top manager experience (năm kinh nghiệm), top manager gender (female / male).</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subset có đủ dữ liệu; nếu thiếu, đưa vào độ vững chứ không bắt buộc trong mô hình chính.</w:t>
      </w:r>
    </w:p>
    <w:bookmarkEnd w:id="95"/>
    <w:bookmarkEnd w:id="96"/>
    <w:bookmarkStart w:id="97" w:name="biến-kiểm-soát"/>
    <w:p>
      <w:pPr>
        <w:pStyle w:val="Heading3"/>
      </w:pPr>
      <w:r>
        <w:t xml:space="preserve">3.3.5 Biến kiểm soát</w:t>
      </w:r>
    </w:p>
    <w:p>
      <w:pPr>
        <w:pStyle w:val="FirstParagraph"/>
      </w:pPr>
      <m:oMath>
        <m:r>
          <m:rPr>
            <m:sty m:val="p"/>
          </m:rPr>
          <m:t>ln</m:t>
        </m:r>
      </m:oMath>
      <w:r>
        <w:t xml:space="preserve"> </w:t>
      </w:r>
      <w:r>
        <w:t xml:space="preserve">employment, firm age, foreign ownership dummy, sector dummy, country fixed effects, year fixed effects.</w:t>
      </w:r>
    </w:p>
    <w:p>
      <w:pPr>
        <w:pStyle w:val="BodyText"/>
      </w:pPr>
      <w:r>
        <w:rPr>
          <w:bCs/>
          <w:b/>
        </w:rPr>
        <w:t xml:space="preserve">Cơ sở kế thừa</w:t>
      </w:r>
      <w:r>
        <w:t xml:space="preserve">: chuẩn trong nghiên cứu WBES và IB (Aterido et al., 2011; Ayyagari et al., 2011).</w:t>
      </w:r>
    </w:p>
    <w:bookmarkEnd w:id="97"/>
    <w:bookmarkEnd w:id="98"/>
    <w:bookmarkStart w:id="113" w:name="mô-hình-phân-tích"/>
    <w:p>
      <w:pPr>
        <w:pStyle w:val="Heading2"/>
      </w:pPr>
      <w:r>
        <w:t xml:space="preserve">3.4 Mô hình phân tích</w:t>
      </w:r>
    </w:p>
    <w:bookmarkStart w:id="99" w:name="mô-hình-meta-analysis"/>
    <w:p>
      <w:pPr>
        <w:pStyle w:val="Heading3"/>
      </w:pPr>
      <w:r>
        <w:t xml:space="preserve">3.4.1 Mô hình meta-analysis</w:t>
      </w:r>
    </w:p>
    <w:p>
      <w:pPr>
        <w:pStyle w:val="FirstParagraph"/>
      </w:pPr>
      <w:r>
        <w:t xml:space="preserve">Random-effects model dựa trên Fisher’s</w:t>
      </w:r>
      <w:r>
        <w:t xml:space="preserve"> </w:t>
      </w:r>
      <m:oMath>
        <m:r>
          <m:t>z</m:t>
        </m:r>
      </m:oMath>
      <w:r>
        <w:t xml:space="preserve">:</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effect size của nghiên cứu</w:t>
      </w:r>
      <w:r>
        <w:t xml:space="preserve"> </w:t>
      </w:r>
      <m:oMath>
        <m:r>
          <m:t>i</m:t>
        </m:r>
      </m:oMath>
      <w:r>
        <w:t xml:space="preserve">. Pooled effect size tính theo inverse-variance weighting (Borenstein et al., 2009).</w:t>
      </w:r>
    </w:p>
    <w:p>
      <w:pPr>
        <w:pStyle w:val="BodyText"/>
      </w:pPr>
      <w:r>
        <w:t xml:space="preserve">Heterogeneity đo bằng</w:t>
      </w:r>
      <w:r>
        <w:t xml:space="preserve"> </w:t>
      </w:r>
      <m:oMath>
        <m:r>
          <m:t>Q</m:t>
        </m:r>
      </m:oMath>
      <w:r>
        <w:t xml:space="preserve">-test và</w:t>
      </w:r>
      <w:r>
        <w:t xml:space="preserve"> </w:t>
      </w:r>
      <m:oMath>
        <m:sSup>
          <m:e>
            <m:r>
              <m:t>I</m:t>
            </m:r>
          </m:e>
          <m:sup>
            <m:r>
              <m:t>2</m:t>
            </m:r>
          </m:sup>
        </m:sSup>
      </m:oMath>
      <w:r>
        <w:t xml:space="preserve"> </w:t>
      </w:r>
      <w:r>
        <w:t xml:space="preserve">(Higgins et al., 2003). Subgroup analysis và meta-regression để kiểm định các biến điều tiết.</w:t>
      </w:r>
    </w:p>
    <w:p>
      <w:pPr>
        <w:pStyle w:val="BodyText"/>
      </w:pPr>
      <w:r>
        <w:rPr>
          <w:bCs/>
          <w:b/>
        </w:rPr>
        <w:t xml:space="preserve">Cơ sở kế thừa</w:t>
      </w:r>
      <w:r>
        <w:t xml:space="preserve">: chuẩn meta-analysis trong quản trị chiến lược (Combs et al., 2011; Aguinis et al., 2011).</w:t>
      </w:r>
    </w:p>
    <w:bookmarkEnd w:id="99"/>
    <w:bookmarkStart w:id="100" w:name="mô-hình-empirical-tuyến-tính-cơ-bản"/>
    <w:p>
      <w:pPr>
        <w:pStyle w:val="Heading3"/>
      </w:pPr>
      <w:r>
        <w:t xml:space="preserve">3.4.2 Mô hình empirical: Tuyến tính cơ bản</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vector control variables.</w:t>
      </w:r>
    </w:p>
    <w:bookmarkEnd w:id="100"/>
    <w:bookmarkStart w:id="101" w:name="mô-hình-phi-tuyến-h1"/>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chữ U ngược được xác nhận. Điểm uốn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mở rộng cubic theo specification đã được công bố:</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r>
            <m:t>F</m:t>
          </m:r>
          <m:r>
            <m:t>S</m:t>
          </m:r>
          <m:r>
            <m:t>T</m:t>
          </m:r>
          <m:sSubSup>
            <m:e>
              <m:r>
                <m:t>S</m:t>
              </m:r>
            </m:e>
            <m:sub>
              <m:r>
                <m:t>i</m:t>
              </m:r>
            </m:sub>
            <m:sup>
              <m:r>
                <m:t>3</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rPr>
          <w:bCs/>
          <w:b/>
        </w:rPr>
        <w:t xml:space="preserve">Cơ sở kế thừa</w:t>
      </w:r>
      <w:r>
        <w:t xml:space="preserve">: Lu và Beamish (2004), Hitt et al. (1997), Contractor et al. (2003); nghiên cứu thành phần P2 cho cubic specification ở China với điểm uốn ~47,8% FSTS.</w:t>
      </w:r>
    </w:p>
    <w:p>
      <w:pPr>
        <w:pStyle w:val="BodyText"/>
      </w:pPr>
      <w:r>
        <w:rPr>
          <w:bCs/>
          <w:b/>
        </w:rPr>
        <w:t xml:space="preserve">Lind–Mehlum U-test</w:t>
      </w:r>
      <w:r>
        <w:t xml:space="preserve"> </w:t>
      </w:r>
      <w:r>
        <w:t xml:space="preserve">(Lind &amp; Mehlum, 2010; Haans et al., 2016) để xác nhận chặt chữ U ngược: kiểm định slope dương ở bên trái và slope âm ở bên phải của domain</w:t>
      </w:r>
      <w:r>
        <w:t xml:space="preserve"> </w:t>
      </w:r>
      <m:oMath>
        <m:r>
          <m:t>F</m:t>
        </m:r>
        <m:r>
          <m:t>S</m:t>
        </m:r>
        <m:r>
          <m:t>T</m:t>
        </m:r>
        <m:r>
          <m:t>S</m:t>
        </m:r>
      </m:oMath>
      <w:r>
        <w:t xml:space="preserve">.</w:t>
      </w:r>
    </w:p>
    <w:bookmarkEnd w:id="101"/>
    <w:bookmarkStart w:id="104" w:name="mô-hình-moderation-h2h6"/>
    <w:p>
      <w:pPr>
        <w:pStyle w:val="Heading3"/>
      </w:pPr>
      <w:r>
        <w:t xml:space="preserve">3.4.4 Mô hình moderation (H2–H6)</w:t>
      </w:r>
    </w:p>
    <w:bookmarkStart w:id="102" w:name="two-way-interaction-h2-h3"/>
    <w:p>
      <w:pPr>
        <w:pStyle w:val="Heading4"/>
      </w:pPr>
      <w:r>
        <w:t xml:space="preserve">Two-way interaction (H2, H3)</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M</m:t>
                  </m:r>
                </m:e>
                <m:sub>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biến điều tiết (TCI hoặc DAI).</w:t>
      </w:r>
    </w:p>
    <w:bookmarkEnd w:id="102"/>
    <w:bookmarkStart w:id="103" w:name="three-way-interaction-synthesis"/>
    <w:p>
      <w:pPr>
        <w:pStyle w:val="Heading4"/>
      </w:pPr>
      <w:r>
        <w:t xml:space="preserve">Three-way interaction (synthesis)</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interactions</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digital,</w:t>
      </w:r>
      <w:r>
        <w:t xml:space="preserve"> </w:t>
      </w:r>
      <m:oMath>
        <m:r>
          <m:t>I</m:t>
        </m:r>
      </m:oMath>
      <w:r>
        <w:t xml:space="preserve"> </w:t>
      </w:r>
      <w:r>
        <w:t xml:space="preserve">= institutional,</w:t>
      </w:r>
      <w:r>
        <w:t xml:space="preserve"> </w:t>
      </w:r>
      <m:oMath>
        <m:r>
          <m:t>M</m:t>
        </m:r>
      </m:oMath>
      <w:r>
        <w:t xml:space="preserve"> </w:t>
      </w:r>
      <w:r>
        <w:t xml:space="preserve">= manager.</w:t>
      </w:r>
    </w:p>
    <w:p>
      <w:pPr>
        <w:pStyle w:val="BodyText"/>
      </w:pPr>
      <w:r>
        <w:rPr>
          <w:bCs/>
          <w:b/>
        </w:rPr>
        <w:t xml:space="preserve">Cơ sở kế thừa</w:t>
      </w:r>
      <w:r>
        <w:t xml:space="preserve">: chuẩn moderation trong quản trị chiến lược (Aiken &amp; West, 1991; Dawson, 2014).</w:t>
      </w:r>
    </w:p>
    <w:p>
      <w:pPr>
        <w:pStyle w:val="BodyText"/>
      </w:pPr>
      <w:r>
        <w:rPr>
          <w:bCs/>
          <w:b/>
        </w:rPr>
        <w:t xml:space="preserve">Đóng góp mới</w:t>
      </w:r>
      <w:r>
        <w:t xml:space="preserve">: three-way moderation digital × institutional × manager trong bối cảnh châu Á và Pacific với 50 nước chưa được kiểm định trước đây.</w:t>
      </w:r>
    </w:p>
    <w:bookmarkEnd w:id="103"/>
    <w:bookmarkEnd w:id="104"/>
    <w:bookmarkStart w:id="105" w:name="mô-hình-temporal-heterogeneity-h6"/>
    <w:p>
      <w:pPr>
        <w:pStyle w:val="Heading3"/>
      </w:pPr>
      <w:r>
        <w:t xml:space="preserve">3.4.5 Mô hình temporal heterogeneity (H6)</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twenty-year evolution; Xiao et al. (2013) với China-specific contingencies; nghiên cứu thành phần P2 làm baseline cubic 2012.</w:t>
      </w:r>
    </w:p>
    <w:p>
      <w:pPr>
        <w:pStyle w:val="BodyText"/>
      </w:pPr>
      <w:r>
        <w:rPr>
          <w:bCs/>
          <w:b/>
        </w:rPr>
        <w:t xml:space="preserve">Đóng góp mới</w:t>
      </w:r>
      <w:r>
        <w:t xml:space="preserve">: áp dụng cho China 2012 và 2024 để kiểm định stability của cubic điểm uốn (~47,8% FSTS) sau hơn một thập kỷ chuyển đổi số.</w:t>
      </w:r>
    </w:p>
    <w:bookmarkEnd w:id="105"/>
    <w:bookmarkStart w:id="106" w:name="X3ef1c131b29643aac6595f7e8338779440cc96b"/>
    <w:p>
      <w:pPr>
        <w:pStyle w:val="Heading3"/>
      </w:pPr>
      <w:r>
        <w:t xml:space="preserve">3.4.5.1 Mô hình cụ thể: Nghiên cứu 3 (Việt Nam, WBES 2009/2015/2023)</w:t>
      </w:r>
    </w:p>
    <w:p>
      <w:pPr>
        <w:pStyle w:val="FirstParagraph"/>
      </w:pPr>
      <w:r>
        <w:t xml:space="preserve">Nghiên cứu 3 sử dụng chuỗi mô hình lồng nhau M0–M8 ước lượng riêng theo từng sóng khảo sát (2009, 2015, 2023) và gộp pooled. Ký hiệu tiếng Việt:</w:t>
      </w:r>
    </w:p>
    <w:p>
      <w:pPr>
        <w:numPr>
          <w:ilvl w:val="0"/>
          <w:numId w:val="1006"/>
        </w:numPr>
        <w:pStyle w:val="Compact"/>
      </w:pPr>
      <w:r>
        <w:rPr>
          <w:bCs/>
          <w:b/>
        </w:rPr>
        <w:t xml:space="preserve">lnNSLD_it</w:t>
      </w:r>
      <w:r>
        <w:t xml:space="preserve"> </w:t>
      </w:r>
      <w:r>
        <w:t xml:space="preserve">= lnLP_it: log năng suất lao động (ln doanh thu PPP / lao động thường xuyên)</w:t>
      </w:r>
    </w:p>
    <w:p>
      <w:pPr>
        <w:numPr>
          <w:ilvl w:val="0"/>
          <w:numId w:val="1006"/>
        </w:numPr>
        <w:pStyle w:val="Compact"/>
      </w:pPr>
      <w:r>
        <w:rPr>
          <w:bCs/>
          <w:b/>
        </w:rPr>
        <w:t xml:space="preserve">CDDXK_c_it</w:t>
      </w:r>
      <w:r>
        <w:t xml:space="preserve"> </w:t>
      </w:r>
      <w:r>
        <w:t xml:space="preserve">= FSTS_c_it: cường độ xuất khẩu điều chỉnh trung bình trong sóng (mean-centred)</w:t>
      </w:r>
    </w:p>
    <w:p>
      <w:pPr>
        <w:numPr>
          <w:ilvl w:val="0"/>
          <w:numId w:val="1006"/>
        </w:numPr>
        <w:pStyle w:val="Compact"/>
      </w:pPr>
      <w:r>
        <w:rPr>
          <w:bCs/>
          <w:b/>
        </w:rPr>
        <w:t xml:space="preserve">CDDXK_c²_it</w:t>
      </w:r>
      <w:r>
        <w:t xml:space="preserve"> </w:t>
      </w:r>
      <w:r>
        <w:t xml:space="preserve">= FSTS_c²_it: bình phương cường độ xuất khẩu điều chỉnh</w:t>
      </w:r>
    </w:p>
    <w:p>
      <w:pPr>
        <w:numPr>
          <w:ilvl w:val="0"/>
          <w:numId w:val="1006"/>
        </w:numPr>
        <w:pStyle w:val="Compact"/>
      </w:pPr>
      <w:r>
        <w:rPr>
          <w:bCs/>
          <w:b/>
        </w:rPr>
        <w:t xml:space="preserve">NLCN_z_it</w:t>
      </w:r>
      <w:r>
        <w:t xml:space="preserve"> </w:t>
      </w:r>
      <w:r>
        <w:t xml:space="preserve">= TCI_z_it: năng lực công nghệ (chuẩn hoá z trong sóng)</w:t>
      </w:r>
    </w:p>
    <w:p>
      <w:pPr>
        <w:numPr>
          <w:ilvl w:val="0"/>
          <w:numId w:val="1006"/>
        </w:numPr>
        <w:pStyle w:val="Compact"/>
      </w:pPr>
      <w:r>
        <w:rPr>
          <w:bCs/>
          <w:b/>
        </w:rPr>
        <w:t xml:space="preserve">CSS_z_it</w:t>
      </w:r>
      <w:r>
        <w:t xml:space="preserve"> </w:t>
      </w:r>
      <w:r>
        <w:t xml:space="preserve">= DAI_z_it: chỉ số số hoá cơ sở, Tier-1 (chuẩn hoá z trong sóng)</w:t>
      </w:r>
    </w:p>
    <w:p>
      <w:pPr>
        <w:numPr>
          <w:ilvl w:val="0"/>
          <w:numId w:val="1006"/>
        </w:numPr>
        <w:pStyle w:val="Compact"/>
      </w:pPr>
      <w:r>
        <w:rPr>
          <w:bCs/>
          <w:b/>
        </w:rPr>
        <w:t xml:space="preserve">lnLD, TuoiDN, SoHuuNuocNgoai</w:t>
      </w:r>
      <w:r>
        <w:t xml:space="preserve">: kiểm soát quy mô, tuổi, sở hữu</w:t>
      </w:r>
    </w:p>
    <w:p>
      <w:pPr>
        <w:numPr>
          <w:ilvl w:val="0"/>
          <w:numId w:val="1006"/>
        </w:numPr>
        <w:pStyle w:val="Compact"/>
      </w:pPr>
      <w:r>
        <w:rPr>
          <w:bCs/>
          <w:b/>
        </w:rPr>
        <w:t xml:space="preserve">δ_s</w:t>
      </w:r>
      <w:r>
        <w:t xml:space="preserve">: hiệu ứng cố định ngành (1-digit ISIC);</w:t>
      </w:r>
      <w:r>
        <w:t xml:space="preserve"> </w:t>
      </w:r>
      <w:r>
        <w:rPr>
          <w:bCs/>
          <w:b/>
        </w:rPr>
        <w:t xml:space="preserve">λ_t</w:t>
      </w:r>
      <w:r>
        <w:t xml:space="preserve">: hiệu ứng cố định sóng (chỉ pooled)</w:t>
      </w:r>
    </w:p>
    <w:p>
      <w:pPr>
        <w:pStyle w:val="FirstParagraph"/>
      </w:pPr>
      <w:r>
        <w:rPr>
          <w:bCs/>
          <w:b/>
        </w:rPr>
        <w:t xml:space="preserve">M0, Mô hình cơ sở (biến kiểm soát):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γ</m:t>
              </m:r>
            </m:e>
            <m:sub>
              <m:r>
                <m:t>1</m:t>
              </m:r>
            </m:sub>
          </m:sSub>
          <m:r>
            <m:rPr>
              <m:sty m:val="p"/>
            </m:rPr>
            <m:t>ln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Quốc tế hoá tuyến tính:</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Quốc tế hoá phi tuyến (kiểm định H1, chữ U ngược):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M4, Điều tiết CSS/DAI (H3 thăm dò):</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M5, NLCN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CSS/DAI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Cả hai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Mô hình đầy đủ (trực tiếp + điều tiết CSS):</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sSub>
            <m:e>
              <m:r>
                <m:t>β</m:t>
              </m:r>
            </m:e>
            <m:sub>
              <m:r>
                <m:t>5</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6</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pooled. Mô hình được ước lượng riêng cho 3 sóng và gộp (N = 989 / 956 / 1.013 / 2.958).</w:t>
      </w:r>
    </w:p>
    <w:p>
      <w:pPr>
        <w:pStyle w:val="BodyText"/>
      </w:pPr>
      <w:r>
        <w:rPr>
          <w:bCs/>
          <w:b/>
        </w:rPr>
        <w:t xml:space="preserve">Bảng định nghĩa biến,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 ln(doanh thu PPP / lao động thường xuyên)</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 sóng: chuẩn hoá điều chỉnh</w:t>
            </w:r>
          </w:p>
        </w:tc>
        <w:tc>
          <w:tcPr/>
          <w:p>
            <w:pPr>
              <w:pStyle w:val="Compact"/>
              <w:jc w:val="left"/>
            </w:pPr>
            <w:r>
              <w:t xml:space="preserve">Biến độc lập (centred)</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 hạng phi tuyến</w:t>
            </w:r>
          </w:p>
        </w:tc>
        <w:tc>
          <w:tcPr/>
          <w:p>
            <w:pPr>
              <w:pStyle w:val="Compact"/>
              <w:jc w:val="left"/>
            </w:pPr>
            <w:r>
              <w:t xml:space="preserve">Kiểm định inverted-U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 trong sóng của c22b₀₁: hiện diện website</w:t>
            </w:r>
          </w:p>
        </w:tc>
        <w:tc>
          <w:tcPr/>
          <w:p>
            <w:pPr>
              <w:pStyle w:val="Compact"/>
              <w:jc w:val="left"/>
            </w:pPr>
            <w:r>
              <w:t xml:space="preserve">Số hoá Tier-1 (H3 thăm dò)</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chỉ báo sóng khảo sát (chỉ pooled)</w:t>
            </w:r>
          </w:p>
        </w:tc>
        <w:tc>
          <w:tcPr/>
          <w:p>
            <w:pPr>
              <w:pStyle w:val="Compact"/>
              <w:jc w:val="left"/>
            </w:pPr>
            <w:r>
              <w:t xml:space="preserve">Hiệu ứng cố định thời kỳ</w:t>
            </w:r>
          </w:p>
        </w:tc>
      </w:tr>
    </w:tbl>
    <w:bookmarkEnd w:id="106"/>
    <w:bookmarkStart w:id="107" w:name="Xee326425775ef5a6cb69bdccb6b7f607df42eb1"/>
    <w:p>
      <w:pPr>
        <w:pStyle w:val="Heading3"/>
      </w:pPr>
      <w:r>
        <w:t xml:space="preserve">3.4.5.2 Mô hình cụ thể: Nghiên cứu 4 (Singapore, WBES 2023)</w:t>
      </w:r>
    </w:p>
    <w:p>
      <w:pPr>
        <w:pStyle w:val="FirstParagraph"/>
      </w:pPr>
      <w:r>
        <w:t xml:space="preserve">Nghiên cứu 4 sử dụng dữ liệu mặt cắt ngang WBES Singapore 2023 (N = 623). Thiết kế đơn sóng, không có thành phần λ_t. Ký hiệu tiếng Việt:</w:t>
      </w:r>
    </w:p>
    <w:p>
      <w:pPr>
        <w:numPr>
          <w:ilvl w:val="0"/>
          <w:numId w:val="1007"/>
        </w:numPr>
        <w:pStyle w:val="Compact"/>
      </w:pPr>
      <w:r>
        <w:rPr>
          <w:bCs/>
          <w:b/>
        </w:rPr>
        <w:t xml:space="preserve">lnNSLD_i</w:t>
      </w:r>
      <w:r>
        <w:t xml:space="preserve"> </w:t>
      </w:r>
      <w:r>
        <w:t xml:space="preserve">= lnLP_i: log năng suất lao động (ln doanh thu PPP / lao động thường xuyên)</w:t>
      </w:r>
    </w:p>
    <w:p>
      <w:pPr>
        <w:numPr>
          <w:ilvl w:val="0"/>
          <w:numId w:val="1007"/>
        </w:numPr>
        <w:pStyle w:val="Compact"/>
      </w:pPr>
      <w:r>
        <w:rPr>
          <w:bCs/>
          <w:b/>
        </w:rPr>
        <w:t xml:space="preserve">CDDXK_i</w:t>
      </w:r>
      <w:r>
        <w:t xml:space="preserve"> </w:t>
      </w:r>
      <w:r>
        <w:t xml:space="preserve">= FSTS_i: cường độ xuất khẩu trực tiếp (d3c / 100)</w:t>
      </w:r>
    </w:p>
    <w:p>
      <w:pPr>
        <w:numPr>
          <w:ilvl w:val="0"/>
          <w:numId w:val="1007"/>
        </w:numPr>
        <w:pStyle w:val="Compact"/>
      </w:pPr>
      <w:r>
        <w:rPr>
          <w:bCs/>
          <w:b/>
        </w:rPr>
        <w:t xml:space="preserve">CDDXK_c_i</w:t>
      </w:r>
      <w:r>
        <w:t xml:space="preserve"> </w:t>
      </w:r>
      <w:r>
        <w:t xml:space="preserve">= FSTS_c_i: CDDXK trung bình mẫu; CDDXK_c² là bình phương</w:t>
      </w:r>
    </w:p>
    <w:p>
      <w:pPr>
        <w:numPr>
          <w:ilvl w:val="0"/>
          <w:numId w:val="1007"/>
        </w:numPr>
        <w:pStyle w:val="Compact"/>
      </w:pPr>
      <w:r>
        <w:rPr>
          <w:bCs/>
          <w:b/>
        </w:rPr>
        <w:t xml:space="preserve">NLCN_z_i</w:t>
      </w:r>
      <w:r>
        <w:t xml:space="preserve"> </w:t>
      </w:r>
      <w:r>
        <w:t xml:space="preserve">= TCI_z_i: năng lực công nghệ, z-std của trung bình(b8₀₁, e6₀₁)</w:t>
      </w:r>
    </w:p>
    <w:p>
      <w:pPr>
        <w:numPr>
          <w:ilvl w:val="0"/>
          <w:numId w:val="1007"/>
        </w:numPr>
        <w:pStyle w:val="Compact"/>
      </w:pPr>
      <w:r>
        <w:rPr>
          <w:bCs/>
          <w:b/>
        </w:rPr>
        <w:t xml:space="preserve">CSS_z_i</w:t>
      </w:r>
      <w:r>
        <w:t xml:space="preserve"> </w:t>
      </w:r>
      <w:r>
        <w:t xml:space="preserve">= DAI_z_i: chỉ số số hoá</w:t>
      </w:r>
      <w:r>
        <w:t xml:space="preserve"> </w:t>
      </w:r>
      <w:r>
        <w:rPr>
          <w:bCs/>
          <w:b/>
        </w:rPr>
        <w:t xml:space="preserve">Tier-1+2</w:t>
      </w:r>
      <w:r>
        <w:t xml:space="preserve">, z-std của trung bình(c22b₀₁, k33₀₁, k38₀₁); khác P3 ở chỗ bao gồm e-payment hai chiều (Tier-2)</w:t>
      </w:r>
    </w:p>
    <w:p>
      <w:pPr>
        <w:numPr>
          <w:ilvl w:val="0"/>
          <w:numId w:val="1007"/>
        </w:numPr>
        <w:pStyle w:val="Compact"/>
      </w:pPr>
      <w:r>
        <w:rPr>
          <w:bCs/>
          <w:b/>
        </w:rPr>
        <w:t xml:space="preserve">lnLD_i</w:t>
      </w:r>
      <w:r>
        <w:t xml:space="preserve">,</w:t>
      </w:r>
      <w:r>
        <w:t xml:space="preserve"> </w:t>
      </w:r>
      <w:r>
        <w:rPr>
          <w:bCs/>
          <w:b/>
        </w:rPr>
        <w:t xml:space="preserve">TuoiDN_i</w:t>
      </w:r>
      <w:r>
        <w:t xml:space="preserve">,</w:t>
      </w:r>
      <w:r>
        <w:t xml:space="preserve"> </w:t>
      </w:r>
      <w:r>
        <w:rPr>
          <w:bCs/>
          <w:b/>
        </w:rPr>
        <w:t xml:space="preserve">SoHuuNN_i</w:t>
      </w:r>
      <w:r>
        <w:t xml:space="preserve">: biến kiểm soát tương tự P3</w:t>
      </w:r>
    </w:p>
    <w:p>
      <w:pPr>
        <w:numPr>
          <w:ilvl w:val="0"/>
          <w:numId w:val="1007"/>
        </w:numPr>
        <w:pStyle w:val="Compact"/>
      </w:pPr>
      <w:r>
        <w:rPr>
          <w:bCs/>
          <w:b/>
        </w:rPr>
        <w:t xml:space="preserve">δ_s</w:t>
      </w:r>
      <w:r>
        <w:t xml:space="preserve">: sector fixed effects (ISIC 1-chữ số)</w:t>
      </w:r>
    </w:p>
    <w:p>
      <w:pPr>
        <w:numPr>
          <w:ilvl w:val="0"/>
          <w:numId w:val="1007"/>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lockText"/>
      </w:pPr>
      <w:r>
        <w:t xml:space="preserve">M0 (Baseline):</w:t>
      </w:r>
      <w:r>
        <w:t xml:space="preserve"> </w:t>
      </w:r>
      <w:r>
        <w:t xml:space="preserve">lnNSLD_i = α + γ₁ lnLD_i + γ₂ TuoiDN_i + γ₃ SoHuuNN_i + δ_s + ε_i</w:t>
      </w:r>
    </w:p>
    <w:p>
      <w:pPr>
        <w:pStyle w:val="BlockText"/>
      </w:pPr>
      <w:r>
        <w:t xml:space="preserve">M1 (Tuyến tính FSTS):</w:t>
      </w:r>
      <w:r>
        <w:t xml:space="preserve"> </w:t>
      </w:r>
      <w:r>
        <w:t xml:space="preserve">lnNSLD_i = α + β₁ CDDXK_c_i + γ·X_i + δ_s + ε_i</w:t>
      </w:r>
    </w:p>
    <w:p>
      <w:pPr>
        <w:pStyle w:val="BlockText"/>
      </w:pPr>
      <w:r>
        <w:t xml:space="preserve">M2 (Bậc hai FSTS, kiểm định H1):</w:t>
      </w:r>
      <w:r>
        <w:t xml:space="preserve"> </w:t>
      </w:r>
      <w:r>
        <w:t xml:space="preserve">lnNSLD_i = α + β₁ CDDXK_c_i + β₂ CDDXK_c²_i + γ·X_i + δ_s + ε_i</w:t>
      </w:r>
      <w:r>
        <w:t xml:space="preserve"> </w:t>
      </w:r>
      <w:r>
        <w:t xml:space="preserve">H1: β₁ &gt; 0, β₂ &lt; 0; TP* = −β₁/(2β₂) ≈ 88,6% FSTS [CI bootstrap [53%, 253%]]</w:t>
      </w:r>
      <w:r>
        <w:t xml:space="preserve"> </w:t>
      </w:r>
      <w:r>
        <w:t xml:space="preserve">Lưu ý: Lind–Mehlum p = 0,303, không bác bỏ tuyến tính trong phạm vi dữ liệu quan sát; đây là kết quả thông tin tích cực theo khung bão hòa (saturation framework)</w:t>
      </w:r>
    </w:p>
    <w:p>
      <w:pPr>
        <w:pStyle w:val="BlockText"/>
      </w:pPr>
      <w:r>
        <w:t xml:space="preserve">M3 (+ NLCN, H1-TCI trực tiếp):</w:t>
      </w:r>
      <w:r>
        <w:t xml:space="preserve"> </w:t>
      </w:r>
      <w:r>
        <w:t xml:space="preserve">lnNSLD_i = α + β₁ CDDXK_c + β₂ CDDXK_c² + β₃ NLCN_z + γ·X + δ_s + ε</w:t>
      </w:r>
    </w:p>
    <w:p>
      <w:pPr>
        <w:pStyle w:val="BlockText"/>
      </w:pPr>
      <w:r>
        <w:t xml:space="preserve">M4 (+ CSS trực tiếp):</w:t>
      </w:r>
      <w:r>
        <w:t xml:space="preserve"> </w:t>
      </w:r>
      <w:r>
        <w:t xml:space="preserve">lnNSLD_i = α + β₁ CDDXK_c + β₂ CDDXK_c² + β₃ NLCN_z + β₄ CSS_z + γ·X + δ_s + ε</w:t>
      </w:r>
    </w:p>
    <w:p>
      <w:pPr>
        <w:pStyle w:val="BlockText"/>
      </w:pPr>
      <w:r>
        <w:t xml:space="preserve">M5 (Mô hình đầy đủ, kiểm định H3):</w:t>
      </w:r>
      <w:r>
        <w:t xml:space="preserve"> </w:t>
      </w:r>
      <w:r>
        <w:t xml:space="preserve">lnNSLD_i = α + β₁ CDDXK_c + β₂ CDDXK_c² + β₃ NLCN_z + β₄ CSS_z</w:t>
      </w:r>
      <w:r>
        <w:t xml:space="preserve"> </w:t>
      </w:r>
      <w:r>
        <w:t xml:space="preserve">+ β₅(CDDXK_c × CSS_z) + β₆(CDDXK_c² × CSS_z) + γ·X + δ_s + ε</w:t>
      </w:r>
      <w:r>
        <w:t xml:space="preserve"> </w:t>
      </w:r>
      <w:r>
        <w:t xml:space="preserve">H3: β₆ &gt; 0, DAI khuếch đại lợi nhuận I–P ở cường độ xuất khẩu cao (coordination platform mechanism; Stallkamp &amp; Schotter, 2021)</w:t>
      </w:r>
      <w:r>
        <w:t xml:space="preserve"> </w:t>
      </w:r>
      <w:r>
        <w:t xml:space="preserve">Kết quả: β₆ = +3,119 (p = 0,005) trong mẫu đầy đủ; β₆ = +2,821 (p = 0,003, F-test) trong mẫu chỉ xuất khẩu (N = 84, lưu ý: công suất thống kê ≈ 16%)</w:t>
      </w:r>
    </w:p>
    <w:p>
      <w:pPr>
        <w:pStyle w:val="FirstParagraph"/>
      </w:pPr>
      <w:r>
        <w:rPr>
          <w:bCs/>
          <w:b/>
        </w:rPr>
        <w:t xml:space="preserve">Bảng định nghĩa biến,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của TB(b8₀₁, e6₀₁)</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 k33, k38</w:t>
            </w:r>
          </w:p>
        </w:tc>
        <w:tc>
          <w:tcPr/>
          <w:p>
            <w:pPr>
              <w:pStyle w:val="Compact"/>
              <w:jc w:val="left"/>
            </w:pPr>
            <w:r>
              <w:t xml:space="preserve">z-std của TB(c22b₀₁, k33₀₁, k38₀₁):</w:t>
            </w:r>
            <w:r>
              <w:t xml:space="preserve"> </w:t>
            </w:r>
            <w:r>
              <w:rPr>
                <w:bCs/>
                <w:b/>
              </w:rPr>
              <w:t xml:space="preserve">Tier-1+2</w:t>
            </w:r>
          </w:p>
        </w:tc>
        <w:tc>
          <w:tcPr/>
          <w:p>
            <w:pPr>
              <w:pStyle w:val="Compact"/>
              <w:jc w:val="left"/>
            </w:pPr>
            <w:r>
              <w:t xml:space="preserve">Số hoá Tier-1+2 (H3)</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Sector FE (ISIC 1-chữ số)</w:t>
            </w:r>
          </w:p>
        </w:tc>
        <w:tc>
          <w:tcPr/>
          <w:p>
            <w:pPr>
              <w:pStyle w:val="Compact"/>
              <w:jc w:val="left"/>
            </w:pPr>
            <w:r>
              <w:t xml:space="preserve">Hiệu ứng cố định ngành</w:t>
            </w:r>
          </w:p>
        </w:tc>
      </w:tr>
    </w:tbl>
    <w:p>
      <w:r>
        <w:pict>
          <v:rect style="width:0;height:1.5pt" o:hralign="center" o:hrstd="t" o:hr="t"/>
        </w:pict>
      </w:r>
    </w:p>
    <w:bookmarkEnd w:id="107"/>
    <w:bookmarkStart w:id="108" w:name="Xd0414c1f445c504fea8a4b83b026b3007745b73"/>
    <w:p>
      <w:pPr>
        <w:pStyle w:val="Heading3"/>
      </w:pPr>
      <w:r>
        <w:t xml:space="preserve">3.4.5.3 Mô hình cụ thể: Nghiên cứu 5 (Trung Quốc, WBES 2012 và 2024)</w:t>
      </w:r>
    </w:p>
    <w:p>
      <w:pPr>
        <w:pStyle w:val="FirstParagraph"/>
      </w:pPr>
      <w:r>
        <w:t xml:space="preserve">Nghiên cứu 5 sử dụng hai sóng WBES Trung Quốc (2012: N = 2.619; 2024: N = 1.940; pooled N = 4.559). Thiết kế đa sóng không panel (217 doanh nghiệp xuất hiện cả hai sóng tạo thành</w:t>
      </w:r>
      <w:r>
        <w:t xml:space="preserve"> </w:t>
      </w:r>
      <w:r>
        <w:t xml:space="preserve">“</w:t>
      </w:r>
      <w:r>
        <w:t xml:space="preserve">panel core</w:t>
      </w:r>
      <w:r>
        <w:t xml:space="preserve">”</w:t>
      </w:r>
      <w:r>
        <w:t xml:space="preserve"> </w:t>
      </w:r>
      <w:r>
        <w:t xml:space="preserve">được sử dụng cho cluster-robust SE). Ký hiệu tiếng Việt:</w:t>
      </w:r>
    </w:p>
    <w:p>
      <w:pPr>
        <w:numPr>
          <w:ilvl w:val="0"/>
          <w:numId w:val="1008"/>
        </w:numPr>
        <w:pStyle w:val="Compact"/>
      </w:pPr>
      <w:r>
        <w:rPr>
          <w:bCs/>
          <w:b/>
        </w:rPr>
        <w:t xml:space="preserve">lnNSLD_it</w:t>
      </w:r>
      <w:r>
        <w:t xml:space="preserve"> </w:t>
      </w:r>
      <w:r>
        <w:t xml:space="preserve">= lnLP_it: log năng suất lao động (biến phụ thuộc)</w:t>
      </w:r>
    </w:p>
    <w:p>
      <w:pPr>
        <w:numPr>
          <w:ilvl w:val="0"/>
          <w:numId w:val="1008"/>
        </w:numPr>
        <w:pStyle w:val="Compact"/>
      </w:pPr>
      <w:r>
        <w:rPr>
          <w:bCs/>
          <w:b/>
        </w:rPr>
        <w:t xml:space="preserve">CDDXK_c_it</w:t>
      </w:r>
      <w:r>
        <w:t xml:space="preserve"> </w:t>
      </w:r>
      <w:r>
        <w:t xml:space="preserve">= FSTS_c_it: cường độ xuất khẩu centred theo trung bình sóng</w:t>
      </w:r>
    </w:p>
    <w:p>
      <w:pPr>
        <w:numPr>
          <w:ilvl w:val="0"/>
          <w:numId w:val="1008"/>
        </w:numPr>
        <w:pStyle w:val="Compact"/>
      </w:pPr>
      <w:r>
        <w:rPr>
          <w:bCs/>
          <w:b/>
        </w:rPr>
        <w:t xml:space="preserve">NLCN_z_it</w:t>
      </w:r>
      <w:r>
        <w:t xml:space="preserve"> </w:t>
      </w:r>
      <w:r>
        <w:t xml:space="preserve">= TCI_full_z_it: năng lực công nghệ toàn diện, z-std của TB(b8₀₁, e6₀₁, b4₀₁, b7a₀₁); mở rộng hơn P3</w:t>
      </w:r>
    </w:p>
    <w:p>
      <w:pPr>
        <w:numPr>
          <w:ilvl w:val="0"/>
          <w:numId w:val="1008"/>
        </w:numPr>
        <w:pStyle w:val="Compact"/>
      </w:pPr>
      <w:r>
        <w:rPr>
          <w:bCs/>
          <w:b/>
        </w:rPr>
        <w:t xml:space="preserve">CSS_z_it</w:t>
      </w:r>
      <w:r>
        <w:t xml:space="preserve"> </w:t>
      </w:r>
      <w:r>
        <w:t xml:space="preserve">= DAI_core_it: chỉ số số hoá cơ bản, chỉ c22b₀₁ (Tier-1 mỏng, single-item binary)</w:t>
      </w:r>
    </w:p>
    <w:p>
      <w:pPr>
        <w:numPr>
          <w:ilvl w:val="0"/>
          <w:numId w:val="1008"/>
        </w:numPr>
        <w:pStyle w:val="Compact"/>
      </w:pPr>
      <w:r>
        <w:rPr>
          <w:bCs/>
          <w:b/>
        </w:rPr>
        <w:t xml:space="preserve">lnLD_it</w:t>
      </w:r>
      <w:r>
        <w:t xml:space="preserve">,</w:t>
      </w:r>
      <w:r>
        <w:t xml:space="preserve"> </w:t>
      </w:r>
      <w:r>
        <w:rPr>
          <w:bCs/>
          <w:b/>
        </w:rPr>
        <w:t xml:space="preserve">TuoiDN_it</w:t>
      </w:r>
      <w:r>
        <w:t xml:space="preserve">,</w:t>
      </w:r>
      <w:r>
        <w:t xml:space="preserve"> </w:t>
      </w:r>
      <w:r>
        <w:rPr>
          <w:bCs/>
          <w:b/>
        </w:rPr>
        <w:t xml:space="preserve">SoHuuNN_it</w:t>
      </w:r>
      <w:r>
        <w:t xml:space="preserve">: biến kiểm soát</w:t>
      </w:r>
    </w:p>
    <w:p>
      <w:pPr>
        <w:numPr>
          <w:ilvl w:val="0"/>
          <w:numId w:val="1008"/>
        </w:numPr>
        <w:pStyle w:val="Compact"/>
      </w:pPr>
      <w:r>
        <w:rPr>
          <w:bCs/>
          <w:b/>
        </w:rPr>
        <w:t xml:space="preserve">δ_s</w:t>
      </w:r>
      <w:r>
        <w:t xml:space="preserve">: sector fixed effects;</w:t>
      </w:r>
      <w:r>
        <w:t xml:space="preserve"> </w:t>
      </w:r>
      <w:r>
        <w:rPr>
          <w:bCs/>
          <w:b/>
        </w:rPr>
        <w:t xml:space="preserve">λ_t</w:t>
      </w:r>
      <w:r>
        <w:t xml:space="preserve">: wave fixed effects (pooled)</w:t>
      </w:r>
    </w:p>
    <w:p>
      <w:pPr>
        <w:pStyle w:val="FirstParagraph"/>
      </w:pPr>
      <w:r>
        <w:rPr>
          <w:bCs/>
          <w:b/>
        </w:rPr>
        <w:t xml:space="preserve">Chuỗi mô hình lồng nhau M0–M6:</w:t>
      </w:r>
    </w:p>
    <w:p>
      <w:pPr>
        <w:pStyle w:val="BlockText"/>
      </w:pPr>
      <w:r>
        <w:t xml:space="preserve">M0 (Baseline):</w:t>
      </w:r>
      <w:r>
        <w:t xml:space="preserve"> </w:t>
      </w:r>
      <w:r>
        <w:t xml:space="preserve">lnNSLD_it = α + γ₁ lnLD_it + γ₂ TuoiDN_it + γ₃ SoHuuNN_it + δ_s + λ_t + ε_it</w:t>
      </w:r>
    </w:p>
    <w:p>
      <w:pPr>
        <w:pStyle w:val="BlockText"/>
      </w:pPr>
      <w:r>
        <w:t xml:space="preserve">M1 (Tuyến tính FSTS):</w:t>
      </w:r>
      <w:r>
        <w:t xml:space="preserve"> </w:t>
      </w:r>
      <w:r>
        <w:t xml:space="preserve">lnNSLD_it = α + β₁ CDDXK_c_it + γ·X_it + δ_s + λ_t + ε_it</w:t>
      </w:r>
    </w:p>
    <w:p>
      <w:pPr>
        <w:pStyle w:val="BlockText"/>
      </w:pPr>
      <w:r>
        <w:t xml:space="preserve">M2 (Bậc hai FSTS, kiểm định H1):</w:t>
      </w:r>
      <w:r>
        <w:t xml:space="preserve"> </w:t>
      </w:r>
      <w:r>
        <w:t xml:space="preserve">lnNSLD_it = α + β₁ CDDXK_c_it + β₂ CDDXK_c²_it + γ·X_it + δ_s + λ_t + ε_it</w:t>
      </w:r>
      <w:r>
        <w:t xml:space="preserve"> </w:t>
      </w:r>
      <w:r>
        <w:t xml:space="preserve">H1: β₁ &gt; 0, β₂ &lt; 0; TP* = −β₁/(2β₂), điểm uốn 49,4% (2012), 47,2% (2024), và 48,8% (pooled)</w:t>
      </w:r>
      <w:r>
        <w:t xml:space="preserve"> </w:t>
      </w:r>
      <w:r>
        <w:t xml:space="preserve">Kiểm định ổn định cấu trúc: Paternoster et al. (1998) z-test: z(FSTS) = +0,82 (p = 0,412); z(FSTS²) = −0,61 (p = 0,545), không bác bỏ bình đẳng hệ số giữa hai sóng</w:t>
      </w:r>
    </w:p>
    <w:p>
      <w:pPr>
        <w:pStyle w:val="BlockText"/>
      </w:pPr>
      <w:r>
        <w:t xml:space="preserve">M3 (+ NLCN trực tiếp, H2 level-shift):</w:t>
      </w:r>
      <w:r>
        <w:t xml:space="preserve"> </w:t>
      </w:r>
      <w:r>
        <w:t xml:space="preserve">lnNSLD_it = α + β₁ CDDXK_c + β₂ CDDXK_c² + β₃ NLCN_z + γ·X + δ_s + λ_t + ε</w:t>
      </w:r>
      <w:r>
        <w:t xml:space="preserve"> </w:t>
      </w:r>
      <w:r>
        <w:t xml:space="preserve">Kết quả: β₃ = +0,28 (2012, p &lt; 0,001), +0,43 (2024, p &lt; 0,001), TCI là</w:t>
      </w:r>
      <w:r>
        <w:t xml:space="preserve"> </w:t>
      </w:r>
      <w:r>
        <w:t xml:space="preserve">“</w:t>
      </w:r>
      <w:r>
        <w:t xml:space="preserve">bộ tăng mức</w:t>
      </w:r>
      <w:r>
        <w:t xml:space="preserve">”</w:t>
      </w:r>
      <w:r>
        <w:t xml:space="preserve"> </w:t>
      </w:r>
      <w:r>
        <w:t xml:space="preserve">(level-shifter), không điều tiết độ cong</w:t>
      </w:r>
    </w:p>
    <w:p>
      <w:pPr>
        <w:pStyle w:val="BlockText"/>
      </w:pPr>
      <w:r>
        <w:t xml:space="preserve">M4 (+ CSS trực tiếp):</w:t>
      </w:r>
      <w:r>
        <w:t xml:space="preserve"> </w:t>
      </w:r>
      <w:r>
        <w:t xml:space="preserve">lnNSLD_it = α + β₁ CDDXK_c + β₂ CDDXK_c² + β₃ NLCN_z + β₄ CSS_z + γ·X + δ_s + λ_t + ε</w:t>
      </w:r>
    </w:p>
    <w:p>
      <w:pPr>
        <w:pStyle w:val="BlockText"/>
      </w:pPr>
      <w:r>
        <w:t xml:space="preserve">M5 (Kiểm định ổn định xuyên sóng, H2b):</w:t>
      </w:r>
      <w:r>
        <w:t xml:space="preserve"> </w:t>
      </w:r>
      <w:r>
        <w:t xml:space="preserve">Ước lượng M2 riêng biệt cho 2012 và 2024, sau đó áp dụng:</w:t>
      </w:r>
      <w:r>
        <w:t xml:space="preserve"> </w:t>
      </w:r>
      <w:r>
        <w:t xml:space="preserve">z = (β̂₁,2012 − β̂₁,2024) / √(SE²₁,2012 + SE²₁,2024)</w:t>
      </w:r>
      <w:r>
        <w:t xml:space="preserve"> </w:t>
      </w:r>
      <w:r>
        <w:t xml:space="preserve">(Paternoster et al., 1998), tương tự cho β₂ (FSTS²)</w:t>
      </w:r>
    </w:p>
    <w:p>
      <w:pPr>
        <w:pStyle w:val="BlockText"/>
      </w:pPr>
      <w:r>
        <w:t xml:space="preserve">M6 (Điều tiết ba chiều, kiểm định H3/H4a/H4b):</w:t>
      </w:r>
      <w:r>
        <w:t xml:space="preserve"> </w:t>
      </w:r>
      <w:r>
        <w:t xml:space="preserve">lnNSLD_it = α + β₁ CDDXK_c + β₂ CDDXK_c² + β₃ NLCN_z + β₄ CSS_z</w:t>
      </w:r>
      <w:r>
        <w:t xml:space="preserve"> </w:t>
      </w:r>
      <w:r>
        <w:t xml:space="preserve">+ β₅(CDDXK_c × NLCN_z) + β₆(CDDXK_c² × NLCN_z)</w:t>
      </w:r>
      <w:r>
        <w:t xml:space="preserve"> </w:t>
      </w:r>
      <w:r>
        <w:t xml:space="preserve">+ β₇(CDDXK_c × wave) + β₈(CDDXK_c² × wave) + γ·X + δ_s + λ_t + ε</w:t>
      </w:r>
      <w:r>
        <w:t xml:space="preserve"> </w:t>
      </w:r>
      <w:r>
        <w:t xml:space="preserve">F-tests: F1 (dịch chuyển độ cong xuyên sóng), F2 (điều tiết năng lực), F3 (dịch chuyển điều kiện)</w:t>
      </w:r>
      <w:r>
        <w:t xml:space="preserve"> </w:t>
      </w:r>
      <w:r>
        <w:t xml:space="preserve">Kết quả: F2 = 3,26 (p = 0,039, không qua Bonferroni α* = 0,017), do đó H4b (không có điều tiết độ cong theo năng lực) được chấp nhận</w:t>
      </w:r>
    </w:p>
    <w:p>
      <w:pPr>
        <w:pStyle w:val="FirstParagraph"/>
      </w:pPr>
      <w:r>
        <w:rPr>
          <w:bCs/>
          <w:b/>
        </w:rPr>
        <w:t xml:space="preserve">Bảng định nghĩa biến,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 b4, b7a</w:t>
            </w:r>
          </w:p>
        </w:tc>
        <w:tc>
          <w:tcPr/>
          <w:p>
            <w:pPr>
              <w:pStyle w:val="Compact"/>
              <w:jc w:val="left"/>
            </w:pPr>
            <w:r>
              <w:t xml:space="preserve">z-std của TB(b8₀₁, e6₀₁, b4₀₁, b7a₀₁): TCI toàn diện</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c22b₀₁:</w:t>
            </w:r>
            <w:r>
              <w:t xml:space="preserve"> </w:t>
            </w:r>
            <w:r>
              <w:rPr>
                <w:bCs/>
                <w:b/>
              </w:rPr>
              <w:t xml:space="preserve">Tier-1 đơn biến</w:t>
            </w:r>
            <w:r>
              <w:t xml:space="preserve"> </w:t>
            </w:r>
            <w:r>
              <w:t xml:space="preserve">(binary)</w:t>
            </w:r>
          </w:p>
        </w:tc>
        <w:tc>
          <w:tcPr/>
          <w:p>
            <w:pPr>
              <w:pStyle w:val="Compact"/>
              <w:jc w:val="left"/>
            </w:pPr>
            <w:r>
              <w:t xml:space="preserve">Số hoá Tier-1 mỏng (kiểm soát)</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ISIC sector</w:t>
            </w:r>
          </w:p>
        </w:tc>
        <w:tc>
          <w:tcPr/>
          <w:p>
            <w:pPr>
              <w:pStyle w:val="Compact"/>
              <w:jc w:val="left"/>
            </w:pPr>
            <w:r>
              <w:t xml:space="preserve">Sector FE</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 (2012/2024)</w:t>
            </w:r>
          </w:p>
        </w:tc>
        <w:tc>
          <w:tcPr/>
          <w:p>
            <w:pPr>
              <w:pStyle w:val="Compact"/>
              <w:jc w:val="left"/>
            </w:pPr>
            <w:r>
              <w:t xml:space="preserve">Wave FE (chỉ pooled)</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w:t>
      </w:r>
      <w:r>
        <w:rPr>
          <w:iCs/>
          <w:i/>
        </w:rPr>
        <w:t xml:space="preserve">“</w:t>
      </w:r>
      <w:r>
        <w:rPr>
          <w:iCs/>
          <w:i/>
        </w:rPr>
        <w:t xml:space="preserve">panel core</w:t>
      </w:r>
      <w:r>
        <w:rPr>
          <w:iCs/>
          <w:i/>
        </w:rPr>
        <w:t xml:space="preserve">”</w:t>
      </w:r>
      <w:r>
        <w:rPr>
          <w:iCs/>
          <w:i/>
        </w:rPr>
        <w:t xml:space="preserve">) tạo thêm nhận dạng biến thiên trong mẫu trong khi clustered SE theo idstd xử lý tương quan nội nhóm. DAI Trung Quốc chỉ là Tier-1 đơn biến, không đủ để kiểm định CDCM; hàm ý chính sách và lý thuyết khác với P4 Singapore (Tier-1+2).</w:t>
      </w:r>
    </w:p>
    <w:p>
      <w:r>
        <w:pict>
          <v:rect style="width:0;height:1.5pt" o:hralign="center" o:hrstd="t" o:hr="t"/>
        </w:pict>
      </w:r>
    </w:p>
    <w:bookmarkEnd w:id="108"/>
    <w:bookmarkStart w:id="111" w:name="Xef1ee77b66ccd9962e55365d60bd74be93a9b17"/>
    <w:p>
      <w:pPr>
        <w:pStyle w:val="Heading3"/>
      </w:pPr>
      <w:r>
        <w:t xml:space="preserve">3.4.5.4 Mô hình cụ thể: Nghiên cứu 7 (Đa quốc gia châu Á, WBES 2003–2025)</w:t>
      </w:r>
    </w:p>
    <w:p>
      <w:pPr>
        <w:pStyle w:val="FirstParagraph"/>
      </w:pPr>
      <w:r>
        <w:t xml:space="preserve">Nghiên cứu 7 là kiểm định quy mô lớn nhất của luận án, sử dụng dữ liệu WBES từ</w:t>
      </w:r>
      <w:r>
        <w:t xml:space="preserve"> </w:t>
      </w:r>
      <w:r>
        <w:rPr>
          <w:bCs/>
          <w:b/>
        </w:rPr>
        <w:t xml:space="preserve">50 nền kinh tế châu Á và Thái Bình Dương</w:t>
      </w:r>
      <w:r>
        <w:t xml:space="preserve"> </w:t>
      </w:r>
      <w:r>
        <w:t xml:space="preserve">(103 cặp nền kinh tế × năm, 2006–2026, gồm Nhật Bản 2025). Mẫu phân tích đạt N = 81.022 (M2) đến N = 79.080 (M5 với kiểm soát đầy đủ). Thiết kế hồi quy hiệu ứng cố định hai chiều (nền kinh tế và năm) với sai số chuẩn cụm theo nền kinh tế. Ký hiệu tiếng Việt:</w:t>
      </w:r>
    </w:p>
    <w:p>
      <w:pPr>
        <w:numPr>
          <w:ilvl w:val="0"/>
          <w:numId w:val="1009"/>
        </w:numPr>
        <w:pStyle w:val="Compact"/>
      </w:pPr>
      <w:r>
        <w:rPr>
          <w:bCs/>
          <w:b/>
        </w:rPr>
        <w:t xml:space="preserve">lnNSLD_it</w:t>
      </w:r>
      <w:r>
        <w:t xml:space="preserve">: ln(năng suất lao động) = ln(doanh thu / lao động thường trực), biến phụ thuộc</w:t>
      </w:r>
    </w:p>
    <w:p>
      <w:pPr>
        <w:numPr>
          <w:ilvl w:val="0"/>
          <w:numId w:val="1009"/>
        </w:numPr>
        <w:pStyle w:val="Compact"/>
      </w:pPr>
      <w:r>
        <w:rPr>
          <w:bCs/>
          <w:b/>
        </w:rPr>
        <w:t xml:space="preserve">CDDXK_c_it</w:t>
      </w:r>
      <w:r>
        <w:t xml:space="preserve">: cường độ xuất khẩu mean-centred, FSTS_c = (d3c/100) − mean_pool(FSTS)</w:t>
      </w:r>
    </w:p>
    <w:p>
      <w:pPr>
        <w:numPr>
          <w:ilvl w:val="0"/>
          <w:numId w:val="1009"/>
        </w:numPr>
        <w:pStyle w:val="Compact"/>
      </w:pPr>
      <w:r>
        <w:rPr>
          <w:bCs/>
          <w:b/>
        </w:rPr>
        <w:t xml:space="preserve">CDDXK_c²_it</w:t>
      </w:r>
      <w:r>
        <w:t xml:space="preserve">: CDDXK_c bình phương, kiểm định phi tuyến</w:t>
      </w:r>
    </w:p>
    <w:p>
      <w:pPr>
        <w:numPr>
          <w:ilvl w:val="0"/>
          <w:numId w:val="1009"/>
        </w:numPr>
        <w:pStyle w:val="Compact"/>
      </w:pPr>
      <w:r>
        <w:rPr>
          <w:bCs/>
          <w:b/>
        </w:rPr>
        <w:t xml:space="preserve">NLCN_z_it</w:t>
      </w:r>
      <w:r>
        <w:t xml:space="preserve">: năng lực công nghệ z-standardised, TCI_z = z-std(b8, e6)</w:t>
      </w:r>
    </w:p>
    <w:p>
      <w:pPr>
        <w:numPr>
          <w:ilvl w:val="0"/>
          <w:numId w:val="1009"/>
        </w:numPr>
        <w:pStyle w:val="Compact"/>
      </w:pPr>
      <w:r>
        <w:rPr>
          <w:bCs/>
          <w:b/>
        </w:rPr>
        <w:t xml:space="preserve">CSS_z_it</w:t>
      </w:r>
      <w:r>
        <w:t xml:space="preserve">: chỉ số số hoá z-standardised, DAI_z = z-std(website + e-pay, Tier 1+2: c22b/e1, k33)</w:t>
      </w:r>
    </w:p>
    <w:p>
      <w:pPr>
        <w:numPr>
          <w:ilvl w:val="0"/>
          <w:numId w:val="1009"/>
        </w:numPr>
        <w:pStyle w:val="Compact"/>
      </w:pPr>
      <w:r>
        <w:rPr>
          <w:bCs/>
          <w:b/>
        </w:rPr>
        <w:t xml:space="preserve">KNQLy_it</w:t>
      </w:r>
      <w:r>
        <w:t xml:space="preserve">: kinh nghiệm nhà quản lý trong ngành (năm, b7)</w:t>
      </w:r>
    </w:p>
    <w:p>
      <w:pPr>
        <w:numPr>
          <w:ilvl w:val="0"/>
          <w:numId w:val="1009"/>
        </w:numPr>
        <w:pStyle w:val="Compact"/>
      </w:pPr>
      <w:r>
        <w:rPr>
          <w:bCs/>
          <w:b/>
        </w:rPr>
        <w:t xml:space="preserve">NQL_nu_it</w:t>
      </w:r>
      <w:r>
        <w:t xml:space="preserve">: top manager là nữ (binary, b7a/b6a)</w:t>
      </w:r>
    </w:p>
    <w:p>
      <w:pPr>
        <w:numPr>
          <w:ilvl w:val="0"/>
          <w:numId w:val="1009"/>
        </w:numPr>
        <w:pStyle w:val="Compact"/>
      </w:pPr>
      <w:r>
        <w:rPr>
          <w:bCs/>
          <w:b/>
        </w:rPr>
        <w:t xml:space="preserve">ICRV_j</w:t>
      </w:r>
      <w:r>
        <w:t xml:space="preserve">: phân loại chế độ thể chế ICRV (integer 1–6, Advanced sang SIDS)</w:t>
      </w:r>
    </w:p>
    <w:p>
      <w:pPr>
        <w:numPr>
          <w:ilvl w:val="0"/>
          <w:numId w:val="1009"/>
        </w:numPr>
        <w:pStyle w:val="Compact"/>
      </w:pPr>
      <w:r>
        <w:rPr>
          <w:bCs/>
          <w:b/>
        </w:rPr>
        <w:t xml:space="preserve">lnLD_it</w:t>
      </w:r>
      <w:r>
        <w:t xml:space="preserve">: ln(lao động thường trực), kiểm soát quy mô doanh nghiệp</w:t>
      </w:r>
    </w:p>
    <w:p>
      <w:pPr>
        <w:numPr>
          <w:ilvl w:val="0"/>
          <w:numId w:val="1009"/>
        </w:numPr>
        <w:pStyle w:val="Compact"/>
      </w:pPr>
      <w:r>
        <w:rPr>
          <w:bCs/>
          <w:b/>
        </w:rPr>
        <w:t xml:space="preserve">TuoiDN_it</w:t>
      </w:r>
      <w:r>
        <w:t xml:space="preserve">: tuổi doanh nghiệp (năm_khảo_sát − b5)</w:t>
      </w:r>
    </w:p>
    <w:p>
      <w:pPr>
        <w:numPr>
          <w:ilvl w:val="0"/>
          <w:numId w:val="1009"/>
        </w:numPr>
        <w:pStyle w:val="Compact"/>
      </w:pPr>
      <w:r>
        <w:rPr>
          <w:bCs/>
          <w:b/>
        </w:rPr>
        <w:t xml:space="preserve">SoHuuNN_it</w:t>
      </w:r>
      <w:r>
        <w:t xml:space="preserve">: tỷ lệ sở hữu nước ngoài (b6a/100)</w:t>
      </w:r>
    </w:p>
    <w:p>
      <w:pPr>
        <w:numPr>
          <w:ilvl w:val="0"/>
          <w:numId w:val="1009"/>
        </w:numPr>
        <w:pStyle w:val="Compact"/>
      </w:pPr>
      <w:r>
        <w:rPr>
          <w:bCs/>
          <w:b/>
        </w:rPr>
        <w:t xml:space="preserve">δ_ct</w:t>
      </w:r>
      <w:r>
        <w:t xml:space="preserve">: country × year fixed effects (M5)</w:t>
      </w:r>
    </w:p>
    <w:p>
      <w:pPr>
        <w:pStyle w:val="FirstParagraph"/>
      </w:pPr>
      <w:r>
        <w:rPr>
          <w:bCs/>
          <w:b/>
        </w:rPr>
        <w:t xml:space="preserve">Chuỗi mô hình lồng nhau M0–M11:</w:t>
      </w:r>
    </w:p>
    <w:p>
      <w:pPr>
        <w:pStyle w:val="BodyText"/>
      </w:pPr>
      <w:r>
        <w:rPr>
          <w:bCs/>
          <w:b/>
        </w:rPr>
        <w:t xml:space="preserve">M0</w:t>
      </w:r>
      <w:r>
        <w:t xml:space="preserve"> </w:t>
      </w:r>
      <w:r>
        <w:t xml:space="preserve">(tuyến tính baseline):</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kiểm định H1):</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ε</m:t>
              </m:r>
            </m:e>
            <m:sub>
              <m:r>
                <m:t>i</m:t>
              </m:r>
              <m:r>
                <m:t>t</m:t>
              </m:r>
            </m:sub>
          </m:sSub>
        </m:oMath>
      </m:oMathPara>
    </w:p>
    <w:p>
      <w:pPr>
        <w:pStyle w:val="FirstParagraph"/>
      </w:pPr>
      <m:oMathPara>
        <m:oMathParaPr>
          <m:jc m:val="center"/>
        </m:oMathParaP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 </m:t>
          </m:r>
          <m:r>
            <m:t>T</m:t>
          </m:r>
          <m:r>
            <m:t>P</m:t>
          </m:r>
          <m:r>
            <m:rPr>
              <m:sty m:val="p"/>
            </m:rPr>
            <m:t>=</m:t>
          </m:r>
          <m:r>
            <m:t>51</m:t>
          </m:r>
          <m:r>
            <m:rPr>
              <m:sty m:val="p"/>
            </m:rPr>
            <m:t>,</m:t>
          </m:r>
          <m:r>
            <m:t>5</m:t>
          </m:r>
          <m:r>
            <m:rPr>
              <m:sty m:val="p"/>
            </m:rPr>
            <m:t>%</m:t>
          </m:r>
          <m:r>
            <m:t> </m:t>
          </m:r>
          <m:d>
            <m:dPr>
              <m:begChr m:val="("/>
              <m:endChr m:val=")"/>
              <m:sepChr m:val=""/>
              <m:grow/>
            </m:dPr>
            <m:e>
              <m:r>
                <m:t>N</m:t>
              </m:r>
              <m:r>
                <m:rPr>
                  <m:sty m:val="p"/>
                </m:rPr>
                <m:t>=</m:t>
              </m:r>
              <m:r>
                <m:t>81.022</m:t>
              </m:r>
            </m:e>
          </m:d>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country-year FE, kiểm định vững mạnh nhất):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r>
            <m:t>T</m:t>
          </m:r>
          <m:r>
            <m:t>P</m:t>
          </m:r>
          <m:r>
            <m:rPr>
              <m:sty m:val="p"/>
            </m:rPr>
            <m:t>=</m:t>
          </m:r>
          <m:r>
            <m:t>43</m:t>
          </m:r>
          <m:r>
            <m:rPr>
              <m:sty m:val="p"/>
            </m:rPr>
            <m:t>,</m:t>
          </m:r>
          <m:r>
            <m:t>6</m:t>
          </m:r>
          <m:r>
            <m:rPr>
              <m:sty m:val="p"/>
            </m:rPr>
            <m:t>%</m:t>
          </m:r>
          <m:r>
            <m:t> </m:t>
          </m:r>
          <m:d>
            <m:dPr>
              <m:begChr m:val="("/>
              <m:endChr m:val=")"/>
              <m:sepChr m:val=""/>
              <m:grow/>
            </m:dPr>
            <m:e>
              <m:r>
                <m:t>N</m:t>
              </m:r>
              <m:r>
                <m:rPr>
                  <m:sty m:val="p"/>
                </m:rPr>
                <m:t>=</m:t>
              </m:r>
              <m:r>
                <m:t>79.080</m:t>
              </m:r>
              <m:r>
                <m:rPr>
                  <m:sty m:val="p"/>
                </m:rPr>
                <m:t>;</m:t>
              </m:r>
              <m:r>
                <m:t> </m:t>
              </m:r>
              <m:r>
                <m:rPr>
                  <m:nor/>
                  <m:sty m:val="p"/>
                </m:rPr>
                <m:t>Lind–Mehlum </m:t>
              </m:r>
              <m:r>
                <m:t>p</m:t>
              </m:r>
              <m:r>
                <m:rPr>
                  <m:sty m:val="p"/>
                </m:rPr>
                <m:t>&lt;</m:t>
              </m:r>
              <m:r>
                <m:rPr>
                  <m:sty m:val="p"/>
                </m:rPr>
                <m:t>,</m:t>
              </m:r>
              <m:r>
                <m:t>001</m:t>
              </m:r>
            </m:e>
          </m:d>
        </m:oMath>
      </m:oMathPara>
    </w:p>
    <w:p>
      <w:pPr>
        <w:pStyle w:val="FirstParagraph"/>
      </w:pPr>
      <w:r>
        <w:rPr>
          <w:bCs/>
          <w:b/>
        </w:rPr>
        <w:t xml:space="preserve">M7</w:t>
      </w:r>
      <w:r>
        <w:t xml:space="preserve"> </w:t>
      </w:r>
      <w:r>
        <w:t xml:space="preserve">(M3 +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oMath>
      </m:oMathPara>
    </w:p>
    <w:p>
      <w:pPr>
        <w:pStyle w:val="FirstParagraph"/>
      </w:pPr>
      <m:oMathPara>
        <m:oMathParaPr>
          <m:jc m:val="center"/>
        </m:oMathParaPr>
        <m:oMath>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t>γ</m:t>
          </m:r>
          <m:r>
            <m:rPr>
              <m:sty m:val="p"/>
            </m:rPr>
            <m:t>⋅</m:t>
          </m:r>
          <m:r>
            <m:t>X</m:t>
          </m:r>
          <m:r>
            <m:rPr>
              <m:sty m:val="p"/>
            </m:rPr>
            <m:t>+</m:t>
          </m:r>
          <m:r>
            <m:t>ε</m:t>
          </m:r>
        </m:oMath>
      </m:oMathPara>
    </w:p>
    <w:p>
      <w:pPr>
        <w:pStyle w:val="FirstParagraph"/>
      </w:pPr>
      <w:r>
        <w:rPr>
          <w:bCs/>
          <w:b/>
        </w:rPr>
        <w:t xml:space="preserve">M8</w:t>
      </w:r>
      <w:r>
        <w:t xml:space="preserve"> </w:t>
      </w:r>
      <w:r>
        <w:t xml:space="preserve">(M7 + điều tiết CSS, kiểm định H3):</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H3: </m:t>
          </m:r>
          <m:sSub>
            <m:e>
              <m:acc>
                <m:accPr>
                  <m:chr m:val="̂"/>
                </m:accPr>
                <m:e>
                  <m:r>
                    <m:t>β</m:t>
                  </m:r>
                </m:e>
              </m:acc>
            </m:e>
            <m:sub>
              <m:r>
                <m:t>7</m:t>
              </m:r>
            </m:sub>
          </m:sSub>
          <m:r>
            <m:rPr>
              <m:sty m:val="p"/>
            </m:rPr>
            <m:t>=</m:t>
          </m:r>
          <m:r>
            <m:rPr>
              <m:sty m:val="p"/>
            </m:rPr>
            <m:t>−</m:t>
          </m:r>
          <m:r>
            <m:t>0</m:t>
          </m:r>
          <m:r>
            <m:rPr>
              <m:sty m:val="p"/>
            </m:rPr>
            <m:t>,</m:t>
          </m:r>
          <m:r>
            <m:t>271</m:t>
          </m:r>
          <m:r>
            <m:t> </m:t>
          </m:r>
          <m:d>
            <m:dPr>
              <m:begChr m:val="("/>
              <m:endChr m:val=")"/>
              <m:sepChr m:val=""/>
              <m:grow/>
            </m:dPr>
            <m:e>
              <m:r>
                <m:t>p</m:t>
              </m:r>
              <m:r>
                <m:rPr>
                  <m:sty m:val="p"/>
                </m:rPr>
                <m:t>=</m:t>
              </m:r>
              <m:r>
                <m:rPr>
                  <m:sty m:val="p"/>
                </m:rPr>
                <m:t>,</m:t>
              </m:r>
              <m:r>
                <m:t>149</m:t>
              </m:r>
            </m:e>
          </m:d>
          <m:r>
            <m:rPr>
              <m:sty m:val="p"/>
            </m:rPr>
            <m:t>;</m:t>
          </m:r>
          <m:r>
            <m:t> </m:t>
          </m:r>
          <m:sSub>
            <m:e>
              <m:acc>
                <m:accPr>
                  <m:chr m:val="̂"/>
                </m:accPr>
                <m:e>
                  <m:r>
                    <m:t>β</m:t>
                  </m:r>
                </m:e>
              </m:acc>
            </m:e>
            <m:sub>
              <m:r>
                <m:t>8</m:t>
              </m:r>
            </m:sub>
          </m:sSub>
          <m:r>
            <m:rPr>
              <m:sty m:val="p"/>
            </m:rPr>
            <m:t>=</m:t>
          </m:r>
          <m:r>
            <m:rPr>
              <m:sty m:val="p"/>
            </m:rPr>
            <m:t>+</m:t>
          </m:r>
          <m:r>
            <m:t>0</m:t>
          </m:r>
          <m:r>
            <m:rPr>
              <m:sty m:val="p"/>
            </m:rPr>
            <m:t>,</m:t>
          </m:r>
          <m:r>
            <m:t>252</m:t>
          </m:r>
          <m:r>
            <m:t> </m:t>
          </m:r>
          <m:d>
            <m:dPr>
              <m:begChr m:val="("/>
              <m:endChr m:val=")"/>
              <m:sepChr m:val=""/>
              <m:grow/>
            </m:dPr>
            <m:e>
              <m:r>
                <m:t>p</m:t>
              </m:r>
              <m:r>
                <m:rPr>
                  <m:sty m:val="p"/>
                </m:rPr>
                <m:t>=</m:t>
              </m:r>
              <m:r>
                <m:rPr>
                  <m:sty m:val="p"/>
                </m:rPr>
                <m:t>,</m:t>
              </m:r>
              <m:r>
                <m:t>367</m:t>
              </m:r>
            </m:e>
          </m:d>
          <m:r>
            <m:rPr>
              <m:nor/>
              <m:sty m:val="p"/>
            </m:rPr>
            <m:t>, cùng chiều nén nhưng không ý nghĩa toàn mẫu; hiệu ứng mức DAI</m:t>
          </m:r>
          <m:r>
            <m:rPr>
              <m:sty m:val="p"/>
            </m:rPr>
            <m:t>=</m:t>
          </m:r>
          <m:r>
            <m:rPr>
              <m:sty m:val="p"/>
            </m:rPr>
            <m:t>+</m:t>
          </m:r>
          <m:r>
            <m:t>0</m:t>
          </m:r>
          <m:r>
            <m:rPr>
              <m:sty m:val="p"/>
            </m:rPr>
            <m:t>,</m:t>
          </m:r>
          <m:r>
            <m:t>201</m:t>
          </m:r>
          <m:r>
            <m:t> </m:t>
          </m:r>
          <m:d>
            <m:dPr>
              <m:begChr m:val="("/>
              <m:endChr m:val=")"/>
              <m:sepChr m:val=""/>
              <m:grow/>
            </m:dPr>
            <m:e>
              <m:r>
                <m:t>p</m:t>
              </m:r>
              <m:r>
                <m:rPr>
                  <m:sty m:val="p"/>
                </m:rPr>
                <m:t>&lt;</m:t>
              </m:r>
              <m:r>
                <m:rPr>
                  <m:sty m:val="p"/>
                </m:rPr>
                <m:t>,</m:t>
              </m:r>
              <m:r>
                <m:t>001</m:t>
              </m:r>
            </m:e>
          </m:d>
        </m:oMath>
      </m:oMathPara>
    </w:p>
    <w:p>
      <w:pPr>
        <w:pStyle w:val="FirstParagraph"/>
      </w:pPr>
      <w:r>
        <w:rPr>
          <w:bCs/>
          <w:b/>
        </w:rPr>
        <w:t xml:space="preserve">M9</w:t>
      </w:r>
      <w:r>
        <w:t xml:space="preserve"> </w:t>
      </w:r>
      <w:r>
        <w:t xml:space="preserve">(M8 + đặc điểm nhà quản lý, kiểm định H4):</w:t>
      </w:r>
    </w:p>
    <w:p>
      <w:pPr>
        <w:pStyle w:val="BodyText"/>
      </w:pPr>
      <m:oMathPara>
        <m:oMathParaPr>
          <m:jc m:val="center"/>
        </m:oMathParaPr>
        <m:oMath>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sSub>
            <m:e>
              <m:r>
                <m:t>β</m:t>
              </m:r>
            </m:e>
            <m:sub>
              <m:r>
                <m:t>11</m:t>
              </m:r>
            </m:sub>
          </m:sSub>
          <m:d>
            <m:dPr>
              <m:begChr m:val="("/>
              <m:endChr m:val=")"/>
              <m:sepChr m:val=""/>
              <m:grow/>
            </m:dPr>
            <m:e>
              <m:r>
                <m:t>C</m:t>
              </m:r>
              <m:r>
                <m:t>D</m:t>
              </m:r>
              <m:r>
                <m:t>D</m:t>
              </m:r>
              <m:r>
                <m:t>X</m:t>
              </m:r>
              <m:r>
                <m:t>K</m:t>
              </m:r>
              <m:r>
                <m:rPr>
                  <m:sty m:val="p"/>
                </m:rPr>
                <m:t>_</m:t>
              </m:r>
              <m:r>
                <m:t>c</m:t>
              </m:r>
              <m:r>
                <m:rPr>
                  <m:sty m:val="p"/>
                </m:rPr>
                <m:t>×</m:t>
              </m:r>
              <m:r>
                <m:t>K</m:t>
              </m:r>
              <m:r>
                <m:t>N</m:t>
              </m:r>
              <m:r>
                <m:t>Q</m:t>
              </m:r>
              <m:r>
                <m:t>L</m:t>
              </m:r>
              <m:r>
                <m:t>y</m:t>
              </m:r>
            </m:e>
          </m:d>
          <m:r>
            <m:rPr>
              <m:sty m:val="p"/>
            </m:rPr>
            <m:t>+</m:t>
          </m:r>
          <m:r>
            <m:t>γ</m:t>
          </m:r>
          <m:r>
            <m:rPr>
              <m:sty m:val="p"/>
            </m:rPr>
            <m:t>⋅</m:t>
          </m:r>
          <m: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088</m:t>
              </m:r>
            </m:e>
            <m:sup>
              <m:r>
                <m:rPr>
                  <m:sty m:val="p"/>
                </m:rPr>
                <m:t>*</m:t>
              </m:r>
            </m:sup>
          </m:sSup>
          <m:r>
            <m:t> </m:t>
          </m:r>
          <m:d>
            <m:dPr>
              <m:begChr m:val="("/>
              <m:endChr m:val=")"/>
              <m:sepChr m:val=""/>
              <m:grow/>
            </m:dPr>
            <m:e>
              <m:r>
                <m:t>p</m:t>
              </m:r>
              <m:r>
                <m:rPr>
                  <m:sty m:val="p"/>
                </m:rPr>
                <m:t>=</m:t>
              </m:r>
              <m:r>
                <m:rPr>
                  <m:sty m:val="p"/>
                </m:rPr>
                <m:t>,</m:t>
              </m:r>
              <m:r>
                <m:t>026</m:t>
              </m:r>
            </m:e>
          </m:d>
          <m:r>
            <m:rPr>
              <m:nor/>
              <m:sty m:val="p"/>
            </m:rPr>
            <m:t> (nữ quản lý cấp cao: hệ số mức âm nhẹ; tương tác với FSTS không ý nghĩa)</m:t>
          </m:r>
        </m:oMath>
      </m:oMathPara>
    </w:p>
    <w:p>
      <w:pPr>
        <w:pStyle w:val="FirstParagraph"/>
      </w:pPr>
      <w:r>
        <w:rPr>
          <w:bCs/>
          <w:b/>
        </w:rPr>
        <w:t xml:space="preserve">M10</w:t>
      </w:r>
      <w:r>
        <w:t xml:space="preserve"> </w:t>
      </w:r>
      <w:r>
        <w:t xml:space="preserve">(M3 + điều tiết ICRV, kiểm định H5):</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11</m:t>
              </m:r>
            </m:sub>
          </m:sSub>
          <m:r>
            <m:t>I</m:t>
          </m:r>
          <m:r>
            <m:t>C</m:t>
          </m:r>
          <m:r>
            <m:t>R</m:t>
          </m:r>
          <m:sSub>
            <m:e>
              <m: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H5 (ba vùng): chữ U ngược định hình rõ ở Nhóm IV </m:t>
          </m:r>
          <m:d>
            <m:dPr>
              <m:begChr m:val="("/>
              <m:endChr m:val=")"/>
              <m:sepChr m:val=""/>
              <m:grow/>
            </m:dPr>
            <m:e>
              <m:r>
                <m:t>T</m:t>
              </m:r>
              <m:r>
                <m:t>P</m:t>
              </m:r>
              <m:r>
                <m:rPr>
                  <m:sty m:val="p"/>
                </m:rPr>
                <m:t>=</m:t>
              </m:r>
              <m:r>
                <m:t>43</m:t>
              </m:r>
              <m:r>
                <m:rPr>
                  <m:sty m:val="p"/>
                </m:rPr>
                <m:t>,</m:t>
              </m:r>
              <m:r>
                <m:t>0</m:t>
              </m:r>
              <m:r>
                <m:rPr>
                  <m:sty m:val="p"/>
                </m:rPr>
                <m:t>%</m:t>
              </m:r>
              <m:r>
                <m:rPr>
                  <m:sty m:val="p"/>
                </m:rPr>
                <m:t>,</m:t>
              </m:r>
              <m:r>
                <m:t> </m:t>
              </m:r>
              <m:sSub>
                <m:e>
                  <m:r>
                    <m:t>p</m:t>
                  </m:r>
                </m:e>
                <m:sub>
                  <m:r>
                    <m:t>L</m:t>
                  </m:r>
                  <m:r>
                    <m:t>M</m:t>
                  </m:r>
                </m:sub>
              </m:sSub>
              <m:r>
                <m:rPr>
                  <m:sty m:val="p"/>
                </m:rPr>
                <m:t>&lt;</m:t>
              </m:r>
              <m:r>
                <m:rPr>
                  <m:sty m:val="p"/>
                </m:rPr>
                <m:t>,</m:t>
              </m:r>
              <m:r>
                <m:t>001</m:t>
              </m:r>
            </m:e>
          </m:d>
          <m:r>
            <m:rPr>
              <m:sty m:val="p"/>
            </m:rPr>
            <m:t>;</m:t>
          </m:r>
          <m:r>
            <m:rPr>
              <m:nor/>
              <m:sty m:val="p"/>
            </m:rPr>
            <m:t> gần tuyến tính ở Nhóm I; tan rã ở Nhóm V–VI</m:t>
          </m:r>
        </m:oMath>
      </m:oMathPara>
    </w:p>
    <w:p>
      <w:pPr>
        <w:pStyle w:val="FirstParagraph"/>
      </w:pPr>
      <w:r>
        <w:rPr>
          <w:bCs/>
          <w:b/>
        </w:rPr>
        <w:t xml:space="preserve">M11</w:t>
      </w:r>
      <w:r>
        <w:t xml:space="preserve"> </w:t>
      </w:r>
      <w:r>
        <w:t xml:space="preserve">(full three-way, kiểm định tương tác tổng hợp ba chiều, tổng hợp H3 và H5; P7):</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r>
            <m:rPr>
              <m:sty m:val="p"/>
            </m:rPr>
            <m:t>+</m:t>
          </m:r>
          <m:sSub>
            <m:e>
              <m:r>
                <m:t>β</m:t>
              </m:r>
            </m:e>
            <m:sub>
              <m:r>
                <m:t>11</m:t>
              </m:r>
            </m:sub>
          </m:sSub>
          <m:r>
            <m:t>I</m:t>
          </m:r>
          <m:r>
            <m:t>C</m:t>
          </m:r>
          <m:r>
            <m:t>R</m:t>
          </m:r>
          <m:r>
            <m:t>V</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r>
                <m:rPr>
                  <m:sty m:val="p"/>
                </m:rPr>
                <m:t>×</m:t>
              </m:r>
              <m:r>
                <m:t>I</m:t>
              </m:r>
              <m:r>
                <m:t>C</m:t>
              </m:r>
              <m:r>
                <m:t>R</m:t>
              </m:r>
              <m:r>
                <m:t>V</m:t>
              </m:r>
            </m:e>
          </m:d>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r>
            <m:t>γ</m:t>
          </m:r>
          <m:r>
            <m:rPr>
              <m:sty m:val="p"/>
            </m:rPr>
            <m:t>⋅</m:t>
          </m:r>
          <m:r>
            <m:t>X</m:t>
          </m:r>
          <m:r>
            <m:rPr>
              <m:sty m:val="p"/>
            </m:rPr>
            <m:t>+</m:t>
          </m:r>
          <m:sSub>
            <m:e>
              <m:r>
                <m:t>δ</m:t>
              </m:r>
            </m:e>
            <m:sub>
              <m:r>
                <m:t>c</m:t>
              </m:r>
              <m:r>
                <m:t>t</m:t>
              </m:r>
            </m:sub>
          </m:sSub>
          <m:r>
            <m:rPr>
              <m:sty m:val="p"/>
            </m:rPr>
            <m:t>+</m:t>
          </m:r>
          <m:r>
            <m:t>ε</m:t>
          </m:r>
        </m:oMath>
      </m:oMathPara>
    </w:p>
    <w:p>
      <w:pPr>
        <w:pStyle w:val="FirstParagraph"/>
      </w:pPr>
      <m:oMathPara>
        <m:oMathParaPr>
          <m:jc m:val="center"/>
        </m:oMathParaPr>
        <m:oMath>
          <m:r>
            <m:rPr>
              <m:nor/>
              <m:sty m:val="p"/>
            </m:rPr>
            <m:t>Tương tác chế độ-yếu: FSTS</m:t>
          </m:r>
          <m:r>
            <m:rPr>
              <m:sty m:val="p"/>
            </m:rPr>
            <m:t>×</m:t>
          </m:r>
          <m:r>
            <m:rPr>
              <m:nor/>
              <m:sty m:val="p"/>
            </m:rPr>
            <m:t>Weak</m:t>
          </m:r>
          <m:r>
            <m:rPr>
              <m:sty m:val="p"/>
            </m:rPr>
            <m:t>=</m:t>
          </m:r>
          <m:r>
            <m:rPr>
              <m:sty m:val="p"/>
            </m:rPr>
            <m:t>−</m:t>
          </m:r>
          <m:r>
            <m:t>0</m:t>
          </m:r>
          <m:r>
            <m:rPr>
              <m:sty m:val="p"/>
            </m:rPr>
            <m:t>,</m:t>
          </m:r>
          <m:r>
            <m:t>523</m:t>
          </m:r>
          <m:r>
            <m:t> </m:t>
          </m:r>
          <m:d>
            <m:dPr>
              <m:begChr m:val="("/>
              <m:endChr m:val=")"/>
              <m:sepChr m:val=""/>
              <m:grow/>
            </m:dPr>
            <m:e>
              <m:r>
                <m:t>p</m:t>
              </m:r>
              <m:r>
                <m:rPr>
                  <m:sty m:val="p"/>
                </m:rPr>
                <m:t>=</m:t>
              </m:r>
              <m:r>
                <m:rPr>
                  <m:sty m:val="p"/>
                </m:rPr>
                <m:t>,</m:t>
              </m:r>
              <m:r>
                <m:t>087</m:t>
              </m:r>
            </m:e>
          </m:d>
          <m:r>
            <m:rPr>
              <m:sty m:val="p"/>
            </m:rPr>
            <m:t>;</m:t>
          </m:r>
          <m:r>
            <m:rPr>
              <m:nor/>
              <m:sty m:val="p"/>
            </m:rPr>
            <m:t> ba chiều không ý nghĩa; </m:t>
          </m:r>
          <m:r>
            <m:t>T</m:t>
          </m:r>
          <m:r>
            <m:t>P</m:t>
          </m:r>
          <m:r>
            <m:t> </m:t>
          </m:r>
          <m:d>
            <m:dPr>
              <m:begChr m:val="("/>
              <m:endChr m:val=")"/>
              <m:sepChr m:val=""/>
              <m:grow/>
            </m:dPr>
            <m:e>
              <m:r>
                <m:t>M</m:t>
              </m:r>
              <m:r>
                <m:t>10</m:t>
              </m:r>
            </m:e>
          </m:d>
          <m:r>
            <m:rPr>
              <m:sty m:val="p"/>
            </m:rPr>
            <m:t>=</m:t>
          </m:r>
          <m:r>
            <m:t>45</m:t>
          </m:r>
          <m:r>
            <m:rPr>
              <m:sty m:val="p"/>
            </m:rPr>
            <m:t>,</m:t>
          </m:r>
          <m:r>
            <m:t>9</m:t>
          </m:r>
          <m:r>
            <m:rPr>
              <m:sty m:val="p"/>
            </m:rPr>
            <m:t>%</m:t>
          </m:r>
          <m:r>
            <m:rPr>
              <m:sty m:val="p"/>
            </m:rPr>
            <m:t>,</m:t>
          </m:r>
          <m:r>
            <m:t> </m:t>
          </m:r>
          <m:r>
            <m:rPr>
              <m:nor/>
              <m:sty m:val="p"/>
            </m:rPr>
            <m:t>LM </m:t>
          </m:r>
          <m:r>
            <m:t>p</m:t>
          </m:r>
          <m:r>
            <m:rPr>
              <m:sty m:val="p"/>
            </m:rPr>
            <m:t>&lt;</m:t>
          </m:r>
          <m:r>
            <m:rPr>
              <m:sty m:val="p"/>
            </m:rPr>
            <m:t>,</m:t>
          </m:r>
          <m:r>
            <m:t>001</m:t>
          </m:r>
        </m:oMath>
      </m:oMathPara>
    </w:p>
    <w:p>
      <w:pPr>
        <w:pStyle w:val="FirstParagraph"/>
      </w:pPr>
      <w:r>
        <w:rPr>
          <w:bCs/>
          <w:b/>
        </w:rPr>
        <w:t xml:space="preserve">Bảng định nghĩa biến,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chất lượng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c22b/e1, k33</w:t>
            </w:r>
          </w:p>
        </w:tc>
        <w:tc>
          <w:tcPr/>
          <w:p>
            <w:pPr>
              <w:pStyle w:val="Compact"/>
              <w:jc w:val="left"/>
            </w:pPr>
            <w:r>
              <w:t xml:space="preserve">z-std(website + e-payment): Tier 1+2</w:t>
            </w:r>
          </w:p>
        </w:tc>
        <w:tc>
          <w:tcPr/>
          <w:p>
            <w:pPr>
              <w:pStyle w:val="Compact"/>
              <w:jc w:val="left"/>
            </w:pPr>
            <w:r>
              <w:t xml:space="preserve">Số hoá (DAI)</w:t>
            </w:r>
          </w:p>
        </w:tc>
      </w:tr>
      <w:tr>
        <w:tc>
          <w:tcPr/>
          <w:p>
            <w:pPr>
              <w:pStyle w:val="Compact"/>
              <w:jc w:val="left"/>
            </w:pPr>
            <w:r>
              <w:t xml:space="preserve">KNQLy</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NQL_nu</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integer 1–6 (Advanced Innovation→SIDS)</w:t>
            </w:r>
          </w:p>
        </w:tc>
        <w:tc>
          <w:tcPr/>
          <w:p>
            <w:pPr>
              <w:pStyle w:val="Compact"/>
              <w:jc w:val="left"/>
            </w:pPr>
            <w:r>
              <w:t xml:space="preserve">Thể chế</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δ_ct</w:t>
            </w:r>
          </w:p>
        </w:tc>
        <w:tc>
          <w:tcPr/>
          <w:p>
            <w:pPr>
              <w:pStyle w:val="Compact"/>
              <w:jc w:val="left"/>
            </w:pPr>
            <w:r>
              <w:t xml:space="preserve">n/a</w:t>
            </w:r>
          </w:p>
        </w:tc>
        <w:tc>
          <w:tcPr/>
          <w:p>
            <w:pPr>
              <w:pStyle w:val="Compact"/>
              <w:jc w:val="left"/>
            </w:pPr>
            <w:r>
              <w:t xml:space="preserve">country × year FE</w:t>
            </w:r>
          </w:p>
        </w:tc>
        <w:tc>
          <w:tcPr/>
          <w:p>
            <w:pPr>
              <w:pStyle w:val="Compact"/>
              <w:jc w:val="left"/>
            </w:pPr>
            <w:r>
              <w:t xml:space="preserve">Fixed effects</w:t>
            </w:r>
          </w:p>
        </w:tc>
      </w:tr>
    </w:tbl>
    <w:p>
      <w:pPr>
        <w:pStyle w:val="BodyText"/>
      </w:pPr>
      <w:r>
        <w:rPr>
          <w:iCs/>
          <w:i/>
        </w:rPr>
        <w:t xml:space="preserve">Ghi chú: Mẫu phân tích giảm nhẹ từ N = 81.022 (M2) xuống 79.080 (M5, thêm kiểm soát); các mô hình điều tiết M7, M8 và M10 giữ N tương đương 79.080–79.220. DAI P7 là Tier 1+2 khi k33 có mặt, Tier-1 only khi thiếu, khác với P3 Vietnam (Tier-1 only) và đồng nhất với P4 Singapore (Tier-1+2). ICRV là biến điều tiết liên tục (integer), không phải dummies, nhằm giữ N đủ lớn trong M10–M11.</w:t>
      </w:r>
    </w:p>
    <w:p>
      <w:r>
        <w:pict>
          <v:rect style="width:0;height:1.5pt" o:hralign="center" o:hrstd="t" o:hr="t"/>
        </w:pict>
      </w:r>
    </w:p>
    <w:bookmarkStart w:id="109" w:name="X2f7897a1357dc715f37e320d2cca3ed5f2bb32c"/>
    <w:p>
      <w:pPr>
        <w:pStyle w:val="Heading4"/>
      </w:pPr>
      <w:r>
        <w:t xml:space="preserve">3.4.5.5 Mô hình cụ thể: Nghiên cứu 8: Pacific SIDS (N = 959, Nhóm VI)</w:t>
      </w:r>
    </w:p>
    <w:p>
      <w:pPr>
        <w:pStyle w:val="FirstParagraph"/>
      </w:pPr>
      <w:r>
        <w:t xml:space="preserve">Nghiên cứu 8 phân tích mẫu gồm</w:t>
      </w:r>
      <w:r>
        <w:t xml:space="preserve"> </w:t>
      </w:r>
      <w:r>
        <w:rPr>
          <w:bCs/>
          <w:b/>
        </w:rPr>
        <w:t xml:space="preserve">N = 959 doanh nghiệp</w:t>
      </w:r>
      <w:r>
        <w:t xml:space="preserve"> </w:t>
      </w:r>
      <w:r>
        <w:t xml:space="preserve">tại</w:t>
      </w:r>
      <w:r>
        <w:t xml:space="preserve"> </w:t>
      </w:r>
      <w:r>
        <w:rPr>
          <w:bCs/>
          <w:b/>
        </w:rPr>
        <w:t xml:space="preserve">7 nền kinh tế Pacific SIDS</w:t>
      </w:r>
      <w:r>
        <w:t xml:space="preserve"> </w:t>
      </w:r>
      <w:r>
        <w:t xml:space="preserve">(Fiji, Kiribati, Papua New Guinea, Samoa, Solomon Islands, Tonga, Vanuatu) từ các sóng WBES 2009–2025. Đây là nhóm thể chế ICRV Nhóm VI, cấp thấp nhất trong phân loại 6 chế độ, đặc trưng bởi thị trường nội địa cực nhỏ, chi phí thương mại cao và hỗ trợ thể chế yếu. Trong tổng mẫu, chỉ</w:t>
      </w:r>
      <w:r>
        <w:t xml:space="preserve"> </w:t>
      </w:r>
      <w:r>
        <w:rPr>
          <w:bCs/>
          <w:b/>
        </w:rPr>
        <w:t xml:space="preserve">132 doanh nghiệp có hoạt động xuất khẩu</w:t>
      </w:r>
      <w:r>
        <w:t xml:space="preserve"> </w:t>
      </w:r>
      <w:r>
        <w:t xml:space="preserve">(13,8%),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FIP)</w:t>
      </w:r>
      <w:r>
        <w:t xml:space="preserve">, mối quan hệ quốc tế hóa–hiệu quả là</w:t>
      </w:r>
      <w:r>
        <w:t xml:space="preserve"> </w:t>
      </w:r>
      <w:r>
        <w:rPr>
          <w:bCs/>
          <w:b/>
        </w:rPr>
        <w:t xml:space="preserve">đơn điệu âm</w:t>
      </w:r>
      <w:r>
        <w:t xml:space="preserve"> </w:t>
      </w:r>
      <w:r>
        <w:t xml:space="preserve">tại Nhóm VI, trái ngược với hình chữ U ngược được quan sát ở P3–P7. Lind–Mehlum U-test không bác bỏ đơn điệu (p &gt; ,10), xác nhận không có điểm quay.</w:t>
      </w:r>
    </w:p>
    <w:p>
      <w:pPr>
        <w:pStyle w:val="BodyText"/>
      </w:pPr>
      <w:r>
        <w:rPr>
          <w:bCs/>
          <w:b/>
        </w:rPr>
        <w:t xml:space="preserve">Ký hiệu biến (tiếng Việt ↔ mã WBES):</w:t>
      </w:r>
    </w:p>
    <w:tbl>
      <w:tblPr>
        <w:tblStyle w:val="Table"/>
        <w:tblW w:type="pct" w:w="5000"/>
        <w:tblLook w:firstRow="1" w:lastRow="0" w:firstColumn="0" w:lastColumn="0" w:noHBand="0" w:noVBand="0" w:val="0020"/>
        <w:jc w:val="start"/>
      </w:tblPr>
      <w:tblGrid>
        <w:gridCol w:w="1584"/>
        <w:gridCol w:w="2816"/>
        <w:gridCol w:w="1584"/>
        <w:gridCol w:w="1936"/>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w:r>
              <w:t xml:space="preserve">lnNSLD</w:t>
            </w:r>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PPP / lao động thường trực)</w:t>
            </w:r>
          </w:p>
        </w:tc>
      </w:tr>
      <w:tr>
        <w:tc>
          <w:tcPr/>
          <w:p>
            <w:pPr>
              <w:pStyle w:val="Compact"/>
              <w:jc w:val="left"/>
            </w:pPr>
            <w:r>
              <w:t xml:space="preserve">CDDXK_c</w:t>
            </w:r>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w:r>
              <w:t xml:space="preserve">CDDXK_c²</w:t>
            </w:r>
          </w:p>
        </w:tc>
        <w:tc>
          <w:tcPr/>
          <w:p>
            <w:pPr>
              <w:pStyle w:val="Compact"/>
              <w:jc w:val="left"/>
            </w:pPr>
            <w:r>
              <w:t xml:space="preserve">CDDXK_c bình phương</w:t>
            </w:r>
          </w:p>
        </w:tc>
        <w:tc>
          <w:tcPr/>
          <w:p>
            <w:pPr>
              <w:pStyle w:val="Compact"/>
              <w:jc w:val="left"/>
            </w:pPr>
            <w:r>
              <w:t xml:space="preserve">d3c</w:t>
            </w:r>
          </w:p>
        </w:tc>
        <w:tc>
          <w:tcPr/>
          <w:p>
            <w:pPr>
              <w:pStyle w:val="Compact"/>
              <w:jc w:val="left"/>
            </w:pPr>
            <w:r>
              <w:t xml:space="preserve">CDDXK_c × CDDXK_c</w:t>
            </w:r>
          </w:p>
        </w:tc>
      </w:tr>
      <w:tr>
        <w:tc>
          <w:tcPr/>
          <w:p>
            <w:pPr>
              <w:pStyle w:val="Compact"/>
              <w:jc w:val="left"/>
            </w:pPr>
            <w:r>
              <w:t xml:space="preserve">NLCN_z</w:t>
            </w:r>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z-std(trung bình cert chất lượng + CN nước ngoài)</w:t>
            </w:r>
          </w:p>
        </w:tc>
      </w:tr>
      <w:tr>
        <w:tc>
          <w:tcPr/>
          <w:p>
            <w:pPr>
              <w:pStyle w:val="Compact"/>
              <w:jc w:val="left"/>
            </w:pPr>
            <w:r>
              <w:t xml:space="preserve">CSS_z</w:t>
            </w:r>
          </w:p>
        </w:tc>
        <w:tc>
          <w:tcPr/>
          <w:p>
            <w:pPr>
              <w:pStyle w:val="Compact"/>
              <w:jc w:val="left"/>
            </w:pPr>
            <w:r>
              <w:t xml:space="preserve">Chỉ số số hoá (Tier-1)</w:t>
            </w:r>
          </w:p>
        </w:tc>
        <w:tc>
          <w:tcPr/>
          <w:p>
            <w:pPr>
              <w:pStyle w:val="Compact"/>
              <w:jc w:val="left"/>
            </w:pPr>
            <w:r>
              <w:t xml:space="preserve">c22b</w:t>
            </w:r>
          </w:p>
        </w:tc>
        <w:tc>
          <w:tcPr/>
          <w:p>
            <w:pPr>
              <w:pStyle w:val="Compact"/>
              <w:jc w:val="left"/>
            </w:pPr>
            <w:r>
              <w:t xml:space="preserve">z-std(website binary):</w:t>
            </w:r>
            <w:r>
              <w:t xml:space="preserve"> </w:t>
            </w:r>
            <w:r>
              <w:rPr>
                <w:bCs/>
                <w:b/>
              </w:rPr>
              <w:t xml:space="preserve">chỉ Tier-1, không dynamic</w:t>
            </w:r>
          </w:p>
        </w:tc>
      </w:tr>
      <w:tr>
        <w:tc>
          <w:tcPr/>
          <w:p>
            <w:pPr>
              <w:pStyle w:val="Compact"/>
              <w:jc w:val="left"/>
            </w:pPr>
            <w:r>
              <w:t xml:space="preserve">lnLD</w:t>
            </w:r>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TuoiDN</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SoHuuNN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w:r>
              <w:t xml:space="preserve">δ_c</w:t>
            </w:r>
          </w:p>
        </w:tc>
        <w:tc>
          <w:tcPr/>
          <w:p>
            <w:pPr>
              <w:pStyle w:val="Compact"/>
              <w:jc w:val="left"/>
            </w:pPr>
            <w:r>
              <w:t xml:space="preserve">Country fixed effects</w:t>
            </w:r>
          </w:p>
        </w:tc>
        <w:tc>
          <w:tcPr/>
          <w:p>
            <w:pPr>
              <w:pStyle w:val="Compact"/>
              <w:jc w:val="left"/>
            </w:pPr>
            <w:r>
              <w:t xml:space="preserve">a3b</w:t>
            </w:r>
          </w:p>
        </w:tc>
        <w:tc>
          <w:tcPr/>
          <w:p>
            <w:pPr>
              <w:pStyle w:val="Compact"/>
              <w:jc w:val="left"/>
            </w:pPr>
            <w:r>
              <w:t xml:space="preserve">dummy theo quốc gia</w:t>
            </w:r>
          </w:p>
        </w:tc>
      </w:tr>
      <w:tr>
        <w:tc>
          <w:tcPr/>
          <w:p>
            <w:pPr>
              <w:pStyle w:val="Compact"/>
              <w:jc w:val="left"/>
            </w:pPr>
            <w:r>
              <w:t xml:space="preserve">λ_t</w:t>
            </w:r>
          </w:p>
        </w:tc>
        <w:tc>
          <w:tcPr/>
          <w:p>
            <w:pPr>
              <w:pStyle w:val="Compact"/>
              <w:jc w:val="left"/>
            </w:pPr>
            <w:r>
              <w:t xml:space="preserve">Wave fixed effects</w:t>
            </w:r>
          </w:p>
        </w:tc>
        <w:tc>
          <w:tcPr/>
          <w:p>
            <w:pPr>
              <w:pStyle w:val="Compact"/>
              <w:jc w:val="left"/>
            </w:pPr>
            <w:r>
              <w:t xml:space="preserve">wave</w:t>
            </w:r>
          </w:p>
        </w:tc>
        <w:tc>
          <w:tcPr/>
          <w:p>
            <w:pPr>
              <w:pStyle w:val="Compact"/>
              <w:jc w:val="left"/>
            </w:pPr>
            <w:r>
              <w:t xml:space="preserve">dummy theo sóng điều tra</w:t>
            </w:r>
          </w:p>
        </w:tc>
      </w:tr>
    </w:tbl>
    <w:p>
      <w:pPr>
        <w:pStyle w:val="BodyText"/>
      </w:pPr>
      <w:r>
        <w:rPr>
          <w:iCs/>
          <w:i/>
        </w:rPr>
        <w:t xml:space="preserve">Ghi chú: CSS_z (DAI) là proxy tĩnh Tier-1 (website binary c22b). WBES không thu thập đủ thang đo cho số hoá động tại các đảo nhỏ, KHÔNG gọi là</w:t>
      </w:r>
      <w:r>
        <w:rPr>
          <w:iCs/>
          <w:i/>
        </w:rPr>
        <w:t xml:space="preserve"> </w:t>
      </w:r>
      <w:r>
        <w:rPr>
          <w:iCs/>
          <w:i/>
        </w:rPr>
        <w:t xml:space="preserve">“</w:t>
      </w:r>
      <w:r>
        <w:rPr>
          <w:iCs/>
          <w:i/>
        </w:rPr>
        <w:t xml:space="preserve">năng lực số hoá động</w:t>
      </w:r>
      <w:r>
        <w:rPr>
          <w:iCs/>
          <w:i/>
        </w:rPr>
        <w:t xml:space="preserve">”</w:t>
      </w:r>
      <w:r>
        <w:rPr>
          <w:iCs/>
          <w:i/>
        </w:rPr>
        <w:t xml:space="preserve">.</w:t>
      </w:r>
    </w:p>
    <w:p>
      <w:pPr>
        <w:pStyle w:val="BodyText"/>
      </w:pPr>
      <w:r>
        <w:rPr>
          <w:bCs/>
          <w:b/>
        </w:rPr>
        <w:t xml:space="preserve">Chuỗi mô hình M0–M3 (P8):</w:t>
      </w:r>
    </w:p>
    <w:p>
      <w:pPr>
        <w:pStyle w:val="BodyText"/>
      </w:pPr>
      <w:r>
        <w:t xml:space="preserve">M0, Baseline kiểm soát:</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γ</m:t>
              </m:r>
            </m:e>
            <m:sub>
              <m:r>
                <m:t>1</m:t>
              </m:r>
            </m:sub>
          </m:sSub>
          <m:r>
            <m:t>l</m:t>
          </m:r>
          <m:r>
            <m:t>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Kiểm định FIP (H1b): thêm cường độ xuất khẩu tuyến tính</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r>
            <m:t>339</m:t>
          </m:r>
          <m:r>
            <m:rPr>
              <m:sty m:val="p"/>
            </m:rPr>
            <m:t>,</m:t>
          </m:r>
          <m:r>
            <m:t> </m:t>
          </m:r>
          <m:r>
            <m:t>p</m:t>
          </m:r>
          <m:r>
            <m:rPr>
              <m:sty m:val="p"/>
            </m:rPr>
            <m:t>&lt;</m:t>
          </m:r>
          <m:r>
            <m:rPr>
              <m:sty m:val="p"/>
            </m:rPr>
            <m:t>,</m:t>
          </m:r>
          <m:r>
            <m:t>001</m:t>
          </m:r>
          <m:r>
            <m:t> </m:t>
          </m:r>
          <m:d>
            <m:dPr>
              <m:begChr m:val="("/>
              <m:endChr m:val=")"/>
              <m:sepChr m:val=""/>
              <m:grow/>
            </m:dPr>
            <m:e>
              <m:r>
                <m:rPr>
                  <m:nor/>
                  <m:sty m:val="p"/>
                </m:rPr>
                <m:t>country+year FE, N</m:t>
              </m:r>
              <m:r>
                <m:rPr>
                  <m:sty m:val="p"/>
                </m:rPr>
                <m:t>=</m:t>
              </m:r>
              <m:r>
                <m:t>959</m:t>
              </m:r>
            </m:e>
          </m:d>
          <m:r>
            <m:rPr>
              <m:sty m:val="p"/>
            </m:rPr>
            <m:t>⇒</m:t>
          </m:r>
          <m:r>
            <m:rPr>
              <m:nor/>
              <m:sty m:val="b"/>
            </m:rPr>
            <m:t>FIP xác nhận</m:t>
          </m:r>
        </m:oMath>
      </m:oMathPara>
    </w:p>
    <w:p>
      <w:pPr>
        <w:pStyle w:val="FirstParagraph"/>
      </w:pPr>
      <w:r>
        <w:t xml:space="preserve">M2, Kiểm định phi tuyến: thêm CDDXK_c²</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r>
            <m:rPr>
              <m:sty m:val="p"/>
            </m:rPr>
            <m:t>⇒</m:t>
          </m:r>
          <m:r>
            <m:rPr>
              <m:nor/>
              <m:sty m:val="p"/>
            </m:rPr>
            <m:t>không có điểm quay, đơn điệu âm</m:t>
          </m:r>
        </m:oMath>
      </m:oMathPara>
    </w:p>
    <w:p>
      <w:pPr>
        <w:pStyle w:val="FirstParagraph"/>
      </w:pPr>
      <w:r>
        <w:t xml:space="preserve">M3, Kiểm định năng lực điều tiết (H2 null cho SIDS):</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β</m:t>
              </m:r>
            </m:e>
            <m:sub>
              <m:r>
                <m:t>3</m:t>
              </m:r>
            </m:sub>
          </m:sSub>
          <m:r>
            <m:t>N</m:t>
          </m:r>
          <m:r>
            <m:t>L</m:t>
          </m:r>
          <m:r>
            <m:t>C</m:t>
          </m:r>
          <m:r>
            <m:t>N</m:t>
          </m:r>
          <m:r>
            <m:rPr>
              <m:sty m:val="p"/>
            </m:rPr>
            <m:t>_</m:t>
          </m:r>
          <m:sSub>
            <m:e>
              <m:r>
                <m:t>z</m:t>
              </m:r>
            </m:e>
            <m:sub>
              <m:r>
                <m:t>i</m:t>
              </m:r>
              <m:r>
                <m:t>t</m:t>
              </m:r>
            </m:sub>
          </m:sSub>
          <m:r>
            <m:rPr>
              <m:sty m:val="p"/>
            </m:rPr>
            <m:t>+</m:t>
          </m:r>
          <m:sSub>
            <m:e>
              <m:r>
                <m:t>β</m:t>
              </m:r>
            </m:e>
            <m:sub>
              <m:r>
                <m:t>4</m:t>
              </m:r>
            </m:sub>
          </m:sSub>
          <m:r>
            <m:t>C</m:t>
          </m:r>
          <m:r>
            <m:t>S</m:t>
          </m:r>
          <m:r>
            <m:t>S</m:t>
          </m:r>
          <m:r>
            <m:rPr>
              <m:sty m:val="p"/>
            </m:rPr>
            <m:t>_</m:t>
          </m:r>
          <m:sSub>
            <m:e>
              <m:r>
                <m:t>z</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3</m:t>
              </m:r>
            </m:sub>
          </m:sSub>
          <m:r>
            <m:t> </m:t>
          </m:r>
          <m:d>
            <m:dPr>
              <m:begChr m:val="("/>
              <m:endChr m:val=")"/>
              <m:sepChr m:val=""/>
              <m:grow/>
            </m:dPr>
            <m:e>
              <m:r>
                <m:t>N</m:t>
              </m:r>
              <m:r>
                <m:t>L</m:t>
              </m:r>
              <m:r>
                <m:t>C</m:t>
              </m:r>
              <m:r>
                <m:t>N</m:t>
              </m:r>
              <m:r>
                <m:rPr>
                  <m:sty m:val="p"/>
                </m:rPr>
                <m:t>_</m:t>
              </m:r>
              <m:r>
                <m:t>z</m:t>
              </m:r>
            </m:e>
          </m:d>
          <m:r>
            <m:rPr>
              <m:sty m:val="p"/>
            </m:rPr>
            <m:t>:</m:t>
          </m:r>
          <m:r>
            <m:t> </m:t>
          </m:r>
          <m:r>
            <m:t>p</m:t>
          </m:r>
          <m:r>
            <m:rPr>
              <m:sty m:val="p"/>
            </m:rPr>
            <m:t>=</m:t>
          </m:r>
          <m:r>
            <m:rPr>
              <m:sty m:val="p"/>
            </m:rPr>
            <m:t>,</m:t>
          </m:r>
          <m:r>
            <m:t>003</m:t>
          </m:r>
          <m:r>
            <m:t> </m:t>
          </m:r>
          <m:d>
            <m:dPr>
              <m:begChr m:val="("/>
              <m:endChr m:val=")"/>
              <m:sepChr m:val=""/>
              <m:grow/>
            </m:dPr>
            <m:e>
              <m:r>
                <m:rPr>
                  <m:nor/>
                  <m:sty m:val="p"/>
                </m:rPr>
                <m:t>dương, có ý nghĩa</m:t>
              </m:r>
            </m:e>
          </m:d>
          <m:r>
            <m:rPr>
              <m:sty m:val="p"/>
            </m:rPr>
            <m:t>;</m:t>
          </m:r>
          <m:r>
            <m:t> </m:t>
          </m:r>
          <m:sSub>
            <m:e>
              <m:r>
                <m:t>β</m:t>
              </m:r>
            </m:e>
            <m:sub>
              <m:r>
                <m:t>4</m:t>
              </m:r>
            </m:sub>
          </m:sSub>
          <m:r>
            <m:t> </m:t>
          </m:r>
          <m:d>
            <m:dPr>
              <m:begChr m:val="("/>
              <m:endChr m:val=")"/>
              <m:sepChr m:val=""/>
              <m:grow/>
            </m:dPr>
            <m:e>
              <m:r>
                <m:t>C</m:t>
              </m:r>
              <m:r>
                <m:t>S</m:t>
              </m:r>
              <m:r>
                <m:t>S</m:t>
              </m:r>
              <m:r>
                <m:rPr>
                  <m:sty m:val="p"/>
                </m:rPr>
                <m:t>_</m:t>
              </m:r>
              <m:r>
                <m:t>z</m:t>
              </m:r>
            </m:e>
          </m:d>
          <m:r>
            <m:rPr>
              <m:sty m:val="p"/>
            </m:rPr>
            <m:t>:</m:t>
          </m:r>
          <m:r>
            <m:t> </m:t>
          </m:r>
          <m:r>
            <m:t>p</m:t>
          </m:r>
          <m:r>
            <m:rPr>
              <m:sty m:val="p"/>
            </m:rPr>
            <m:t>=</m:t>
          </m:r>
          <m:r>
            <m:rPr>
              <m:sty m:val="p"/>
            </m:rPr>
            <m:t>,</m:t>
          </m:r>
          <m:r>
            <m:t>285</m:t>
          </m:r>
          <m:r>
            <m:t> </m:t>
          </m:r>
          <m:r>
            <m:rPr>
              <m:nor/>
              <m:sty m:val="p"/>
            </m:rPr>
            <m:t>NS</m:t>
          </m:r>
          <m:r>
            <m:rPr>
              <m:sty m:val="p"/>
            </m:rPr>
            <m:t>⇒</m:t>
          </m:r>
          <m:r>
            <m:rPr>
              <m:nor/>
              <m:sty m:val="p"/>
            </m:rPr>
            <m:t>TCI nâng mặt bằng năng suất; không có biến điều tiết uốn đường cong (H2 moderation null)</m:t>
          </m:r>
        </m:oMath>
      </m:oMathPara>
    </w:p>
    <w:p>
      <w:pPr>
        <w:pStyle w:val="FirstParagraph"/>
      </w:pPr>
      <w:r>
        <w:rPr>
          <w:bCs/>
          <w:b/>
        </w:rPr>
        <w:t xml:space="preserve">Phân tích độ vững (kiểm tra độ vững):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Specification</w:t>
            </w:r>
          </w:p>
        </w:tc>
        <w:tc>
          <w:tcPr/>
          <w:p>
            <w:pPr>
              <w:pStyle w:val="Compact"/>
              <w:jc w:val="left"/>
            </w:pPr>
            <w:r>
              <w:t xml:space="preserve">β(CDDXK_c)</w:t>
            </w:r>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country+year FE (N = 959)</w:t>
            </w:r>
          </w:p>
        </w:tc>
        <w:tc>
          <w:tcPr/>
          <w:p>
            <w:pPr>
              <w:pStyle w:val="Compact"/>
              <w:jc w:val="left"/>
            </w:pPr>
            <w:r>
              <w:t xml:space="preserve">−1,339</w:t>
            </w:r>
          </w:p>
        </w:tc>
        <w:tc>
          <w:tcPr/>
          <w:p>
            <w:pPr>
              <w:pStyle w:val="Compact"/>
              <w:jc w:val="left"/>
            </w:pPr>
            <w:r>
              <w:t xml:space="preserve">0,386</w:t>
            </w:r>
          </w:p>
        </w:tc>
        <w:tc>
          <w:tcPr/>
          <w:p>
            <w:pPr>
              <w:pStyle w:val="Compact"/>
              <w:jc w:val="left"/>
            </w:pPr>
            <w:r>
              <w:t xml:space="preserve">&lt; ,001</w:t>
            </w:r>
          </w:p>
        </w:tc>
      </w:tr>
      <w:tr>
        <w:tc>
          <w:tcPr/>
          <w:p>
            <w:pPr>
              <w:pStyle w:val="Compact"/>
              <w:jc w:val="left"/>
            </w:pPr>
            <w:r>
              <w:t xml:space="preserve">Year FE only (không country FE)</w:t>
            </w:r>
          </w:p>
        </w:tc>
        <w:tc>
          <w:tcPr/>
          <w:p>
            <w:pPr>
              <w:pStyle w:val="Compact"/>
              <w:jc w:val="left"/>
            </w:pPr>
            <w:r>
              <w:t xml:space="preserve">−3,351</w:t>
            </w:r>
          </w:p>
        </w:tc>
        <w:tc>
          <w:tcPr/>
          <w:p>
            <w:pPr>
              <w:pStyle w:val="Compact"/>
              <w:jc w:val="left"/>
            </w:pPr>
            <w:r>
              <w:t xml:space="preserve">0,808</w:t>
            </w:r>
          </w:p>
        </w:tc>
        <w:tc>
          <w:tcPr/>
          <w:p>
            <w:pPr>
              <w:pStyle w:val="Compact"/>
              <w:jc w:val="left"/>
            </w:pPr>
            <w:r>
              <w:t xml:space="preserve">&lt; ,001</w:t>
            </w:r>
          </w:p>
        </w:tc>
      </w:tr>
      <w:tr>
        <w:tc>
          <w:tcPr/>
          <w:p>
            <w:pPr>
              <w:pStyle w:val="Compact"/>
              <w:jc w:val="left"/>
            </w:pPr>
            <w:r>
              <w:t xml:space="preserve">Bivariate (không controls)</w:t>
            </w:r>
          </w:p>
        </w:tc>
        <w:tc>
          <w:tcPr/>
          <w:p>
            <w:pPr>
              <w:pStyle w:val="Compact"/>
              <w:jc w:val="left"/>
            </w:pPr>
            <w:r>
              <w:t xml:space="preserve">−0,864</w:t>
            </w:r>
          </w:p>
        </w:tc>
        <w:tc>
          <w:tcPr/>
          <w:p>
            <w:pPr>
              <w:pStyle w:val="Compact"/>
              <w:jc w:val="left"/>
            </w:pPr>
            <w:r>
              <w:t xml:space="preserve">0,441</w:t>
            </w:r>
          </w:p>
        </w:tc>
        <w:tc>
          <w:tcPr/>
          <w:p>
            <w:pPr>
              <w:pStyle w:val="Compact"/>
              <w:jc w:val="left"/>
            </w:pPr>
            <w:r>
              <w:t xml:space="preserve">,050</w:t>
            </w:r>
          </w:p>
        </w:tc>
      </w:tr>
      <w:tr>
        <w:tc>
          <w:tcPr/>
          <w:p>
            <w:pPr>
              <w:pStyle w:val="Compact"/>
              <w:jc w:val="left"/>
            </w:pPr>
            <w:r>
              <w:t xml:space="preserve">Exporters-only (N = 26)</w:t>
            </w:r>
          </w:p>
        </w:tc>
        <w:tc>
          <w:tcPr/>
          <w:p>
            <w:pPr>
              <w:pStyle w:val="Compact"/>
              <w:jc w:val="left"/>
            </w:pPr>
            <w:r>
              <w:t xml:space="preserve">−1,176</w:t>
            </w:r>
          </w:p>
        </w:tc>
        <w:tc>
          <w:tcPr/>
          <w:p>
            <w:pPr>
              <w:pStyle w:val="Compact"/>
              <w:jc w:val="left"/>
            </w:pPr>
            <w:r>
              <w:t xml:space="preserve">0,763</w:t>
            </w:r>
          </w:p>
        </w:tc>
        <w:tc>
          <w:tcPr/>
          <w:p>
            <w:pPr>
              <w:pStyle w:val="Compact"/>
              <w:jc w:val="left"/>
            </w:pPr>
            <w:r>
              <w:t xml:space="preserve">,130 (NS)</w:t>
            </w:r>
          </w:p>
        </w:tc>
      </w:tr>
    </w:tbl>
    <w:p>
      <w:pPr>
        <w:pStyle w:val="BodyText"/>
      </w:pPr>
      <w:r>
        <w:rPr>
          <w:iCs/>
          <w:i/>
        </w:rPr>
        <w:t xml:space="preserve">Hệ số âm nhất quán về dấu qua các specification; suy luận FIP dựa chủ yếu vào các mô hình fixed-effects (M1, year-FE), trong khi exporters-only (N=26) thiếu công suất thống kê.</w:t>
      </w:r>
    </w:p>
    <w:p>
      <w:pPr>
        <w:pStyle w:val="BodyText"/>
      </w:pPr>
      <w:r>
        <w:rPr>
          <w:bCs/>
          <w:b/>
        </w:rPr>
        <w:t xml:space="preserve">Bảng định nghĩa biến, Nghiên cứu 8 (SIDS)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ln(doanh thu PPP / 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kiểm định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z-std(website binary): Tier-1 only</w:t>
            </w:r>
          </w:p>
        </w:tc>
        <w:tc>
          <w:tcPr/>
          <w:p>
            <w:pPr>
              <w:pStyle w:val="Compact"/>
              <w:jc w:val="left"/>
            </w:pPr>
            <w:r>
              <w:t xml:space="preserve">Số hoá, proxy tĩnh</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Control (sở hữu)</w:t>
            </w:r>
          </w:p>
        </w:tc>
      </w:tr>
      <w:tr>
        <w:tc>
          <w:tcPr/>
          <w:p>
            <w:pPr>
              <w:pStyle w:val="Compact"/>
              <w:jc w:val="left"/>
            </w:pPr>
            <w:r>
              <w:t xml:space="preserve">δ_c</w:t>
            </w:r>
          </w:p>
        </w:tc>
        <w:tc>
          <w:tcPr/>
          <w:p>
            <w:pPr>
              <w:pStyle w:val="Compact"/>
              <w:jc w:val="left"/>
            </w:pPr>
            <w:r>
              <w:t xml:space="preserve">a3b</w:t>
            </w:r>
          </w:p>
        </w:tc>
        <w:tc>
          <w:tcPr/>
          <w:p>
            <w:pPr>
              <w:pStyle w:val="Compact"/>
              <w:jc w:val="left"/>
            </w:pPr>
            <w:r>
              <w:t xml:space="preserve">country FE</w:t>
            </w:r>
          </w:p>
        </w:tc>
        <w:tc>
          <w:tcPr/>
          <w:p>
            <w:pPr>
              <w:pStyle w:val="Compact"/>
              <w:jc w:val="left"/>
            </w:pPr>
            <w:r>
              <w:t xml:space="preserve">Fixed effects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 FE</w:t>
            </w:r>
          </w:p>
        </w:tc>
        <w:tc>
          <w:tcPr/>
          <w:p>
            <w:pPr>
              <w:pStyle w:val="Compact"/>
              <w:jc w:val="left"/>
            </w:pPr>
            <w:r>
              <w:t xml:space="preserve">Fixed effects</w:t>
            </w:r>
          </w:p>
        </w:tc>
      </w:tr>
    </w:tbl>
    <w:p>
      <w:pPr>
        <w:pStyle w:val="BodyText"/>
      </w:pPr>
      <w:r>
        <w:rPr>
          <w:iCs/>
          <w:i/>
        </w:rPr>
        <w:t xml:space="preserve">Ghi chú: FIP là điều kiện biên (boundary condition) của mô hình chữ U ngược, áp dụng đặc thù tại ICRV Nhóm VI nơi 3 điều kiện cấu trúc bị vi phạm đồng thời: (1) không có thị trường nội địa đủ lớn, (2) chi phí thương mại không kiểm soát được, (3) hỗ trợ thể chế không đủ chức năng. DAI (CSS_z) Tier-1 only, WBES không thu thập thang đo đầy đủ cho số hoá động tại SIDS.</w:t>
      </w:r>
    </w:p>
    <w:p>
      <w:r>
        <w:pict>
          <v:rect style="width:0;height:1.5pt" o:hralign="center" o:hrstd="t" o:hr="t"/>
        </w:pict>
      </w:r>
    </w:p>
    <w:bookmarkEnd w:id="109"/>
    <w:bookmarkStart w:id="110" w:name="X349648a9603de2a783df22f0baa1f04a5234db6"/>
    <w:p>
      <w:pPr>
        <w:pStyle w:val="Heading4"/>
      </w:pPr>
      <w:r>
        <w:t xml:space="preserve">3.4.5.6 Mô hình cụ thể, Nghiên cứu 9: Ấn Độ, độ bền ngưỡng qua chuyển đổi thể chế (P9)</w:t>
      </w:r>
    </w:p>
    <w:p>
      <w:pPr>
        <w:pStyle w:val="FirstParagraph"/>
      </w:pPr>
      <w:r>
        <w:t xml:space="preserve">Nghiên cứu 9 sử dụng ba đợt Khảo sát Doanh nghiệp Ngân hàng Thế giới cho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mẫu gộp</w:t>
      </w:r>
      <w:r>
        <w:t xml:space="preserve"> </w:t>
      </w:r>
      <m:oMath>
        <m:r>
          <m:t>N</m:t>
        </m:r>
        <m:r>
          <m:rPr>
            <m:sty m:val="p"/>
          </m:rPr>
          <m:t>=</m:t>
        </m:r>
        <m:r>
          <m:t>28.717</m:t>
        </m:r>
      </m:oMath>
      <w:r>
        <w:t xml:space="preserve">), pool đơn quốc gia lớn nhất của luận án. Ấn Độ thuộc Nhóm IV ICRV (Chuyển đổi thu nhập trung bình–thấp); cửa sổ 2014–2025 bao trùm chuỗi cú sốc thể chế (bãi bỏ tiền mặt 2016, GST 2017, IBC 2016, UPI 2016, PLI và Atmanirbhar Bharat 2020, COVID-19), tạo điều kiện stress-test cho giả thuyết bền vững ngưỡng.</w:t>
      </w:r>
    </w:p>
    <w:p>
      <w:pPr>
        <w:pStyle w:val="BodyText"/>
      </w:pPr>
      <w:r>
        <w:t xml:space="preserve">Mô hình ước lượng OLS với sai số chuẩn vững HC1, gồm số hạng FSTS bậc nhất và bậc hai (centred theo đợt) cùng các tương tác năng lực (TCI, DAI). Ba kiểm định bổ sung: (i) Lind–Mehlum U-test xác nhận U ngược theo từng đợt; (ii) z-test Paternoster (1998) so sánh hệ số giữa 2014 và 2025 (cửa sổ 11 năm chính), báo cáo cả sai số chuẩn HC1 và cụm theo bang; (iii) đặc tả gộp ba đợt với biến giả/xu thế đợt khảo sát làm kiểm định độ vững. Việc UPI ra mắt tháng 4/2016 cung cấp thí nghiệm gần tự nhiên cho bão hòa DAI; riêng đợt 2025 (BREADY) bổ sung chỉ báo Tier-2 (</w:t>
      </w:r>
      <w:r>
        <w:rPr>
          <w:rStyle w:val="VerbatimChar"/>
        </w:rPr>
        <w:t xml:space="preserve">k33</w:t>
      </w:r>
      <w:r>
        <w:t xml:space="preserve">, tỷ trọng doanh thu qua thanh toán điện tử) cho phép kiểm định điều tiết DAI Tier-2, được xử lý như phân tích thăm dò vì chỉ có ở một đợt.</w:t>
      </w:r>
    </w:p>
    <w:bookmarkEnd w:id="110"/>
    <w:bookmarkEnd w:id="111"/>
    <w:bookmarkStart w:id="112" w:name="sai-số-chuẩn"/>
    <w:p>
      <w:pPr>
        <w:pStyle w:val="Heading3"/>
      </w:pPr>
      <w:r>
        <w:t xml:space="preserve">3.4.6 Sai số chuẩn</w:t>
      </w:r>
    </w:p>
    <w:p>
      <w:pPr>
        <w:pStyle w:val="FirstParagraph"/>
      </w:pPr>
      <w:r>
        <w:t xml:space="preserve">Tất cả các mô hình đều sử dụng HC1/HC3 robust standard errors (Long &amp; Ervin, 2000; White, 1980) để xử lý heteroscedasticity. Đối với multi-country, bổ sung clustered SE theo country.</w:t>
      </w:r>
    </w:p>
    <w:bookmarkEnd w:id="112"/>
    <w:bookmarkEnd w:id="113"/>
    <w:bookmarkStart w:id="120" w:name="kiểm-định-độ-vững"/>
    <w:p>
      <w:pPr>
        <w:pStyle w:val="Heading2"/>
      </w:pPr>
      <w:r>
        <w:t xml:space="preserve">3.5 Kiểm định độ vững</w:t>
      </w:r>
    </w:p>
    <w:bookmarkStart w:id="114" w:name="thay-đổi-thước-đo"/>
    <w:p>
      <w:pPr>
        <w:pStyle w:val="Heading3"/>
      </w:pPr>
      <w:r>
        <w:t xml:space="preserve">3.5.1 Thay đổi thước đo</w:t>
      </w:r>
    </w:p>
    <w:p>
      <w:pPr>
        <w:numPr>
          <w:ilvl w:val="0"/>
          <w:numId w:val="1010"/>
        </w:numPr>
        <w:pStyle w:val="Compact"/>
      </w:pPr>
      <w:r>
        <w:t xml:space="preserve">Biến phụ thuộc: thay</w:t>
      </w:r>
      <w:r>
        <w:t xml:space="preserve"> </w:t>
      </w:r>
      <m:oMath>
        <m:r>
          <m:rPr>
            <m:sty m:val="p"/>
          </m:rPr>
          <m:t>ln</m:t>
        </m:r>
        <m:d>
          <m:dPr>
            <m:begChr m:val="("/>
            <m:endChr m:val=")"/>
            <m:sepChr m:val=""/>
            <m:grow/>
          </m:dPr>
          <m:e>
            <m:r>
              <m:t>L</m:t>
            </m:r>
            <m:r>
              <m:t>P</m:t>
            </m:r>
          </m:e>
        </m:d>
      </m:oMath>
      <w:r>
        <w:t xml:space="preserve"> </w:t>
      </w:r>
      <w:r>
        <w:t xml:space="preserve">bằng ROS, sales growth, employment growth.</w:t>
      </w:r>
    </w:p>
    <w:p>
      <w:pPr>
        <w:numPr>
          <w:ilvl w:val="0"/>
          <w:numId w:val="1010"/>
        </w:numPr>
        <w:pStyle w:val="Compact"/>
      </w:pPr>
      <w:r>
        <w:t xml:space="preserve">Biến độc lập: thay FSTS bằng export status (binary), foreign sales count.</w:t>
      </w:r>
    </w:p>
    <w:p>
      <w:pPr>
        <w:numPr>
          <w:ilvl w:val="0"/>
          <w:numId w:val="1010"/>
        </w:numPr>
        <w:pStyle w:val="Compact"/>
      </w:pPr>
      <w:r>
        <w:t xml:space="preserve">Biến biến điều tiết: thay DAI_thin bằng DAI_rich (cho subset 2024+).</w:t>
      </w:r>
    </w:p>
    <w:bookmarkEnd w:id="114"/>
    <w:bookmarkStart w:id="115" w:name="mẫu-phụ"/>
    <w:p>
      <w:pPr>
        <w:pStyle w:val="Heading3"/>
      </w:pPr>
      <w:r>
        <w:t xml:space="preserve">3.5.2 Mẫu phụ</w:t>
      </w:r>
    </w:p>
    <w:p>
      <w:pPr>
        <w:pStyle w:val="FirstParagraph"/>
      </w:pPr>
      <w:r>
        <w:t xml:space="preserve">Loại trừ micro firms (&lt;5 lao động); chỉ giữ SMEs; chỉ giữ manufacturing; chỉ giữ exporters (FSTS &gt; 0); subgroup theo 6 sub-regime ICRV.</w:t>
      </w:r>
    </w:p>
    <w:bookmarkEnd w:id="115"/>
    <w:bookmarkStart w:id="116" w:name="outliers"/>
    <w:p>
      <w:pPr>
        <w:pStyle w:val="Heading3"/>
      </w:pPr>
      <w:r>
        <w:t xml:space="preserve">3.5.3 Outliers</w:t>
      </w:r>
    </w:p>
    <w:p>
      <w:pPr>
        <w:pStyle w:val="FirstParagraph"/>
      </w:pPr>
      <w:r>
        <w:t xml:space="preserve">Winsorization 1% và 5% đối với labor productivity và employment, áp dụng trong từng country-year.</w:t>
      </w:r>
    </w:p>
    <w:bookmarkEnd w:id="116"/>
    <w:bookmarkStart w:id="117" w:name="multicollinearity-và-heteroscedasticity"/>
    <w:p>
      <w:pPr>
        <w:pStyle w:val="Heading3"/>
      </w:pPr>
      <w:r>
        <w:t xml:space="preserve">3.5.4 Multicollinearity và heteroscedasticity</w:t>
      </w:r>
    </w:p>
    <w:p>
      <w:pPr>
        <w:numPr>
          <w:ilvl w:val="0"/>
          <w:numId w:val="1011"/>
        </w:numPr>
        <w:pStyle w:val="Compact"/>
      </w:pPr>
      <w:r>
        <w:t xml:space="preserve">VIF cho tất cả mô hình; ngưỡng VIF &lt; 5 (Hair et al., 2019).</w:t>
      </w:r>
    </w:p>
    <w:p>
      <w:pPr>
        <w:numPr>
          <w:ilvl w:val="0"/>
          <w:numId w:val="1011"/>
        </w:numPr>
        <w:pStyle w:val="Compact"/>
      </w:pPr>
      <w:r>
        <w:t xml:space="preserve">Breusch–Pagan test (Breusch &amp; Pagan, 1979).</w:t>
      </w:r>
    </w:p>
    <w:bookmarkEnd w:id="117"/>
    <w:bookmarkStart w:id="118" w:name="sensitivity-analysis-cho-meta-analysis"/>
    <w:p>
      <w:pPr>
        <w:pStyle w:val="Heading3"/>
      </w:pPr>
      <w:r>
        <w:t xml:space="preserve">3.5.5 Sensitivity analysis cho meta-analysis</w:t>
      </w:r>
    </w:p>
    <w:p>
      <w:pPr>
        <w:numPr>
          <w:ilvl w:val="0"/>
          <w:numId w:val="1012"/>
        </w:numPr>
        <w:pStyle w:val="Compact"/>
      </w:pPr>
      <w:r>
        <w:t xml:space="preserve">Leave-one-out: loại từng nghiên cứu và tái tính pooled effect.</w:t>
      </w:r>
    </w:p>
    <w:p>
      <w:pPr>
        <w:numPr>
          <w:ilvl w:val="0"/>
          <w:numId w:val="1012"/>
        </w:numPr>
        <w:pStyle w:val="Compact"/>
      </w:pPr>
      <w:r>
        <w:t xml:space="preserve">Trim-and-fill (Duval &amp; Tweedie, 2000) cho publication bias.</w:t>
      </w:r>
    </w:p>
    <w:bookmarkEnd w:id="118"/>
    <w:bookmarkStart w:id="119" w:name="X114450212317cc299784cfe2697e63e527f22c7"/>
    <w:p>
      <w:pPr>
        <w:pStyle w:val="Heading3"/>
      </w:pPr>
      <w:r>
        <w:t xml:space="preserve">3.5.6 Chiến lược nhận dạng và ranh giới suy luận nhân quả</w:t>
      </w:r>
    </w:p>
    <w:p>
      <w:pPr>
        <w:pStyle w:val="FirstParagraph"/>
      </w:pPr>
      <w:r>
        <w:t xml:space="preserve">Vì dữ liệu chủ đạo của luận án là lát cắt ngang lặp lại (repeated cross-sections) chứ không phải bảng cân bằng theo dõi cùng doanh nghiệp qua thời gian, luận án thừa nhận minh bạch các ranh giới suy luận và áp dụng một chiến lược nhận dạng nhiều lớp để củng cố tính giá trị nội tại trong giới hạn cho phép. Thứ nhất, mọi mô hình đa quốc gia đều bao gồm hiệu ứng cố định hai chiều (nền kinh tế và năm), qua đó hấp thụ toàn bộ thành phần bất biến theo nước (tiền tệ, mặt bằng giá, chế độ kế toán, đặc điểm thể chế ổn định) và các cú sốc chung theo năm; hệ số quan hệ I–P do đó được nhận dạng từ biến thiên nội bộ nền kinh tế–năm, không bị nhiễu bởi khác biệt cấu trúc cố định giữa các nước (Wooldridge, 2010). Thứ hai, ở các nghiên cứu đơn quốc gia, luận án bổ sung biến công cụ (instrumental variable) cho năng lực công nghệ, với các kiểm định độ mạnh công cụ (first-stage F) và over-identification phù hợp, nhằm tách hiệu ứng nhân quả khỏi nội sinh do lựa chọn và đồng thời (P3, P5). Thứ ba, độ ổn định của ước lượng trước thay đổi do biến bỏ sót được đánh giá bằng giới hạn δ-stability theo Oster (2019), một chuẩn mực ngày càng được áp dụng trong nghiên cứu thực nghiệm khi không có thiết kế thực nghiệm thuần túy. Cuối cùng, luận án tuân thủ nguyên tắc báo cáo trung thực: các kết quả từ mẫu nhỏ hoặc thiếu công suất (ví dụ mẫu chỉ gồm doanh nghiệp xuất khẩu tại SIDS) được trình bày như</w:t>
      </w:r>
      <w:r>
        <w:t xml:space="preserve"> </w:t>
      </w:r>
      <w:r>
        <w:t xml:space="preserve">“</w:t>
      </w:r>
      <w:r>
        <w:t xml:space="preserve">ranh giới suy luận</w:t>
      </w:r>
      <w:r>
        <w:t xml:space="preserve">”</w:t>
      </w:r>
      <w:r>
        <w:t xml:space="preserve"> </w:t>
      </w:r>
      <w:r>
        <w:t xml:space="preserve">(inferential bounds) chứ không phải bằng chứng nhân quả khẳng định, và mọi suy luận về điều tiết thể chế được neo đồng thời vào hai nguồn độc lập là kiểm định điều tiết của meta-analysis và gradient điểm uốn của mô hình đa quốc gia (xem §4.2.3, §4.6.2). Cách tiếp cận đa lớp này phản ánh thực hành tốt nhất trong kinh tế lượng ứng dụng khi làm việc với dữ liệu quan sát quy mô lớn (Angrist &amp; Pischke, 2009).</w:t>
      </w:r>
    </w:p>
    <w:bookmarkEnd w:id="119"/>
    <w:bookmarkEnd w:id="120"/>
    <w:bookmarkStart w:id="121" w:name="X364413cac58bd17313d22102f22dd0d12fe1063"/>
    <w:p>
      <w:pPr>
        <w:pStyle w:val="Heading2"/>
      </w:pPr>
      <w:r>
        <w:t xml:space="preserve">3.6 Tóm tắt phương pháp: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Mixed design</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50 nền kinh tế châu Á + Thái Bình Dương</w:t>
            </w:r>
            <w:r>
              <w:t xml:space="preserve"> </w:t>
            </w:r>
            <w:r>
              <w:t xml:space="preserve">trong một luận án</w:t>
            </w:r>
          </w:p>
        </w:tc>
      </w:tr>
      <w:tr>
        <w:tc>
          <w:tcPr/>
          <w:p>
            <w:pPr>
              <w:pStyle w:val="Compact"/>
              <w:jc w:val="left"/>
            </w:pPr>
            <w:r>
              <w:t xml:space="preserve">Meta-analysis 1982–2026</w:t>
            </w:r>
          </w:p>
        </w:tc>
        <w:tc>
          <w:tcPr/>
          <w:p>
            <w:pPr>
              <w:pStyle w:val="Compact"/>
              <w:jc w:val="left"/>
            </w:pPr>
            <w:r>
              <w:t xml:space="preserve">Bausch &amp; Krist (2007); Kirca et al. (2012); Marano et al. (2016)</w:t>
            </w:r>
          </w:p>
        </w:tc>
        <w:tc>
          <w:tcPr/>
          <w:p>
            <w:pPr>
              <w:pStyle w:val="Compact"/>
              <w:jc w:val="left"/>
            </w:pPr>
            <w:r>
              <w:t xml:space="preserve">Mở rộng coverage, bổ sung digital và 6 sub-regime ICRV moderators</w:t>
            </w:r>
          </w:p>
        </w:tc>
      </w:tr>
      <w:tr>
        <w:tc>
          <w:tcPr/>
          <w:p>
            <w:pPr>
              <w:pStyle w:val="Compact"/>
              <w:jc w:val="left"/>
            </w:pPr>
            <w:r>
              <w:t xml:space="preserve">Pool empirical</w:t>
            </w:r>
          </w:p>
        </w:tc>
        <w:tc>
          <w:tcPr/>
          <w:p>
            <w:pPr>
              <w:pStyle w:val="Compact"/>
              <w:jc w:val="left"/>
            </w:pPr>
            <w:r>
              <w:t xml:space="preserve">nghiên cứu thành phần P1, 17 nước châu Á mới nổi</w:t>
            </w:r>
          </w:p>
        </w:tc>
        <w:tc>
          <w:tcPr/>
          <w:p>
            <w:pPr>
              <w:pStyle w:val="Compact"/>
              <w:jc w:val="left"/>
            </w:pPr>
            <w:r>
              <w:t xml:space="preserve">Mở rộng từ 17 →</w:t>
            </w:r>
            <w:r>
              <w:t xml:space="preserve"> </w:t>
            </w:r>
            <w:r>
              <w:rPr>
                <w:bCs/>
                <w:b/>
              </w:rPr>
              <w:t xml:space="preserve">50 nước</w:t>
            </w:r>
            <w:r>
              <w:t xml:space="preserve"> </w:t>
            </w:r>
            <w:r>
              <w:t xml:space="preserve">với 88.869 doanh nghiệp · 103 cặp nền kinh tế và năm (gồm Nhật Bản 2025)</w:t>
            </w:r>
          </w:p>
        </w:tc>
      </w:tr>
      <w:tr>
        <w:tc>
          <w:tcPr/>
          <w:p>
            <w:pPr>
              <w:pStyle w:val="Compact"/>
              <w:jc w:val="left"/>
            </w:pPr>
            <w:r>
              <w:t xml:space="preserve">Labor productivity DV</w:t>
            </w:r>
          </w:p>
        </w:tc>
        <w:tc>
          <w:tcPr/>
          <w:p>
            <w:pPr>
              <w:pStyle w:val="Compact"/>
              <w:jc w:val="left"/>
            </w:pPr>
            <w:r>
              <w:t xml:space="preserve">Bloom et al. (2012); Hsieh &amp; Klenow (2009); nghiên cứu thành phần P1</w:t>
            </w:r>
          </w:p>
        </w:tc>
        <w:tc>
          <w:tcPr/>
          <w:p>
            <w:pPr>
              <w:pStyle w:val="Compact"/>
              <w:jc w:val="left"/>
            </w:pPr>
            <w:r>
              <w:t xml:space="preserve">Lập luận rõ về firm performance đa chiều trong bối cảnh WBES</w:t>
            </w:r>
          </w:p>
        </w:tc>
      </w:tr>
      <w:tr>
        <w:tc>
          <w:tcPr/>
          <w:p>
            <w:pPr>
              <w:pStyle w:val="Compact"/>
              <w:jc w:val="left"/>
            </w:pPr>
            <w:r>
              <w:t xml:space="preserve">FSTS + FSTS² + FSTS³</w:t>
            </w:r>
          </w:p>
        </w:tc>
        <w:tc>
          <w:tcPr/>
          <w:p>
            <w:pPr>
              <w:pStyle w:val="Compact"/>
              <w:jc w:val="left"/>
            </w:pPr>
            <w:r>
              <w:t xml:space="preserve">Lu &amp; Beamish (2004); Hitt et al. (1997); nghiên cứu thành phần P2</w:t>
            </w:r>
          </w:p>
        </w:tc>
        <w:tc>
          <w:tcPr/>
          <w:p>
            <w:pPr>
              <w:pStyle w:val="Compact"/>
              <w:jc w:val="left"/>
            </w:pPr>
            <w:r>
              <w:t xml:space="preserve">Đưa vào cùng three-way moderation framework</w:t>
            </w:r>
          </w:p>
        </w:tc>
      </w:tr>
      <w:tr>
        <w:tc>
          <w:tcPr/>
          <w:p>
            <w:pPr>
              <w:pStyle w:val="Compact"/>
              <w:jc w:val="left"/>
            </w:pPr>
            <w:r>
              <w:t xml:space="preserve">TCI vs DAI</w:t>
            </w:r>
          </w:p>
        </w:tc>
        <w:tc>
          <w:tcPr/>
          <w:p>
            <w:pPr>
              <w:pStyle w:val="Compact"/>
              <w:jc w:val="left"/>
            </w:pPr>
            <w:r>
              <w:t xml:space="preserve">Bhandari et al. (2023); Verhoef et al. (2021)</w:t>
            </w:r>
          </w:p>
        </w:tc>
        <w:tc>
          <w:tcPr/>
          <w:p>
            <w:pPr>
              <w:pStyle w:val="Compact"/>
              <w:jc w:val="left"/>
            </w:pPr>
            <w:r>
              <w:t xml:space="preserve">Non-overlapping construct purity protocol cho WBES; digital shield mở rộng (nghiên cứu thành phần P1)</w:t>
            </w:r>
          </w:p>
        </w:tc>
      </w:tr>
      <w:tr>
        <w:tc>
          <w:tcPr/>
          <w:p>
            <w:pPr>
              <w:pStyle w:val="Compact"/>
              <w:jc w:val="left"/>
            </w:pPr>
            <w:r>
              <w:t xml:space="preserve">Lind–Mehlum U-test</w:t>
            </w:r>
          </w:p>
        </w:tc>
        <w:tc>
          <w:tcPr/>
          <w:p>
            <w:pPr>
              <w:pStyle w:val="Compact"/>
              <w:jc w:val="left"/>
            </w:pPr>
            <w:r>
              <w:t xml:space="preserve">Lind &amp; Mehlum (2010); Haans et al. (2016)</w:t>
            </w:r>
          </w:p>
        </w:tc>
        <w:tc>
          <w:tcPr/>
          <w:p>
            <w:pPr>
              <w:pStyle w:val="Compact"/>
              <w:jc w:val="left"/>
            </w:pPr>
            <w:r>
              <w:t xml:space="preserve">Áp dụng cho từng country sample và multi-country</w:t>
            </w:r>
          </w:p>
        </w:tc>
      </w:tr>
      <w:tr>
        <w:tc>
          <w:tcPr/>
          <w:p>
            <w:pPr>
              <w:pStyle w:val="Compact"/>
              <w:jc w:val="left"/>
            </w:pPr>
            <w:r>
              <w:t xml:space="preserve">Three-way moderation</w:t>
            </w:r>
          </w:p>
        </w:tc>
        <w:tc>
          <w:tcPr/>
          <w:p>
            <w:pPr>
              <w:pStyle w:val="Compact"/>
              <w:jc w:val="left"/>
            </w:pPr>
            <w:r>
              <w:t xml:space="preserve">Aiken &amp; West (1991); Dawson (2014)</w:t>
            </w:r>
          </w:p>
        </w:tc>
        <w:tc>
          <w:tcPr/>
          <w:p>
            <w:pPr>
              <w:pStyle w:val="Compact"/>
              <w:jc w:val="left"/>
            </w:pPr>
            <w:r>
              <w:t xml:space="preserve">digital × institutional × manager mới cho châu Á và Pacific</w:t>
            </w:r>
          </w:p>
        </w:tc>
      </w:tr>
      <w:tr>
        <w:tc>
          <w:tcPr/>
          <w:p>
            <w:pPr>
              <w:pStyle w:val="Compact"/>
              <w:jc w:val="left"/>
            </w:pPr>
            <w:r>
              <w:t xml:space="preserve">Temporal heterogeneity</w:t>
            </w:r>
          </w:p>
        </w:tc>
        <w:tc>
          <w:tcPr/>
          <w:p>
            <w:pPr>
              <w:pStyle w:val="Compact"/>
              <w:jc w:val="left"/>
            </w:pPr>
            <w:r>
              <w:t xml:space="preserve">Wu et al. (2022); Xiao et al. (2013); nghiên cứu thành phần P2</w:t>
            </w:r>
          </w:p>
        </w:tc>
        <w:tc>
          <w:tcPr/>
          <w:p>
            <w:pPr>
              <w:pStyle w:val="Compact"/>
              <w:jc w:val="left"/>
            </w:pPr>
            <w:r>
              <w:t xml:space="preserve">China 2012–2024 stability test (turning point ~47,8% FSTS)</w:t>
            </w:r>
          </w:p>
        </w:tc>
      </w:tr>
      <w:tr>
        <w:tc>
          <w:tcPr/>
          <w:p>
            <w:pPr>
              <w:pStyle w:val="Compact"/>
              <w:jc w:val="left"/>
            </w:pPr>
            <w:r>
              <w:t xml:space="preserve">Robust SE</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Publication bias</w:t>
            </w:r>
          </w:p>
        </w:tc>
        <w:tc>
          <w:tcPr/>
          <w:p>
            <w:pPr>
              <w:pStyle w:val="Compact"/>
              <w:jc w:val="left"/>
            </w:pPr>
            <w:r>
              <w:t xml:space="preserve">Egger et al. (1997); Begg &amp; Mazumdar (1994)</w:t>
            </w:r>
          </w:p>
        </w:tc>
        <w:tc>
          <w:tcPr/>
          <w:p>
            <w:pPr>
              <w:pStyle w:val="Compact"/>
              <w:jc w:val="left"/>
            </w:pPr>
            <w:r>
              <w:t xml:space="preserve">Chuẩn</w:t>
            </w:r>
          </w:p>
        </w:tc>
      </w:tr>
    </w:tbl>
    <w:bookmarkEnd w:id="121"/>
    <w:bookmarkStart w:id="122" w:name="đạo-đức-nghiên-cứu"/>
    <w:p>
      <w:pPr>
        <w:pStyle w:val="Heading2"/>
      </w:pPr>
      <w:r>
        <w:t xml:space="preserve">3.7 Đạo đức nghiên cứu</w:t>
      </w:r>
    </w:p>
    <w:p>
      <w:pPr>
        <w:pStyle w:val="FirstParagraph"/>
      </w:pPr>
      <w:r>
        <w:t xml:space="preserve">Luận án sử dụng dữ liệu thứ cấp từ WBES, bộ dữ liệu công khai được World Bank cung cấp miễn phí cho mục đích nghiên cứu (World Bank, n.d.). Tất cả các citation theo APA 7th để ghi nhận đầy đủ công sức của các tác giả trước, tránh đạo văn. Code và dữ liệu phân tích được lưu trữ trên các nhánh chuyên biệt của repository để bảo đảm khả năng tái lập kết quả.</w:t>
      </w:r>
    </w:p>
    <w:p>
      <w:r>
        <w:br w:type="page"/>
      </w:r>
    </w:p>
    <w:bookmarkEnd w:id="122"/>
    <w:bookmarkStart w:id="123" w:name="chương-4-kết-quả-nghiên-cứu"/>
    <w:p>
      <w:pPr>
        <w:pStyle w:val="Heading1"/>
      </w:pPr>
      <w:r>
        <w:t xml:space="preserve">CHƯƠNG 4: KẾT QUẢ NGHIÊN CỨU</w:t>
      </w:r>
    </w:p>
    <w:bookmarkEnd w:id="123"/>
    <w:p>
      <w:r>
        <w:pict>
          <v:rect style="width:0;height:1.5pt" o:hralign="center" o:hrstd="t" o:hr="t"/>
        </w:pict>
      </w:r>
    </w:p>
    <w:bookmarkStart w:id="124" w:name="giới-thiệu-chương"/>
    <w:p>
      <w:pPr>
        <w:pStyle w:val="Heading2"/>
      </w:pPr>
      <w:r>
        <w:t xml:space="preserve">Giới thiệu chương</w:t>
      </w:r>
    </w:p>
    <w:p>
      <w:pPr>
        <w:pStyle w:val="FirstParagraph"/>
      </w:pPr>
      <w:r>
        <w:t xml:space="preserve">Chương 4 trình bày toàn bộ kết quả nghiên cứu của luận án theo logic đi từ bức tranh thực trạng mô tả (§4.1) đến bằng chứng tổng hợp ở cấp meta-analytic (§4.2), sau đó đến bằng chứng quốc gia cụ thể và cuối cùng là kiểm định toàn mẫu đa quốc gia. Cấu trúc trình bày gồm mười phần chính, bắt đầu bằng thực trạng quốc tế hóa và hiệu quả hoạt động kinh doanh tại châu Á theo các phân nhóm con thể chế ICRV, tiếp theo là: (ii) kết quả meta-analysis ba tầng (P6); (iii) bối cảnh thể chế tiên tiến–đổi mới tại Singapore (P4); (iv) bối cảnh thể chế trung bình cao tại Trung Quốc (P5); (v) bối cảnh chuyển đổi bậc thấp–trung tại Việt Nam (P3); (vi) kiểm định toàn mẫu châu Á đa bối cảnh (P7); (vii) trường hợp biên là các nền kinh tế đảo nhỏ đang phát triển ở Thái Bình Dương (P8); và (viii) tổng hợp kết quả theo hệ giả thuyết.</w:t>
      </w:r>
    </w:p>
    <w:p>
      <w:r>
        <w:pict>
          <v:rect style="width:0;height:1.5pt" o:hralign="center" o:hrstd="t" o:hr="t"/>
        </w:pict>
      </w:r>
    </w:p>
    <w:bookmarkEnd w:id="124"/>
    <w:bookmarkStart w:id="130" w:name="Xed285cd0261846a13dee28de69c0403b250498d"/>
    <w:p>
      <w:pPr>
        <w:pStyle w:val="Heading2"/>
      </w:pPr>
      <w:r>
        <w:t xml:space="preserve">4.1 Thực trạng quốc tế hóa và hiệu quả hoạt động kinh doanh tại châu Á</w:t>
      </w:r>
    </w:p>
    <w:bookmarkStart w:id="125" w:name="Xdc33a1e36e2f3be83736669663a61a68c91d087"/>
    <w:p>
      <w:pPr>
        <w:pStyle w:val="Heading3"/>
      </w:pPr>
      <w:r>
        <w:t xml:space="preserve">4.1.1 Bức tranh tổng thể về hiệu quả doanh nghiệp châu Á</w:t>
      </w:r>
    </w:p>
    <w:p>
      <w:pPr>
        <w:pStyle w:val="FirstParagraph"/>
      </w:pPr>
      <w:r>
        <w:t xml:space="preserve">Phân tích mô tả trên khung 50 nền kinh tế châu Á và Thái Bình Dương (gồm Nhật Bản, thành viên thứ sáu của Nhóm I được WBES khảo sát lần đầu năm 2025; xem §4.1.5) cho thấy bức tranh hiệu quả hoạt động kinh doanh có sự phân tán lớn và không hội tụ. Các bảng phân loại 4.1 dưới đây dựa trên bộ dữ liệu ước lượng đa quốc gia (pool phân loại 96.415 doanh nghiệp / 52 nhãn nền; khung phân tích 88.869 / 50 nền, gồm Nhật Bản; mẫu hồi quy chính P7 M2 N = 81.022), nhất quán với thống kê mô tả chi tiết của Chuyên đề 1 trên đầy đủ 50 nền. Vì doanh thu WBES được báo cáo bằng nội tệ, độ phân tán năng suất được tính</w:t>
      </w:r>
      <w:r>
        <w:t xml:space="preserve"> </w:t>
      </w:r>
      <w:r>
        <w:rPr>
          <w:bCs/>
          <w:b/>
        </w:rPr>
        <w:t xml:space="preserve">trong từng cặp nền kinh tế × năm</w:t>
      </w:r>
      <w:r>
        <w:t xml:space="preserve"> </w:t>
      </w:r>
      <w:r>
        <w:t xml:space="preserve">(bất biến với đơn vị tiền tệ): độ lệch chuẩn của ln(doanh thu/lao động) trong đợt tăng từ 1,04 (Nhóm I, Advanced đổi mới) lên 1,31–1,39 (Nhóm III–V), và tỷ số P90/P10 leo từ khoảng 12 lần (Nhóm I) lên khoảng 30 lần (Nhóm V) theo chiều từ nhóm thể chế cao đến nhóm thể chế thấp.</w:t>
      </w:r>
    </w:p>
    <w:p>
      <w:pPr>
        <w:pStyle w:val="BodyText"/>
      </w:pPr>
      <w:r>
        <w:rPr>
          <w:bCs/>
          <w:b/>
        </w:rPr>
        <w:t xml:space="preserve">Bảng 4.1.</w:t>
      </w:r>
      <w:r>
        <w:t xml:space="preserve"> </w:t>
      </w:r>
      <w:r>
        <w:rPr>
          <w:iCs/>
          <w:i/>
        </w:rPr>
        <w:t xml:space="preserve">Phân tán năng suất lao động và đặc điểm quốc tế hóa theo phân nhóm con ICRV (pool gộp WBES 2003–2025; số doanh nghiệp phân loại ICRV ≈ 96.415; khung phân tích 88.869/50 nền; mẫu hồi quy chính P7 M2 N = 81.022).</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w:t>
            </w:r>
          </w:p>
        </w:tc>
        <w:tc>
          <w:tcPr/>
          <w:p>
            <w:pPr>
              <w:pStyle w:val="Compact"/>
              <w:jc w:val="left"/>
            </w:pPr>
            <w:r>
              <w:t xml:space="preserve">sd log LP (trong đợt)¹</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FDI≥10% (%)</w:t>
            </w:r>
          </w:p>
        </w:tc>
      </w:tr>
      <w:tr>
        <w:tc>
          <w:tcPr/>
          <w:p>
            <w:pPr>
              <w:pStyle w:val="Compact"/>
              <w:jc w:val="left"/>
            </w:pPr>
            <w:r>
              <w:t xml:space="preserve">Nhóm I: Advanced đổi mới (SG, HK, KOR, TWN, ISR, JPN)</w:t>
            </w:r>
          </w:p>
        </w:tc>
        <w:tc>
          <w:tcPr/>
          <w:p>
            <w:pPr>
              <w:pStyle w:val="Compact"/>
              <w:jc w:val="left"/>
            </w:pPr>
            <w:r>
              <w:t xml:space="preserve">6.390</w:t>
            </w:r>
          </w:p>
        </w:tc>
        <w:tc>
          <w:tcPr/>
          <w:p>
            <w:pPr>
              <w:pStyle w:val="Compact"/>
              <w:jc w:val="left"/>
            </w:pPr>
            <w:r>
              <w:rPr>
                <w:bCs/>
                <w:b/>
              </w:rPr>
              <w:t xml:space="preserve">1,00</w:t>
            </w:r>
          </w:p>
        </w:tc>
        <w:tc>
          <w:tcPr/>
          <w:p>
            <w:pPr>
              <w:pStyle w:val="Compact"/>
              <w:jc w:val="left"/>
            </w:pPr>
            <w:r>
              <w:t xml:space="preserve">10,3</w:t>
            </w:r>
          </w:p>
        </w:tc>
        <w:tc>
          <w:tcPr/>
          <w:p>
            <w:pPr>
              <w:pStyle w:val="Compact"/>
              <w:jc w:val="left"/>
            </w:pPr>
            <w:r>
              <w:t xml:space="preserve">24,5</w:t>
            </w:r>
          </w:p>
        </w:tc>
        <w:tc>
          <w:tcPr/>
          <w:p>
            <w:pPr>
              <w:pStyle w:val="Compact"/>
              <w:jc w:val="left"/>
            </w:pPr>
            <w:r>
              <w:t xml:space="preserve">7,7</w:t>
            </w:r>
          </w:p>
        </w:tc>
      </w:tr>
      <w:tr>
        <w:tc>
          <w:tcPr/>
          <w:p>
            <w:pPr>
              <w:pStyle w:val="Compact"/>
              <w:jc w:val="left"/>
            </w:pPr>
            <w:r>
              <w:t xml:space="preserve">Nhóm II: Advanced tài nguyên (GCC)</w:t>
            </w:r>
          </w:p>
        </w:tc>
        <w:tc>
          <w:tcPr/>
          <w:p>
            <w:pPr>
              <w:pStyle w:val="Compact"/>
              <w:jc w:val="left"/>
            </w:pPr>
            <w:r>
              <w:t xml:space="preserve">2.269</w:t>
            </w:r>
          </w:p>
        </w:tc>
        <w:tc>
          <w:tcPr/>
          <w:p>
            <w:pPr>
              <w:pStyle w:val="Compact"/>
              <w:jc w:val="left"/>
            </w:pPr>
            <w:r>
              <w:t xml:space="preserve">1,14²</w:t>
            </w:r>
          </w:p>
        </w:tc>
        <w:tc>
          <w:tcPr/>
          <w:p>
            <w:pPr>
              <w:pStyle w:val="Compact"/>
              <w:jc w:val="left"/>
            </w:pPr>
            <w:r>
              <w:t xml:space="preserve">~3</w:t>
            </w:r>
          </w:p>
        </w:tc>
        <w:tc>
          <w:tcPr/>
          <w:p>
            <w:pPr>
              <w:pStyle w:val="Compact"/>
              <w:jc w:val="left"/>
            </w:pPr>
            <w:r>
              <w:t xml:space="preserve">~8</w:t>
            </w:r>
          </w:p>
        </w:tc>
        <w:tc>
          <w:tcPr/>
          <w:p>
            <w:pPr>
              <w:pStyle w:val="Compact"/>
              <w:jc w:val="left"/>
            </w:pPr>
            <w:r>
              <w:t xml:space="preserve">n/a</w:t>
            </w:r>
          </w:p>
        </w:tc>
      </w:tr>
      <w:tr>
        <w:tc>
          <w:tcPr/>
          <w:p>
            <w:pPr>
              <w:pStyle w:val="Compact"/>
              <w:jc w:val="left"/>
            </w:pPr>
            <w:r>
              <w:t xml:space="preserve">Nhóm III: Upper-middle (CHN, MYS, THA, KAZ…)</w:t>
            </w:r>
          </w:p>
        </w:tc>
        <w:tc>
          <w:tcPr/>
          <w:p>
            <w:pPr>
              <w:pStyle w:val="Compact"/>
              <w:jc w:val="left"/>
            </w:pPr>
            <w:r>
              <w:t xml:space="preserve">17.905</w:t>
            </w:r>
          </w:p>
        </w:tc>
        <w:tc>
          <w:tcPr/>
          <w:p>
            <w:pPr>
              <w:pStyle w:val="Compact"/>
              <w:jc w:val="left"/>
            </w:pPr>
            <w:r>
              <w:t xml:space="preserve">1,37</w:t>
            </w:r>
          </w:p>
        </w:tc>
        <w:tc>
          <w:tcPr/>
          <w:p>
            <w:pPr>
              <w:pStyle w:val="Compact"/>
              <w:jc w:val="left"/>
            </w:pPr>
            <w:r>
              <w:t xml:space="preserve">10,3</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Nhóm IV: Lower-middle transition (VNM, IND, IDN, PHL, BGD, PAK, MNG)</w:t>
            </w:r>
          </w:p>
        </w:tc>
        <w:tc>
          <w:tcPr/>
          <w:p>
            <w:pPr>
              <w:pStyle w:val="Compact"/>
              <w:jc w:val="left"/>
            </w:pPr>
            <w:r>
              <w:t xml:space="preserve">50.926</w:t>
            </w:r>
          </w:p>
        </w:tc>
        <w:tc>
          <w:tcPr/>
          <w:p>
            <w:pPr>
              <w:pStyle w:val="Compact"/>
              <w:jc w:val="left"/>
            </w:pPr>
            <w:r>
              <w:t xml:space="preserve">1,31</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Nhóm V: Emerging (LAO, KHM, NPL, LKA, JOR…)</w:t>
            </w:r>
          </w:p>
        </w:tc>
        <w:tc>
          <w:tcPr/>
          <w:p>
            <w:pPr>
              <w:pStyle w:val="Compact"/>
              <w:jc w:val="left"/>
            </w:pPr>
            <w:r>
              <w:t xml:space="preserve">18.569</w:t>
            </w:r>
          </w:p>
        </w:tc>
        <w:tc>
          <w:tcPr/>
          <w:p>
            <w:pPr>
              <w:pStyle w:val="Compact"/>
              <w:jc w:val="left"/>
            </w:pPr>
            <w:r>
              <w:rPr>
                <w:bCs/>
                <w:b/>
              </w:rPr>
              <w:t xml:space="preserve">1,39</w:t>
            </w:r>
          </w:p>
        </w:tc>
        <w:tc>
          <w:tcPr/>
          <w:p>
            <w:pPr>
              <w:pStyle w:val="Compact"/>
              <w:jc w:val="left"/>
            </w:pPr>
            <w:r>
              <w:t xml:space="preserve">10,1</w:t>
            </w:r>
          </w:p>
        </w:tc>
        <w:tc>
          <w:tcPr/>
          <w:p>
            <w:pPr>
              <w:pStyle w:val="Compact"/>
              <w:jc w:val="left"/>
            </w:pPr>
            <w:r>
              <w:t xml:space="preserve">16,6</w:t>
            </w:r>
          </w:p>
        </w:tc>
        <w:tc>
          <w:tcPr/>
          <w:p>
            <w:pPr>
              <w:pStyle w:val="Compact"/>
              <w:jc w:val="left"/>
            </w:pPr>
            <w:r>
              <w:t xml:space="preserve">5,9</w:t>
            </w:r>
          </w:p>
        </w:tc>
      </w:tr>
      <w:tr>
        <w:tc>
          <w:tcPr/>
          <w:p>
            <w:pPr>
              <w:pStyle w:val="Compact"/>
              <w:jc w:val="left"/>
            </w:pPr>
            <w:r>
              <w:t xml:space="preserve">Nhóm VI: SIDS (FJI, PNG, SLB…)</w:t>
            </w:r>
          </w:p>
        </w:tc>
        <w:tc>
          <w:tcPr/>
          <w:p>
            <w:pPr>
              <w:pStyle w:val="Compact"/>
              <w:jc w:val="left"/>
            </w:pPr>
            <w:r>
              <w:t xml:space="preserve">2.038</w:t>
            </w:r>
          </w:p>
        </w:tc>
        <w:tc>
          <w:tcPr/>
          <w:p>
            <w:pPr>
              <w:pStyle w:val="Compact"/>
              <w:jc w:val="left"/>
            </w:pPr>
            <w:r>
              <w:t xml:space="preserve">1,32</w:t>
            </w:r>
          </w:p>
        </w:tc>
        <w:tc>
          <w:tcPr/>
          <w:p>
            <w:pPr>
              <w:pStyle w:val="Compact"/>
              <w:jc w:val="left"/>
            </w:pPr>
            <w:r>
              <w:t xml:space="preserve">6,3</w:t>
            </w:r>
          </w:p>
        </w:tc>
        <w:tc>
          <w:tcPr/>
          <w:p>
            <w:pPr>
              <w:pStyle w:val="Compact"/>
              <w:jc w:val="left"/>
            </w:pPr>
            <w:r>
              <w:t xml:space="preserve">16,3</w:t>
            </w:r>
          </w:p>
        </w:tc>
        <w:tc>
          <w:tcPr/>
          <w:p>
            <w:pPr>
              <w:pStyle w:val="Compact"/>
              <w:jc w:val="left"/>
            </w:pPr>
            <w:r>
              <w:t xml:space="preserve">23,5</w:t>
            </w:r>
          </w:p>
        </w:tc>
      </w:tr>
      <w:tr>
        <w:tc>
          <w:tcPr/>
          <w:p>
            <w:pPr>
              <w:pStyle w:val="Compact"/>
              <w:jc w:val="left"/>
            </w:pPr>
            <w:r>
              <w:rPr>
                <w:bCs/>
                <w:b/>
              </w:rPr>
              <w:t xml:space="preserve">Tổng (phân loại ICRV)</w:t>
            </w:r>
          </w:p>
        </w:tc>
        <w:tc>
          <w:tcPr/>
          <w:p>
            <w:pPr>
              <w:pStyle w:val="Compact"/>
              <w:jc w:val="left"/>
            </w:pPr>
            <w:r>
              <w:rPr>
                <w:bCs/>
                <w:b/>
              </w:rPr>
              <w:t xml:space="preserve">96.415</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bl>
    <w:p>
      <w:pPr>
        <w:pStyle w:val="BodyText"/>
      </w:pPr>
      <w:r>
        <w:rPr>
          <w:iCs/>
          <w:i/>
        </w:rPr>
        <w:t xml:space="preserve">Nguồn: Phân tích của tác giả từ World Bank Enterprise Surveys (WBES), 2003–2025.</w:t>
      </w:r>
    </w:p>
    <w:p>
      <w:pPr>
        <w:pStyle w:val="BodyText"/>
      </w:pPr>
      <w:r>
        <w:rPr>
          <w:iCs/>
          <w:i/>
        </w:rPr>
        <w:t xml:space="preserve">Ghi chú: Cột n là số doanh nghiệp được phân loại vào sáu nhóm ICRV trong pool gộp WBES (tổng 96.415; ngoài ra còn ~10.350 doanh nghiệp chưa gán nhóm ICRV do thiếu chỉ số thể chế). Mẫu hồi quy chính của P7 là N = 81.022 (mô hình M2, khung 50 nền gồm Nhật Bản) và giảm còn 79.080 ở M5 khi bổ sung biến kiểm soát (xem §4.6.1), do loại các quan sát thiếu biến phụ thuộc/FSTS. ¹ Độ lệch chuẩn ln(năng suất lao động) tính trong từng cặp nền kinh tế × năm rồi lấy trung vị giữa các đợt của nhóm, bất biến với đơn vị tiền tệ (thừa số quy đổi triệt tiêu trên thang log); năng suất được winsorize 1/99 trong cụm country-year (xem §3.5.3). ² Trung vị Nhóm II bị kéo lên bởi các nền nhỏ; hai nền lớn nhất khối có phân tán hẹp nhất toàn pool (Saudi Arabia 0,49; Qatar 0,33).</w:t>
      </w:r>
    </w:p>
    <w:p>
      <w:pPr>
        <w:pStyle w:val="BodyText"/>
      </w:pPr>
      <w:r>
        <w:rPr>
          <w:iCs/>
          <w:i/>
        </w:rPr>
        <w:t xml:space="preserve">Quy ước nhãn nhóm ICRV (căn theo nhãn dữ liệu P7): Nhóm I = Advanced innovation-driven; Nhóm II = Advanced resource-driven; Nhóm III = Upper-middle;</w:t>
      </w:r>
      <w:r>
        <w:rPr>
          <w:iCs/>
          <w:i/>
        </w:rPr>
        <w:t xml:space="preserve"> </w:t>
      </w:r>
      <w:r>
        <w:rPr>
          <w:bCs/>
          <w:b/>
          <w:iCs/>
          <w:i/>
        </w:rPr>
        <w:t xml:space="preserve">Nhóm IV = Lower-middle transition</w:t>
      </w:r>
      <w:r>
        <w:rPr>
          <w:iCs/>
          <w:i/>
        </w:rPr>
        <w:t xml:space="preserve"> </w:t>
      </w:r>
      <w:r>
        <w:rPr>
          <w:iCs/>
          <w:i/>
        </w:rPr>
        <w:t xml:space="preserve">(</w:t>
      </w:r>
      <w:r>
        <w:rPr>
          <w:rStyle w:val="VerbatimChar"/>
          <w:iCs/>
          <w:i/>
        </w:rPr>
        <w:t xml:space="preserve">Lower_mid_transition</w:t>
      </w:r>
      <w:r>
        <w:rPr>
          <w:iCs/>
          <w:i/>
        </w:rPr>
        <w:t xml:space="preserve">: Bangladesh, Ấn Độ, Indonesia, Mông Cổ, Pakistan, Philippines, Việt Nam);</w:t>
      </w:r>
      <w:r>
        <w:rPr>
          <w:iCs/>
          <w:i/>
        </w:rPr>
        <w:t xml:space="preserve"> </w:t>
      </w:r>
      <w:r>
        <w:rPr>
          <w:bCs/>
          <w:b/>
          <w:iCs/>
          <w:i/>
        </w:rPr>
        <w:t xml:space="preserve">Nhóm V = Emerging</w:t>
      </w:r>
      <w:r>
        <w:rPr>
          <w:iCs/>
          <w:i/>
        </w:rPr>
        <w:t xml:space="preserve"> </w:t>
      </w:r>
      <w:r>
        <w:rPr>
          <w:iCs/>
          <w:i/>
        </w:rPr>
        <w:t xml:space="preserve">(</w:t>
      </w:r>
      <w:r>
        <w:rPr>
          <w:rStyle w:val="VerbatimChar"/>
          <w:iCs/>
          <w:i/>
        </w:rPr>
        <w:t xml:space="preserve">Emerging</w:t>
      </w:r>
      <w:r>
        <w:rPr>
          <w:iCs/>
          <w:i/>
        </w:rPr>
        <w:t xml:space="preserve">: 17 nền gồm Campuchia, Lào, Nepal, Sri Lanka, Jordan…); Nhóm VI = SIDS (</w:t>
      </w:r>
      <w:r>
        <w:rPr>
          <w:rStyle w:val="VerbatimChar"/>
          <w:iCs/>
          <w:i/>
        </w:rPr>
        <w:t xml:space="preserve">SIDS_small</w:t>
      </w:r>
      <w:r>
        <w:rPr>
          <w:iCs/>
          <w:i/>
        </w:rPr>
        <w:t xml:space="preserve">). Hệ nhãn này được dùng thống nhất trong toàn bộ luận án và hai chuyên đề.</w:t>
      </w:r>
    </w:p>
    <w:p>
      <w:pPr>
        <w:pStyle w:val="BodyText"/>
      </w:pPr>
      <w:r>
        <w:t xml:space="preserve">Phát hiện quan trọng nhất từ thực trạng mô tả là sự phân biệt nội bộ trong nhóm Advanced. Hai phân nhóm cùng mức thu nhập cao nhưng đối lập về cấu trúc: nhóm đổi mới sáng tạo dẫn dắt có R&amp;D 21,0%, ISO 32,5% và 24,5% doanh nghiệp xuất khẩu, trong khi nhóm tài nguyên dẫn dắt chỉ có R&amp;D 7,0% và 11,7% doanh nghiệp xuất khẩu (Chuyên đề 1). Về phân phối, hai nền lớn nhất Vùng Vịnh có phân tán năng suất trong đợt hẹp nhất toàn pool (Saudi Arabia 0,49; Qatar 0,33, so với Singapore 1,08, chênh hơn 2 lần), biểu hiện của kinh tế nhà nước tô (rentier economy) nơi phân phối lại từ xuất khẩu dầu mỏ thu hẹp khoảng cách năng suất giữa doanh nghiệp, nhưng không nhất thiết phản ánh hiệu quả doanh nghiệp đáng kể. Điều này gợi ý rằng việc gộp hai loại Advanced vào một nhóm duy nhất (như các nghiên cứu trước thường làm) sẽ che khuất cơ chế quan trọng này.</w:t>
      </w:r>
    </w:p>
    <w:p>
      <w:pPr>
        <w:pStyle w:val="BodyText"/>
      </w:pPr>
      <w:r>
        <w:t xml:space="preserve">Sự gia tăng của độ phân tán năng suất trong đợt theo gradient ICRV (từ ~12 lần lên ~30 lần ở tỷ số P90/P10) không chỉ là một quan sát mô tả mà còn nhất quán với khung lý thuyết phân bổ sai nguồn lực (resource misallocation) của Hsieh và Klenow (2009): trong môi trường thể chế yếu, các rào cản thị trường, tiếp cận tài chính hạn chế, thực thi hợp đồng kém, méo mó chính sách, ngăn nguồn lực dịch chuyển từ doanh nghiệp kém hiệu quả sang doanh nghiệp hiệu quả hơn, khiến phương sai năng suất giữa các doanh nghiệp nới rộng. Theo logic này, độ phân tán năng suất cao ở Nhóm V–VI</w:t>
      </w:r>
      <w:r>
        <w:t xml:space="preserve"> </w:t>
      </w:r>
      <w:r>
        <w:rPr>
          <w:bCs/>
          <w:b/>
        </w:rPr>
        <w:t xml:space="preserve">có thể</w:t>
      </w:r>
      <w:r>
        <w:t xml:space="preserve"> </w:t>
      </w:r>
      <w:r>
        <w:t xml:space="preserve">là dấu hiệu của tổn thất phân bổ (allocative loss) thay vì phản ánh sự đa dạng lành mạnh. Cần lưu ý rằng độ lệch chuẩn của log năng suất lao động chỉ là</w:t>
      </w:r>
      <w:r>
        <w:t xml:space="preserve"> </w:t>
      </w:r>
      <w:r>
        <w:rPr>
          <w:bCs/>
          <w:b/>
        </w:rPr>
        <w:t xml:space="preserve">proxy gián tiếp</w:t>
      </w:r>
      <w:r>
        <w:t xml:space="preserve"> </w:t>
      </w:r>
      <w:r>
        <w:t xml:space="preserve">cho cơ chế phân tán TFPR (năng suất doanh thu) mà Hsieh và Klenow (2009) dùng để định danh misallocation, vì nó còn chịu ảnh hưởng của dị biệt công nghệ, mức thâm dụng vốn và điều kiện cầu; do đó đây là một cách diễn giải</w:t>
      </w:r>
      <w:r>
        <w:t xml:space="preserve"> </w:t>
      </w:r>
      <w:r>
        <w:rPr>
          <w:iCs/>
          <w:i/>
        </w:rPr>
        <w:t xml:space="preserve">nhất quán với</w:t>
      </w:r>
      <w:r>
        <w:t xml:space="preserve"> </w:t>
      </w:r>
      <w:r>
        <w:t xml:space="preserve">khung misallocation chứ không phải bằng chứng phân rã trực tiếp. Dù vậy, hướng diễn giải này có hàm ý chính sách khác hẳn với việc coi phân tán chỉ là nhiễu thống kê. Cần nhấn mạnh rằng các so sánh giữa các nhóm ICRV trong §4.1 mang bản chất</w:t>
      </w:r>
      <w:r>
        <w:t xml:space="preserve"> </w:t>
      </w:r>
      <w:r>
        <w:rPr>
          <w:bCs/>
          <w:b/>
        </w:rPr>
        <w:t xml:space="preserve">mô tả</w:t>
      </w:r>
      <w:r>
        <w:t xml:space="preserve">; xác nhận</w:t>
      </w:r>
      <w:r>
        <w:t xml:space="preserve"> </w:t>
      </w:r>
      <w:r>
        <w:rPr>
          <w:bCs/>
          <w:b/>
        </w:rPr>
        <w:t xml:space="preserve">suy diễn</w:t>
      </w:r>
      <w:r>
        <w:t xml:space="preserve"> </w:t>
      </w:r>
      <w:r>
        <w:t xml:space="preserve">rằng khác biệt giữa các chế độ thể chế có ý nghĩa thống kê được cung cấp ở hai cấp độ độc lập trong các phần sau của chương: kiểm định điều tiết ICRV của meta-analysis P6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§4.2.3) và gradient điểm uốn theo ICRV của mô hình hồi quy đa quốc gia P7 (§4.6.2). Hai nguồn bằng chứng này bảo đảm bức tranh thực trạng mô tả được neo vào bằng chứng suy diễn nhất quán, thay vì dừng lại ở so sánh trung bình–độ lệch chuẩn.</w:t>
      </w:r>
    </w:p>
    <w:bookmarkEnd w:id="125"/>
    <w:bookmarkStart w:id="126" w:name="X8bec3537640f28bf435d79e17219bfe20c234df"/>
    <w:p>
      <w:pPr>
        <w:pStyle w:val="Heading3"/>
      </w:pPr>
      <w:r>
        <w:t xml:space="preserve">4.1.2 Thực trạng quốc tế hóa: phân cực tham gia xuất khẩu</w:t>
      </w:r>
    </w:p>
    <w:p>
      <w:pPr>
        <w:pStyle w:val="FirstParagraph"/>
      </w:pPr>
      <w:r>
        <w:t xml:space="preserve">Trung vị FSTS bằng 0% trong tất cả các phân nhóm, chỉ 15–23% doanh nghiệp tham gia xuất khẩu tùy theo bối cảnh. Phân phối FSTS có dạng phân cực mạnh: đại đa số không xuất khẩu, trong khi một thiểu số nhỏ có tỷ lệ xuất khẩu rất cao. Phân cực này đặt ra vấn đề phương pháp quan trọng cho nghiên cứu I–P: kết quả hồi quy trên toàn mẫu bị kéo bởi hành vi của thiểu số xuất khẩu tích cực.</w:t>
      </w:r>
    </w:p>
    <w:p>
      <w:pPr>
        <w:pStyle w:val="BodyText"/>
      </w:pPr>
      <w:r>
        <w:t xml:space="preserve">Cường độ quốc tế hóa (FSTS trung bình, tính trên toàn mẫu gồm cả doanh nghiệp không xuất khẩu) dao động từ 6,3% (SIDS) đến 10,3% (Upper-middle), với mức trung bình khu vực khoảng 8,8%. Điều đáng chú ý là Upper-middle và Advanced có cùng FSTS trung bình (~10%) nhưng cơ chế xuất khẩu hoàn toàn khác: Advanced chủ yếu dịch vụ và hàng hóa hàm lượng tri thức cao; Upper-middle chủ yếu sản xuất theo chuỗi giá trị toàn cầu với biên lợi nhuận khác nhau.</w:t>
      </w:r>
    </w:p>
    <w:bookmarkEnd w:id="126"/>
    <w:bookmarkStart w:id="127" w:name="thực-trạng-năng-lực-số-và-công-nghệ"/>
    <w:p>
      <w:pPr>
        <w:pStyle w:val="Heading3"/>
      </w:pPr>
      <w:r>
        <w:t xml:space="preserve">4.1.3 Thực trạng năng lực số và công nghệ</w:t>
      </w:r>
    </w:p>
    <w:p>
      <w:pPr>
        <w:pStyle w:val="FirstParagraph"/>
      </w:pPr>
      <w:r>
        <w:t xml:space="preserve">Phân tích năm thành phần năng lực (đổi mới sản phẩm, đổi mới quy trình, R&amp;D, ISO, website)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(nhãn dữ liệu)</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Tier-1)</w:t>
            </w:r>
          </w:p>
        </w:tc>
      </w:tr>
      <w:tr>
        <w:tc>
          <w:tcPr/>
          <w:p>
            <w:pPr>
              <w:pStyle w:val="Compact"/>
              <w:jc w:val="left"/>
            </w:pPr>
            <w:r>
              <w:t xml:space="preserve">I,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Adv. tài nguyên (GCC)</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25,4</w:t>
            </w:r>
          </w:p>
        </w:tc>
        <w:tc>
          <w:tcPr/>
          <w:p>
            <w:pPr>
              <w:pStyle w:val="Compact"/>
              <w:jc w:val="left"/>
            </w:pPr>
            <w:r>
              <w:t xml:space="preserve">53,9</w:t>
            </w:r>
          </w:p>
        </w:tc>
      </w:tr>
      <w:tr>
        <w:tc>
          <w:tcPr/>
          <w:p>
            <w:pPr>
              <w:pStyle w:val="Compact"/>
              <w:jc w:val="left"/>
            </w:pPr>
            <w:r>
              <w:t xml:space="preserve">IV,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Đang nổi</w:t>
            </w:r>
          </w:p>
        </w:tc>
        <w:tc>
          <w:tcPr/>
          <w:p>
            <w:pPr>
              <w:pStyle w:val="Compact"/>
              <w:jc w:val="left"/>
            </w:pPr>
            <w:r>
              <w:t xml:space="preserve">24,4</w:t>
            </w:r>
          </w:p>
        </w:tc>
        <w:tc>
          <w:tcPr/>
          <w:p>
            <w:pPr>
              <w:pStyle w:val="Compact"/>
              <w:jc w:val="left"/>
            </w:pPr>
            <w:r>
              <w:t xml:space="preserve">16,3</w:t>
            </w:r>
          </w:p>
        </w:tc>
        <w:tc>
          <w:tcPr/>
          <w:p>
            <w:pPr>
              <w:pStyle w:val="Compact"/>
              <w:jc w:val="left"/>
            </w:pPr>
            <w:r>
              <w:t xml:space="preserve">17,5</w:t>
            </w:r>
          </w:p>
        </w:tc>
        <w:tc>
          <w:tcPr/>
          <w:p>
            <w:pPr>
              <w:pStyle w:val="Compact"/>
              <w:jc w:val="left"/>
            </w:pPr>
            <w:r>
              <w:t xml:space="preserve">12,7</w:t>
            </w:r>
          </w:p>
        </w:tc>
        <w:tc>
          <w:tcPr/>
          <w:p>
            <w:pPr>
              <w:pStyle w:val="Compact"/>
              <w:jc w:val="left"/>
            </w:pPr>
            <w:r>
              <w:t xml:space="preserve">40,9</w:t>
            </w:r>
          </w:p>
        </w:tc>
      </w:tr>
      <w:tr>
        <w:tc>
          <w:tcPr/>
          <w:p>
            <w:pPr>
              <w:pStyle w:val="Compact"/>
              <w:jc w:val="left"/>
            </w:pPr>
            <w:r>
              <w:t xml:space="preserve">VI, SIDS</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Phân tích của tác giả từ WBES, 2003–2025.</w:t>
      </w:r>
    </w:p>
    <w:p>
      <w:pPr>
        <w:pStyle w:val="BodyText"/>
      </w:pPr>
      <w:r>
        <w:rPr>
          <w:iCs/>
          <w:i/>
        </w:rPr>
        <w:t xml:space="preserve">Ghi chú: Bảng 4.2 được tính trực tiếp từ dữ liệu thô WBES trên khung 50 nền (một cross-section chuẩn cho mỗi cặp nền kinh tế × năm, đợt khảo sát ≥ 2006), với các chỉ báo chuẩn của bộ công cụ WBES toàn cầu: đổi mới sản phẩm (h1), đổi mới quy trình (h5), chi R&amp;D (h8), chứng nhận chất lượng quốc tế (b8) và website (c22b). Toàn bộ sáu nhóm ICRV đều có độ phủ dữ liệu đầy đủ, kể cả Nhóm II (đủ 6/6 nền GCC). Gradient năng lực thể chế thể hiện rõ ở các biến nền tảng: R&amp;D 21,0% (Nhóm I) xuống 10,2% (Nhóm VI); ISO 32,5% xuống 12,2%; website 69,2% xuống 41,5%. Bộ số này nhất quán với phân tích thực trạng ở Chuyên đề 1.</w:t>
      </w:r>
    </w:p>
    <w:p>
      <w:pPr>
        <w:pStyle w:val="BodyText"/>
      </w:pPr>
      <w:r>
        <w:t xml:space="preserve">Phát hiện đáng chú ý là pattern</w:t>
      </w:r>
      <w:r>
        <w:t xml:space="preserve"> </w:t>
      </w:r>
      <w:r>
        <w:t xml:space="preserve">“</w:t>
      </w:r>
      <w:r>
        <w:t xml:space="preserve">thích nghi và nhảy vọt</w:t>
      </w:r>
      <w:r>
        <w:t xml:space="preserve">”</w:t>
      </w:r>
      <w:r>
        <w:t xml:space="preserve"> </w:t>
      </w:r>
      <w:r>
        <w:t xml:space="preserve">(adaptive leapfrogging) ở SIDS: với dữ liệu raw đủ 8/8 nền Nhóm VI, SIDS có</w:t>
      </w:r>
      <w:r>
        <w:t xml:space="preserve"> </w:t>
      </w:r>
      <w:r>
        <w:rPr>
          <w:bCs/>
          <w:b/>
        </w:rPr>
        <w:t xml:space="preserve">tỷ lệ đổi mới sản phẩm cao nhất mọi nhóm (34,2%)</w:t>
      </w:r>
      <w:r>
        <w:t xml:space="preserve"> </w:t>
      </w:r>
      <w:r>
        <w:t xml:space="preserve">và đổi mới quy trình cao nhất (24,7%), trong khi website (41,5%) ngang nhóm Đang nổi (40,9%) dù GNI thấp hơn đáng kể, phản ánh đổi mới bằng nguồn lực hạn chế (frugal innovation) như công cụ sinh tồn chứ không phải tối ưu hóa hiệu quả. Kết quả này hỗ trợ lập luận lý thuyết về sự phân biệt giữa DAI (chấp nhận số bề mặt) và TCI (năng lực công nghệ chiều sâu): SIDS đổi mới/áp dụng số ở bề mặt cao nhưng năng lực công nghệ chiều sâu (R&amp;D 10,2%, ISO 12,2%) thấp nhất, và đây là nhóm duy nhất có quan hệ I–P âm đơn điệu (FIP).</w:t>
      </w:r>
    </w:p>
    <w:p>
      <w:pPr>
        <w:pStyle w:val="BodyText"/>
      </w:pPr>
      <w:r>
        <w:t xml:space="preserve">Một biểu hiện khác của bão hòa Tier-1 nằm ở tương quan giữa website và năng suất: phần bù tương quan của DAI Tier-1 thấp nhất ở nhóm Advanced đổi mới (+0,090, so với +0,180–0,201 ở các nhóm chuyển đổi và tài nguyên, Chuyên đề 1, Bảng 2.3.8.1) dù tỷ lệ có website của nhóm này cao (69,2%). Khi một chỉ báo nhị phân tiệm cận bão hòa, phương sai của nó co lại và nhóm</w:t>
      </w:r>
      <w:r>
        <w:t xml:space="preserve"> </w:t>
      </w:r>
      <w:r>
        <w:t xml:space="preserve">“</w:t>
      </w:r>
      <w:r>
        <w:t xml:space="preserve">không website</w:t>
      </w:r>
      <w:r>
        <w:t xml:space="preserve">”</w:t>
      </w:r>
      <w:r>
        <w:t xml:space="preserve"> </w:t>
      </w:r>
      <w:r>
        <w:t xml:space="preserve">còn lại mang tính chọn lọc đặc thù, nên hệ số đo được phản ánh giới hạn của thước đo Tier-1 nhiều hơn là giới hạn của số hóa, một vấn đề đo lường cần phân biệt với quan hệ nhân quả thực.</w:t>
      </w:r>
    </w:p>
    <w:bookmarkEnd w:id="127"/>
    <w:bookmarkStart w:id="128" w:name="Xb62897d6a910d3bf4cd9f1b24b608b7e1128a7f"/>
    <w:p>
      <w:pPr>
        <w:pStyle w:val="Heading3"/>
      </w:pPr>
      <w:r>
        <w:t xml:space="preserve">4.1.4 Bốn rào cản cấu trúc ảnh hưởng đến quốc tế hóa và hiệu quả</w:t>
      </w:r>
    </w:p>
    <w:p>
      <w:pPr>
        <w:pStyle w:val="FirstParagraph"/>
      </w:pPr>
      <w:r>
        <w:t xml:space="preserve">Phân tích thực trạng xác định bốn rào cản cấu trúc phổ biến nhất ảnh hưởng đến khả năng quốc tế hóa và hiệu quả doanh nghiệp tại châu Á: (i) tiếp cận tài chính hạn chế, đặc biệt nghiêm trọng ở Emerging và Lower-middle transition (Nhóm V–IV); (ii) thiếu hụt lao động có kỹ năng; (iii) cạnh tranh từ doanh nghiệp phi chính thức; và (iv) nguồn cung điện không đáng tin cậy. Bốn rào cản này hình thành</w:t>
      </w:r>
      <w:r>
        <w:t xml:space="preserve"> </w:t>
      </w:r>
      <w:r>
        <w:t xml:space="preserve">“</w:t>
      </w:r>
      <w:r>
        <w:t xml:space="preserve">institutional voids</w:t>
      </w:r>
      <w:r>
        <w:t xml:space="preserve">”</w:t>
      </w:r>
      <w:r>
        <w:t xml:space="preserve"> </w:t>
      </w:r>
      <w:r>
        <w:t xml:space="preserve">(Khanna &amp; Palepu, 2010) tạo ra chi phí giao dịch bổ sung cho doanh nghiệp khi mở rộng hoạt động ra ngoài biên giới. Sự hiện diện đồng thời của nhiều voids tại Emerging và SIDS giải thích tại sao quan hệ I–P ở các nhóm này yếu hoặc âm.</w:t>
      </w:r>
    </w:p>
    <w:bookmarkEnd w:id="128"/>
    <w:bookmarkStart w:id="129" w:name="X31dbb247e18ca668fe6216e3f13d76006df1ea1"/>
    <w:p>
      <w:pPr>
        <w:pStyle w:val="Heading3"/>
      </w:pPr>
      <w:r>
        <w:t xml:space="preserve">4.1.5 Nhật Bản 2025: Lần đầu tiên được khảo sát và vị trí trong khung ICRV</w:t>
      </w:r>
    </w:p>
    <w:p>
      <w:pPr>
        <w:pStyle w:val="FirstParagraph"/>
      </w:pPr>
      <w:r>
        <w:t xml:space="preserve">Một sự kiện dữ liệu đáng chú ý của giai đoạn nghiên cứu là việc Nhật Bản lần đầu tiên được đưa vào Khảo sát Doanh nghiệp của Ngân hàng Thế giới năm 2025, với mẫu</w:t>
      </w:r>
      <w:r>
        <w:t xml:space="preserve"> </w:t>
      </w:r>
      <m:oMath>
        <m:r>
          <m:t>N</m:t>
        </m:r>
        <m:r>
          <m:rPr>
            <m:sty m:val="p"/>
          </m:rPr>
          <m:t>=</m:t>
        </m:r>
        <m:r>
          <m:t>2.168</m:t>
        </m:r>
      </m:oMath>
      <w:r>
        <w:t xml:space="preserve"> </w:t>
      </w:r>
      <w:r>
        <w:t xml:space="preserve">doanh nghiệp. Nhật Bản là</w:t>
      </w:r>
      <w:r>
        <w:t xml:space="preserve"> </w:t>
      </w:r>
      <w:r>
        <w:rPr>
          <w:bCs/>
          <w:b/>
        </w:rPr>
        <w:t xml:space="preserve">thành viên thứ sáu của Nhóm I</w:t>
      </w:r>
      <w:r>
        <w:t xml:space="preserve"> </w:t>
      </w:r>
      <w:r>
        <w:t xml:space="preserve">(Advanced đổi mới sáng tạo dẫn dắt) và là nền kinh tế tiên tiến lớn cuối cùng gia nhập bộ dữ liệu WBES, cung cấp một điểm neo quý giá cho biên trên của gradient thể chế. Nhật Bản được tích hợp đầy đủ vào khung mô tả 50 nền của chuyên đề thực trạng (Chuyên đề 1) và mọi thống kê Nhóm I trong luận án. Về phía ước lượng kinh tế lượng,</w:t>
      </w:r>
      <w:r>
        <w:t xml:space="preserve"> </w:t>
      </w:r>
      <w:r>
        <w:rPr>
          <w:bCs/>
          <w:b/>
        </w:rPr>
        <w:t xml:space="preserve">điểm uốn toàn mẫu P7 đã được tái ước lượng trên khung 50 nền bao gồm Nhật Bản</w:t>
      </w:r>
      <w:r>
        <w:t xml:space="preserve"> </w:t>
      </w:r>
      <w:r>
        <w:t xml:space="preserve">(2.168 doanh nghiệp Nhật trong khung phân tích 88.869; mẫu hồi quy chính M2 N = 81.022, M5 N = 79.080; xem §4.6), nên các kết quả P7 trong luận án đã phản ánh Nhật Bản. Hai nghiên cứu thành phần còn lại là pool con riêng không liên quan Nhật Bản: P8 (FIP) trên 7 nền Pacific SIDS và P9 (ngưỡng) trên Ấn Độ. Ngoài ra, nghiên cứu thành phần P10 kiểm định chuyên sâu quan hệ I–P tại Nhật Bản (xem §4.6.2). Toàn bộ số liệu dưới đây được tính trực tiếp từ tệp vi mô gốc.</w:t>
      </w:r>
    </w:p>
    <w:p>
      <w:pPr>
        <w:pStyle w:val="BodyText"/>
      </w:pPr>
      <w:r>
        <w:rPr>
          <w:bCs/>
          <w:b/>
        </w:rPr>
        <w:t xml:space="preserve">Bảng 4.3.</w:t>
      </w:r>
      <w:r>
        <w:t xml:space="preserve"> </w:t>
      </w:r>
      <w:r>
        <w:rPr>
          <w:iCs/>
          <w:i/>
        </w:rPr>
        <w:t xml:space="preserve">Đặc trưng doanh nghiệp Nhật Bản 2025 so với năm nền còn lại của Nhóm I (Advanced đổi mới).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Chỉ tiêu</w:t>
            </w:r>
          </w:p>
        </w:tc>
        <w:tc>
          <w:tcPr/>
          <w:p>
            <w:pPr>
              <w:pStyle w:val="Compact"/>
              <w:jc w:val="right"/>
            </w:pPr>
            <w:r>
              <w:t xml:space="preserve">Nhật Bản 2025</w:t>
            </w:r>
          </w:p>
        </w:tc>
        <w:tc>
          <w:tcPr/>
          <w:p>
            <w:pPr>
              <w:pStyle w:val="Compact"/>
              <w:jc w:val="right"/>
            </w:pPr>
            <w:r>
              <w:t xml:space="preserve">5 nền Nhóm I còn lại</w:t>
            </w:r>
          </w:p>
        </w:tc>
      </w:tr>
      <w:tr>
        <w:tc>
          <w:tcPr/>
          <w:p>
            <w:pPr>
              <w:pStyle w:val="Compact"/>
              <w:jc w:val="left"/>
            </w:pPr>
            <w:r>
              <w:t xml:space="preserve">n doanh nghiệp</w:t>
            </w:r>
          </w:p>
        </w:tc>
        <w:tc>
          <w:tcPr/>
          <w:p>
            <w:pPr>
              <w:pStyle w:val="Compact"/>
              <w:jc w:val="right"/>
            </w:pPr>
            <w:r>
              <w:t xml:space="preserve">2.168</w:t>
            </w:r>
          </w:p>
        </w:tc>
        <w:tc>
          <w:tcPr/>
          <w:p>
            <w:pPr>
              <w:pStyle w:val="Compact"/>
              <w:jc w:val="right"/>
            </w:pPr>
            <w:r>
              <w:t xml:space="preserve">4.222</w:t>
            </w:r>
          </w:p>
        </w:tc>
      </w:tr>
      <w:tr>
        <w:tc>
          <w:tcPr/>
          <w:p>
            <w:pPr>
              <w:pStyle w:val="Compact"/>
              <w:jc w:val="left"/>
            </w:pPr>
            <w:r>
              <w:t xml:space="preserve">sd ln(LP) trong đợt</w:t>
            </w:r>
          </w:p>
        </w:tc>
        <w:tc>
          <w:tcPr/>
          <w:p>
            <w:pPr>
              <w:pStyle w:val="Compact"/>
              <w:jc w:val="right"/>
            </w:pPr>
            <w:r>
              <w:rPr>
                <w:bCs/>
                <w:b/>
              </w:rPr>
              <w:t xml:space="preserve">0,89</w:t>
            </w:r>
          </w:p>
        </w:tc>
        <w:tc>
          <w:tcPr/>
          <w:p>
            <w:pPr>
              <w:pStyle w:val="Compact"/>
              <w:jc w:val="right"/>
            </w:pPr>
            <w:r>
              <w:t xml:space="preserve">1,04</w:t>
            </w:r>
          </w:p>
        </w:tc>
      </w:tr>
      <w:tr>
        <w:tc>
          <w:tcPr/>
          <w:p>
            <w:pPr>
              <w:pStyle w:val="Compact"/>
              <w:jc w:val="left"/>
            </w:pPr>
            <w:r>
              <w:t xml:space="preserve">P90/P10 năng suất</w:t>
            </w:r>
          </w:p>
        </w:tc>
        <w:tc>
          <w:tcPr/>
          <w:p>
            <w:pPr>
              <w:pStyle w:val="Compact"/>
              <w:jc w:val="right"/>
            </w:pPr>
            <w:r>
              <w:rPr>
                <w:bCs/>
                <w:b/>
              </w:rPr>
              <w:t xml:space="preserve">8,3</w:t>
            </w:r>
          </w:p>
        </w:tc>
        <w:tc>
          <w:tcPr/>
          <w:p>
            <w:pPr>
              <w:pStyle w:val="Compact"/>
              <w:jc w:val="right"/>
            </w:pPr>
            <w:r>
              <w:t xml:space="preserve">12,2</w:t>
            </w:r>
          </w:p>
        </w:tc>
      </w:tr>
      <w:tr>
        <w:tc>
          <w:tcPr/>
          <w:p>
            <w:pPr>
              <w:pStyle w:val="Compact"/>
              <w:jc w:val="left"/>
            </w:pPr>
            <w:r>
              <w:t xml:space="preserve">FSTS trung bình (%)</w:t>
            </w:r>
          </w:p>
        </w:tc>
        <w:tc>
          <w:tcPr/>
          <w:p>
            <w:pPr>
              <w:pStyle w:val="Compact"/>
              <w:jc w:val="right"/>
            </w:pPr>
            <w:r>
              <w:t xml:space="preserve">4,1</w:t>
            </w:r>
          </w:p>
        </w:tc>
        <w:tc>
          <w:tcPr/>
          <w:p>
            <w:pPr>
              <w:pStyle w:val="Compact"/>
              <w:jc w:val="right"/>
            </w:pPr>
            <w:r>
              <w:t xml:space="preserve">13,4</w:t>
            </w:r>
          </w:p>
        </w:tc>
      </w:tr>
      <w:tr>
        <w:tc>
          <w:tcPr/>
          <w:p>
            <w:pPr>
              <w:pStyle w:val="Compact"/>
              <w:jc w:val="left"/>
            </w:pPr>
            <w:r>
              <w:t xml:space="preserve">Doanh nghiệp xuất khẩu (%)</w:t>
            </w:r>
          </w:p>
        </w:tc>
        <w:tc>
          <w:tcPr/>
          <w:p>
            <w:pPr>
              <w:pStyle w:val="Compact"/>
              <w:jc w:val="right"/>
            </w:pPr>
            <w:r>
              <w:t xml:space="preserve">16,5</w:t>
            </w:r>
          </w:p>
        </w:tc>
        <w:tc>
          <w:tcPr/>
          <w:p>
            <w:pPr>
              <w:pStyle w:val="Compact"/>
              <w:jc w:val="right"/>
            </w:pPr>
            <w:r>
              <w:t xml:space="preserve">28,4</w:t>
            </w:r>
          </w:p>
        </w:tc>
      </w:tr>
      <w:tr>
        <w:tc>
          <w:tcPr/>
          <w:p>
            <w:pPr>
              <w:pStyle w:val="Compact"/>
              <w:jc w:val="left"/>
            </w:pPr>
            <w:r>
              <w:t xml:space="preserve">FDI ≥ 10% (%)</w:t>
            </w:r>
          </w:p>
        </w:tc>
        <w:tc>
          <w:tcPr/>
          <w:p>
            <w:pPr>
              <w:pStyle w:val="Compact"/>
              <w:jc w:val="right"/>
            </w:pPr>
            <w:r>
              <w:rPr>
                <w:bCs/>
                <w:b/>
              </w:rPr>
              <w:t xml:space="preserve">1,9</w:t>
            </w:r>
          </w:p>
        </w:tc>
        <w:tc>
          <w:tcPr/>
          <w:p>
            <w:pPr>
              <w:pStyle w:val="Compact"/>
              <w:jc w:val="right"/>
            </w:pPr>
            <w:r>
              <w:t xml:space="preserve">10,6</w:t>
            </w:r>
          </w:p>
        </w:tc>
      </w:tr>
      <w:tr>
        <w:tc>
          <w:tcPr/>
          <w:p>
            <w:pPr>
              <w:pStyle w:val="Compact"/>
              <w:jc w:val="left"/>
            </w:pPr>
            <w:r>
              <w:t xml:space="preserve">Website (%)</w:t>
            </w:r>
          </w:p>
        </w:tc>
        <w:tc>
          <w:tcPr/>
          <w:p>
            <w:pPr>
              <w:pStyle w:val="Compact"/>
              <w:jc w:val="right"/>
            </w:pPr>
            <w:r>
              <w:rPr>
                <w:bCs/>
                <w:b/>
              </w:rPr>
              <w:t xml:space="preserve">83,8</w:t>
            </w:r>
          </w:p>
        </w:tc>
        <w:tc>
          <w:tcPr/>
          <w:p>
            <w:pPr>
              <w:pStyle w:val="Compact"/>
              <w:jc w:val="right"/>
            </w:pPr>
            <w:r>
              <w:t xml:space="preserve">61,7</w:t>
            </w:r>
          </w:p>
        </w:tc>
      </w:tr>
      <w:tr>
        <w:tc>
          <w:tcPr/>
          <w:p>
            <w:pPr>
              <w:pStyle w:val="Compact"/>
              <w:jc w:val="left"/>
            </w:pPr>
            <w:r>
              <w:t xml:space="preserve">R&amp;D (%)</w:t>
            </w:r>
          </w:p>
        </w:tc>
        <w:tc>
          <w:tcPr/>
          <w:p>
            <w:pPr>
              <w:pStyle w:val="Compact"/>
              <w:jc w:val="right"/>
            </w:pPr>
            <w:r>
              <w:t xml:space="preserve">21,9</w:t>
            </w:r>
          </w:p>
        </w:tc>
        <w:tc>
          <w:tcPr/>
          <w:p>
            <w:pPr>
              <w:pStyle w:val="Compact"/>
              <w:jc w:val="right"/>
            </w:pPr>
            <w:r>
              <w:t xml:space="preserve">20,5</w:t>
            </w:r>
          </w:p>
        </w:tc>
      </w:tr>
      <w:tr>
        <w:tc>
          <w:tcPr/>
          <w:p>
            <w:pPr>
              <w:pStyle w:val="Compact"/>
              <w:jc w:val="left"/>
            </w:pPr>
            <w:r>
              <w:t xml:space="preserve">ISO (%)</w:t>
            </w:r>
          </w:p>
        </w:tc>
        <w:tc>
          <w:tcPr/>
          <w:p>
            <w:pPr>
              <w:pStyle w:val="Compact"/>
              <w:jc w:val="right"/>
            </w:pPr>
            <w:r>
              <w:t xml:space="preserve">27,7</w:t>
            </w:r>
          </w:p>
        </w:tc>
        <w:tc>
          <w:tcPr/>
          <w:p>
            <w:pPr>
              <w:pStyle w:val="Compact"/>
              <w:jc w:val="right"/>
            </w:pPr>
            <w:r>
              <w:t xml:space="preserve">35,0</w:t>
            </w:r>
          </w:p>
        </w:tc>
      </w:tr>
      <w:tr>
        <w:tc>
          <w:tcPr/>
          <w:p>
            <w:pPr>
              <w:pStyle w:val="Compact"/>
              <w:jc w:val="left"/>
            </w:pPr>
            <w:r>
              <w:t xml:space="preserve">Đổi mới sản phẩm (%)</w:t>
            </w:r>
          </w:p>
        </w:tc>
        <w:tc>
          <w:tcPr/>
          <w:p>
            <w:pPr>
              <w:pStyle w:val="Compact"/>
              <w:jc w:val="right"/>
            </w:pPr>
            <w:r>
              <w:t xml:space="preserve">32,2</w:t>
            </w:r>
          </w:p>
        </w:tc>
        <w:tc>
          <w:tcPr/>
          <w:p>
            <w:pPr>
              <w:pStyle w:val="Compact"/>
              <w:jc w:val="right"/>
            </w:pPr>
            <w:r>
              <w:t xml:space="preserve">24,3</w:t>
            </w:r>
          </w:p>
        </w:tc>
      </w:tr>
      <w:tr>
        <w:tc>
          <w:tcPr/>
          <w:p>
            <w:pPr>
              <w:pStyle w:val="Compact"/>
              <w:jc w:val="left"/>
            </w:pPr>
            <w:r>
              <w:t xml:space="preserve">Nữ quản lý cấp cao (%)</w:t>
            </w:r>
          </w:p>
        </w:tc>
        <w:tc>
          <w:tcPr/>
          <w:p>
            <w:pPr>
              <w:pStyle w:val="Compact"/>
              <w:jc w:val="right"/>
            </w:pPr>
            <w:r>
              <w:rPr>
                <w:bCs/>
                <w:b/>
              </w:rPr>
              <w:t xml:space="preserve">7,3</w:t>
            </w:r>
          </w:p>
        </w:tc>
        <w:tc>
          <w:tcPr/>
          <w:p>
            <w:pPr>
              <w:pStyle w:val="Compact"/>
              <w:jc w:val="right"/>
            </w:pPr>
            <w:r>
              <w:t xml:space="preserve">27,5</w:t>
            </w:r>
          </w:p>
        </w:tc>
      </w:tr>
      <w:tr>
        <w:tc>
          <w:tcPr/>
          <w:p>
            <w:pPr>
              <w:pStyle w:val="Compact"/>
              <w:jc w:val="left"/>
            </w:pPr>
            <w:r>
              <w:t xml:space="preserve">Tuổi doanh nghiệp trung bình (năm)</w:t>
            </w:r>
          </w:p>
        </w:tc>
        <w:tc>
          <w:tcPr/>
          <w:p>
            <w:pPr>
              <w:pStyle w:val="Compact"/>
              <w:jc w:val="right"/>
            </w:pPr>
            <w:r>
              <w:rPr>
                <w:bCs/>
                <w:b/>
              </w:rPr>
              <w:t xml:space="preserve">50,4</w:t>
            </w:r>
          </w:p>
        </w:tc>
        <w:tc>
          <w:tcPr/>
          <w:p>
            <w:pPr>
              <w:pStyle w:val="Compact"/>
              <w:jc w:val="right"/>
            </w:pPr>
            <w:r>
              <w:t xml:space="preserve">23,0</w:t>
            </w:r>
          </w:p>
        </w:tc>
      </w:tr>
    </w:tbl>
    <w:p>
      <w:pPr>
        <w:pStyle w:val="BodyText"/>
      </w:pPr>
      <w:r>
        <w:rPr>
          <w:iCs/>
          <w:i/>
        </w:rPr>
        <w:t xml:space="preserve">Nguồn: tính trực tiếp từ</w:t>
      </w:r>
      <w:r>
        <w:rPr>
          <w:iCs/>
          <w:i/>
        </w:rPr>
        <w:t xml:space="preserve"> </w:t>
      </w:r>
      <w:r>
        <w:rPr>
          <w:rStyle w:val="VerbatimChar"/>
          <w:iCs/>
          <w:i/>
        </w:rPr>
        <w:t xml:space="preserve">Japan-2025-full-data.dta</w:t>
      </w:r>
      <w:r>
        <w:rPr>
          <w:iCs/>
          <w:i/>
        </w:rPr>
        <w:t xml:space="preserve"> </w:t>
      </w:r>
      <w:r>
        <w:rPr>
          <w:iCs/>
          <w:i/>
        </w:rPr>
        <w:t xml:space="preserve">(WBES) và pool mô tả của năm nền còn lại Nhóm I. FSTS = d3b + d3c.</w:t>
      </w:r>
    </w:p>
    <w:p>
      <w:pPr>
        <w:pStyle w:val="BodyText"/>
      </w:pPr>
      <w:r>
        <w:t xml:space="preserve">Bốn đặc trưng nổi bật định vị Nhật Bản trong khung ICRV. Thứ nhất,</w:t>
      </w:r>
      <w:r>
        <w:t xml:space="preserve"> </w:t>
      </w:r>
      <w:r>
        <w:rPr>
          <w:bCs/>
          <w:b/>
        </w:rPr>
        <w:t xml:space="preserve">phân tán năng suất hẹp nhất</w:t>
      </w:r>
      <w:r>
        <w:t xml:space="preserve">: độ lệch chuẩn ln năng suất trong đợt của Nhật (0,89) thấp hơn mức trung vị của năm nền còn lại Nhóm I (1,04), và tỷ số P90/P10 chỉ 8,3 lần so với 12,2 lần, phản ánh một nền kinh tế tiên tiến trưởng thành với sàn năng suất cao và đồng đều. Đặc điểm này củng cố trực tiếp logic</w:t>
      </w:r>
      <w:r>
        <w:t xml:space="preserve"> </w:t>
      </w:r>
      <w:r>
        <w:t xml:space="preserve">“</w:t>
      </w:r>
      <w:r>
        <w:t xml:space="preserve">bão hòa Tier-1</w:t>
      </w:r>
      <w:r>
        <w:t xml:space="preserve">”</w:t>
      </w:r>
      <w:r>
        <w:t xml:space="preserve"> </w:t>
      </w:r>
      <w:r>
        <w:t xml:space="preserve">của khung CDCM: ở nền kinh tế đồng đều và số hóa cao, dư địa để hiện diện số cơ bản tạo khác biệt năng suất là rất hẹp. Thứ hai,</w:t>
      </w:r>
      <w:r>
        <w:t xml:space="preserve"> </w:t>
      </w:r>
      <w:r>
        <w:rPr>
          <w:bCs/>
          <w:b/>
        </w:rPr>
        <w:t xml:space="preserve">số hóa trưởng thành nhất</w:t>
      </w:r>
      <w:r>
        <w:t xml:space="preserve">: tỷ lệ có website 83,8% là cao nhất trong toàn bộ pool, vượt xa mức 61,7% của năm nền còn lại Nhóm I. Thứ ba,</w:t>
      </w:r>
      <w:r>
        <w:t xml:space="preserve"> </w:t>
      </w:r>
      <w:r>
        <w:rPr>
          <w:bCs/>
          <w:b/>
        </w:rPr>
        <w:t xml:space="preserve">trường thọ doanh nghiệp</w:t>
      </w:r>
      <w:r>
        <w:t xml:space="preserve">: tuổi trung bình 50,4 năm (so với 23,0 năm của năm nền còn lại Nhóm I) phản ánh cấu trúc doanh nghiệp lâu đời đặc thù của Nhật Bản. Thứ tư,</w:t>
      </w:r>
      <w:r>
        <w:t xml:space="preserve"> </w:t>
      </w:r>
      <w:r>
        <w:rPr>
          <w:bCs/>
          <w:b/>
        </w:rPr>
        <w:t xml:space="preserve">nghịch lý đổi mới–quốc tế hóa và khoảng cách giới</w:t>
      </w:r>
      <w:r>
        <w:t xml:space="preserve">: dù cường độ R&amp;D và đổi mới cao, cường độ quốc tế hóa cấp cơ sở lại thấp (FSTS 4,1%) cùng tỷ lệ sở hữu nước ngoài rất thấp (1,9%), cho thấy hoạt động quốc tế hóa tập trung ở các tập đoàn đa quốc gia lớn chứ không phân bố đều ở mẫu cơ sở; đồng thời tỷ lệ nữ quản lý cấp cao chỉ 7,3%, thấp hơn nhiều so với mức dẫn đầu khu vực Đông Á–Thái Bình Dương, nhất quán với văn liệu về trần kính trong quản trị doanh nghiệp Nhật Bản. Các đặc trưng này được khai thác đầy đủ trong nghiên cứu thành phần P10, kiểm định chuyên sâu quan hệ I–P tại Nhật Bản: kết quả xác nhận quan hệ gần tuyến tính dương (hiệu ứng tuyến tính +0,671, p &lt; 0,001; số hạng bậc hai không ý nghĩa; điểm uốn đại số 90–108% nằm ngoài miền dữ liệu), TCI (+0,100, p &lt; 0,001) và DAI (+0,110, p = 0,028) nâng mặt bằng không uốn đường cong, cùng phần bù trường thọ doanh nghiệp (+0,073, p = 0,007), đúng như dự đoán biên trên của khung ICRV (xem thêm §4.6.2).</w:t>
      </w:r>
    </w:p>
    <w:p>
      <w:r>
        <w:pict>
          <v:rect style="width:0;height:1.5pt" o:hralign="center" o:hrstd="t" o:hr="t"/>
        </w:pict>
      </w:r>
    </w:p>
    <w:bookmarkEnd w:id="129"/>
    <w:bookmarkEnd w:id="130"/>
    <w:bookmarkStart w:id="135" w:name="Xe0084a7c2f7e752cafc4091ca0758f37f91bfa0"/>
    <w:p>
      <w:pPr>
        <w:pStyle w:val="Heading2"/>
      </w:pPr>
      <w:r>
        <w:t xml:space="preserve">4.2 Kết quả tổng hợp định lượng: Meta-analysis ba tầng (P6)</w:t>
      </w:r>
    </w:p>
    <w:bookmarkStart w:id="131" w:name="chỉ-số-hiệu-ứng-tổng-hợp"/>
    <w:p>
      <w:pPr>
        <w:pStyle w:val="Heading3"/>
      </w:pPr>
      <w:r>
        <w:t xml:space="preserve">4.2.1 Chỉ số hiệu ứng tổng hợp</w:t>
      </w:r>
    </w:p>
    <w:p>
      <w:pPr>
        <w:pStyle w:val="FirstParagraph"/>
      </w:pPr>
      <w:r>
        <w:t xml:space="preserve">Phân tích meta-analytic tổng hợp ba tầng (three-level multilevel meta-analysis, MARA) được tiến hành trên tập dữ liệu gồm</w:t>
      </w:r>
      <w:r>
        <w:t xml:space="preserve"> </w:t>
      </w:r>
      <m:oMath>
        <m:r>
          <m:t>k</m:t>
        </m:r>
        <m:r>
          <m:rPr>
            <m:sty m:val="p"/>
          </m:rPr>
          <m:t>=</m:t>
        </m:r>
        <m:r>
          <m:t>238</m:t>
        </m:r>
      </m:oMath>
      <w:r>
        <w:t xml:space="preserve"> </w:t>
      </w:r>
      <w:r>
        <w:t xml:space="preserve">nghiên cứu với tổng cộng K = 288 effect sizes đa dạng theo vùng địa lý, giai đoạn và phương pháp. Kết quả cho thấy hiệu ứng tổng hợp (pooled correlation) là</w:t>
      </w:r>
      <w:r>
        <w:t xml:space="preserve"> </w:t>
      </w:r>
      <m:oMath>
        <m:r>
          <m:t>r</m:t>
        </m:r>
        <m:r>
          <m:rPr>
            <m:sty m:val="p"/>
          </m:rPr>
          <m:t>=</m:t>
        </m:r>
        <m:r>
          <m:t>0</m:t>
        </m:r>
        <m:r>
          <m:rPr>
            <m:sty m:val="p"/>
          </m:rPr>
          <m:t>,</m:t>
        </m:r>
        <m:r>
          <m:t>074</m:t>
        </m:r>
      </m:oMath>
      <w:r>
        <w:t xml:space="preserve">, với khoảng tin cậy 95% dương và có ý nghĩa thống kê. Giá trị</w:t>
      </w:r>
      <w:r>
        <w:t xml:space="preserve"> </w:t>
      </w:r>
      <m:oMath>
        <m:r>
          <m:t>r</m:t>
        </m:r>
      </m:oMath>
      <w:r>
        <w:t xml:space="preserve"> </w:t>
      </w:r>
      <w:r>
        <w:t xml:space="preserve">này khẳng định bức tranh tổng quát từ các meta-analyses trước đây của Bausch và Krist (2007), Kirca et al. (2012), Marano et al. (2016) và Arte và Larimo (2022): mối quan hệ tổng hợp giữa quốc tế hóa và hiệu quả hoạt động là dương nhưng có biên độ khiêm tốn.</w:t>
      </w:r>
    </w:p>
    <w:p>
      <w:pPr>
        <w:pStyle w:val="BodyText"/>
      </w:pPr>
      <w:r>
        <w:t xml:space="preserve">Đặc biệt đáng lưu ý, kết quả P6 hoàn toàn nhất quán với baseline meta-analysis đã công bố tại hội nghị ICBEF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sự hội tụ này tạo ra bằng chứng chéo vững chắc khi mở rộng pool lên gần gấp đôi số nghiên cứu.</w:t>
      </w:r>
    </w:p>
    <w:bookmarkEnd w:id="131"/>
    <w:bookmarkStart w:id="132" w:name="phân-tích-dị-biệt-ba-tầng"/>
    <w:p>
      <w:pPr>
        <w:pStyle w:val="Heading3"/>
      </w:pPr>
      <w:r>
        <w:t xml:space="preserve">4.2.2 Phân tích dị biệt ba tầng</w:t>
      </w:r>
    </w:p>
    <w:p>
      <w:pPr>
        <w:pStyle w:val="FirstParagraph"/>
      </w:pPr>
      <w:r>
        <w:t xml:space="preserve">Kết quả quan trọng nhất của phân tích MARA không phải là giá trị điểm của</w:t>
      </w:r>
      <w:r>
        <w:t xml:space="preserve"> </w:t>
      </w:r>
      <m:oMath>
        <m:r>
          <m:t>r</m:t>
        </m:r>
      </m:oMath>
      <w:r>
        <w:t xml:space="preserve"> </w:t>
      </w:r>
      <w:r>
        <w:t xml:space="preserve">mà là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cho thấy mức dị biệt đáng kể trong tập hợp 238 nghiên cứu không phải do sai số lấy mẫu. Quan trọng hơn, khi phân tách theo cấu trúc ba tầng:</w:t>
      </w:r>
    </w:p>
    <w:p>
      <w:pPr>
        <w:numPr>
          <w:ilvl w:val="0"/>
          <w:numId w:val="1013"/>
        </w:numPr>
        <w:pStyle w:val="Compact"/>
      </w:pPr>
      <w:r>
        <w:rPr>
          <w:bCs/>
          <w:b/>
        </w:rPr>
        <w:t xml:space="preserve">Tầng 2</w:t>
      </w:r>
      <w:r>
        <w:t xml:space="preserve"> </w:t>
      </w:r>
      <w:r>
        <w:t xml:space="preserve">(between-effect within-study, tức dị biệt giữa các effect-size trong cùng một nghiên cứu): chiếm</w:t>
      </w:r>
      <w:r>
        <w:t xml:space="preserve"> </w:t>
      </w:r>
      <m:oMath>
        <m:r>
          <m:t>54</m:t>
        </m:r>
        <m:r>
          <m:rPr>
            <m:sty m:val="p"/>
          </m:rPr>
          <m:t>,</m:t>
        </m:r>
        <m:r>
          <m:t>1</m:t>
        </m:r>
        <m:r>
          <m:rPr>
            <m:sty m:val="p"/>
          </m:rPr>
          <m:t>%</m:t>
        </m:r>
      </m:oMath>
      <w:r>
        <w:t xml:space="preserve"> </w:t>
      </w:r>
      <w:r>
        <w:t xml:space="preserve">tổng phương sai, đây là nguồn dị biệt chủ đạo.</w:t>
      </w:r>
    </w:p>
    <w:p>
      <w:pPr>
        <w:numPr>
          <w:ilvl w:val="0"/>
          <w:numId w:val="1013"/>
        </w:numPr>
        <w:pStyle w:val="Compact"/>
      </w:pPr>
      <w:r>
        <w:rPr>
          <w:bCs/>
          <w:b/>
        </w:rPr>
        <w:t xml:space="preserve">Tầng 3</w:t>
      </w:r>
      <w:r>
        <w:t xml:space="preserve"> </w:t>
      </w:r>
      <w:r>
        <w:t xml:space="preserve">(between-study, tức dị biệt giữa các nghiên cứu): chỉ chiếm</w:t>
      </w:r>
      <w:r>
        <w:t xml:space="preserve"> </w:t>
      </w:r>
      <m:oMath>
        <m:r>
          <m:t>8</m:t>
        </m:r>
        <m:r>
          <m:rPr>
            <m:sty m:val="p"/>
          </m:rPr>
          <m:t>,</m:t>
        </m:r>
        <m:r>
          <m:t>4</m:t>
        </m:r>
        <m:r>
          <m:rPr>
            <m:sty m:val="p"/>
          </m:rPr>
          <m:t>%</m:t>
        </m:r>
      </m:oMath>
      <w:r>
        <w:t xml:space="preserve">.</w:t>
      </w:r>
    </w:p>
    <w:p>
      <w:pPr>
        <w:pStyle w:val="FirstParagraph"/>
      </w:pPr>
      <w:r>
        <w:t xml:space="preserve">Phát hiện này có hàm ý lý thuyết sâu sắc: heterogeneity trong I–P văn liệu xuất phát chủ yếu từ sự biến thiên</w:t>
      </w:r>
      <w:r>
        <w:t xml:space="preserve"> </w:t>
      </w:r>
      <w:r>
        <w:rPr>
          <w:bCs/>
          <w:b/>
        </w:rPr>
        <w:t xml:space="preserve">bên trong các nghiên cứu</w:t>
      </w:r>
      <w:r>
        <w:t xml:space="preserve"> </w:t>
      </w:r>
      <w:r>
        <w:t xml:space="preserve">(ví dụ: cùng một mẫu doanh nghiệp nhưng dùng các thước đo khác nhau cho cùng cấu trúc cho ra kết quả khác nhau), chứ không phải giữa các nghiên cứu với nhau. Điều này gợi ý rằng sự không nhất quán trong văn liệu I–P phần lớn là vấn đề</w:t>
      </w:r>
      <w:r>
        <w:t xml:space="preserve"> </w:t>
      </w:r>
      <w:r>
        <w:rPr>
          <w:bCs/>
          <w:b/>
        </w:rPr>
        <w:t xml:space="preserve">đo lường và bối cảnh</w:t>
      </w:r>
      <w:r>
        <w:t xml:space="preserve">, không phải là bằng chứng về sự thiếu nhất quán thực sự trong quan hệ nhân quả giữa quốc tế hóa và hiệu quả.</w:t>
      </w:r>
    </w:p>
    <w:bookmarkEnd w:id="132"/>
    <w:bookmarkStart w:id="133" w:name="X0fe7021f65141f72ccca43dd2595712a4bb11b5"/>
    <w:p>
      <w:pPr>
        <w:pStyle w:val="Heading3"/>
      </w:pPr>
      <w:r>
        <w:t xml:space="preserve">4.2.3 Điều tiết bởi chế độ thể chế: ICRV moderation</w:t>
      </w:r>
    </w:p>
    <w:p>
      <w:pPr>
        <w:pStyle w:val="FirstParagraph"/>
      </w:pPr>
      <w:r>
        <w:t xml:space="preserve">Kiểm định điều tiết bằng nhóm chế độ thể chế ICRV (Institutional Context Regime Variation) cho kết quả có ý nghĩa thống kê:</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Điều này xác nhận rằng chế độ thể chế, được phân loại thành sáu nhóm từ Advanced Innovation-Driven (Nhóm I: Singapore, Hong Kong, Đài Loan, Hàn Quốc) đến SIDS (Nhóm VI), là biến điều tiết có ý nghĩa thực sự cho mối quan hệ tổng hợp I–P trong văn liệu. Kiểm định</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sự khác biệt giữa các nhóm ICRV không thể giải thích bằng sai số lấy mẫu.</w:t>
      </w:r>
    </w:p>
    <w:p>
      <w:pPr>
        <w:pStyle w:val="BodyText"/>
      </w:pPr>
      <w:r>
        <w:t xml:space="preserve">Gradient theo ICRV hiện diện rõ ràng trong kết quả: các nền kinh tế Advanced Innovation-Driven có hiệu ứng I–P lớn hơn so với các nền kinh tế Frontier hay SIDS (theo phân loại 5-regime của P6). Kết quả này nhất quán với cơ chế lý thuyết từ Institutional Theory, môi trường thể chế chất lượng cao tạo điều kiện để doanh nghiệp chuyển hóa quốc tế hóa thành hiệu quả dễ dàng hơn (North, 1990; Marano et al., 2016).</w:t>
      </w:r>
      <w:r>
        <w:t xml:space="preserve"> </w:t>
      </w:r>
      <w:r>
        <w:rPr>
          <w:iCs/>
          <w:i/>
        </w:rPr>
        <w:t xml:space="preserve">(Lưu ý phân loại: P6, meta-analysis cấp nghiên cứu, dùng hệ ICRV 5-regime rút gọn [I Advanced-Innovation, II Upper-Middle, III Emerging, FR Frontier/SIDS, MX Mixed], khác với hệ 6 nhóm cấp doanh nghiệp dùng ở §4.1 và §4.6; nhóm</w:t>
      </w:r>
      <w:r>
        <w:rPr>
          <w:iCs/>
          <w:i/>
        </w:rPr>
        <w:t xml:space="preserve"> </w:t>
      </w:r>
      <w:r>
        <w:rPr>
          <w:iCs/>
          <w:i/>
        </w:rPr>
        <w:t xml:space="preserve">‘</w:t>
      </w:r>
      <w:r>
        <w:rPr>
          <w:iCs/>
          <w:i/>
        </w:rPr>
        <w:t xml:space="preserve">Frontier/SIDS</w:t>
      </w:r>
      <w:r>
        <w:rPr>
          <w:iCs/>
          <w:i/>
        </w:rPr>
        <w:t xml:space="preserve">’</w:t>
      </w:r>
      <w:r>
        <w:rPr>
          <w:iCs/>
          <w:i/>
        </w:rPr>
        <w:t xml:space="preserve"> </w:t>
      </w:r>
      <w:r>
        <w:rPr>
          <w:iCs/>
          <w:i/>
        </w:rPr>
        <w:t xml:space="preserve">của P6 là bin thể chế yếu nhất, tương ứng Nhóm V–VI trong hệ 6 nhóm. Thuật ngữ</w:t>
      </w:r>
      <w:r>
        <w:rPr>
          <w:iCs/>
          <w:i/>
        </w:rPr>
        <w:t xml:space="preserve"> </w:t>
      </w:r>
      <w:r>
        <w:rPr>
          <w:iCs/>
          <w:i/>
        </w:rPr>
        <w:t xml:space="preserve">‘</w:t>
      </w:r>
      <w:r>
        <w:rPr>
          <w:iCs/>
          <w:i/>
        </w:rPr>
        <w:t xml:space="preserve">Frontier</w:t>
      </w:r>
      <w:r>
        <w:rPr>
          <w:iCs/>
          <w:i/>
        </w:rPr>
        <w:t xml:space="preserve">’</w:t>
      </w:r>
      <w:r>
        <w:rPr>
          <w:iCs/>
          <w:i/>
        </w:rPr>
        <w:t xml:space="preserve"> </w:t>
      </w:r>
      <w:r>
        <w:rPr>
          <w:iCs/>
          <w:i/>
        </w:rPr>
        <w:t xml:space="preserve">ở §4.2 giữ theo phân loại gốc của P6.)</w:t>
      </w:r>
    </w:p>
    <w:bookmarkEnd w:id="133"/>
    <w:bookmarkStart w:id="134" w:name="kiểm-định-publication-bias"/>
    <w:p>
      <w:pPr>
        <w:pStyle w:val="Heading3"/>
      </w:pPr>
      <w:r>
        <w:t xml:space="preserve">4.2.4 Kiểm định publication bias</w:t>
      </w:r>
    </w:p>
    <w:p>
      <w:pPr>
        <w:pStyle w:val="FirstParagraph"/>
      </w:pPr>
      <w:r>
        <w:t xml:space="preserve">Phân tích publication bias gồm ba kiểm định bổ sung nhau.</w:t>
      </w:r>
      <w:r>
        <w:t xml:space="preserve"> </w:t>
      </w:r>
      <w:r>
        <w:rPr>
          <w:bCs/>
          <w:b/>
        </w:rPr>
        <w:t xml:space="preserve">Kiểm định Egger</w:t>
      </w:r>
      <w:r>
        <w:t xml:space="preserve"> </w:t>
      </w:r>
      <w:r>
        <w:t xml:space="preserve">cho kết quả</w:t>
      </w:r>
      <w:r>
        <w:t xml:space="preserve"> </w:t>
      </w:r>
      <m:oMath>
        <m:r>
          <m:t>b</m:t>
        </m:r>
        <m:r>
          <m:rPr>
            <m:sty m:val="p"/>
          </m:rPr>
          <m:t>=</m:t>
        </m:r>
        <m:r>
          <m:t>0</m:t>
        </m:r>
        <m:r>
          <m:rPr>
            <m:sty m:val="p"/>
          </m:rPr>
          <m:t>,</m:t>
        </m:r>
        <m:r>
          <m:t>475</m:t>
        </m:r>
      </m:oMath>
      <w:r>
        <w:t xml:space="preserve"> </w:t>
      </w:r>
      <w:r>
        <w:t xml:space="preserve">(</w:t>
      </w:r>
      <m:oMath>
        <m:r>
          <m:t>p</m:t>
        </m:r>
        <m:r>
          <m:rPr>
            <m:sty m:val="p"/>
          </m:rPr>
          <m:t>=</m:t>
        </m:r>
        <m:r>
          <m:rPr>
            <m:sty m:val="p"/>
          </m:rPr>
          <m:t>,</m:t>
        </m:r>
        <m:r>
          <m:t>057</m:t>
        </m:r>
      </m:oMath>
      <w:r>
        <w:t xml:space="preserve">), sát ngưỡng</w:t>
      </w:r>
      <w:r>
        <w:t xml:space="preserve"> </w:t>
      </w:r>
      <m:oMath>
        <m:r>
          <m:t>α</m:t>
        </m:r>
        <m:r>
          <m:rPr>
            <m:sty m:val="p"/>
          </m:rPr>
          <m:t>=</m:t>
        </m:r>
        <m:r>
          <m:t>0</m:t>
        </m:r>
        <m:r>
          <m:rPr>
            <m:sty m:val="p"/>
          </m:rPr>
          <m:t>,</m:t>
        </m:r>
        <m:r>
          <m:t>05</m:t>
        </m:r>
      </m:oMath>
      <w:r>
        <w:t xml:space="preserve"> </w:t>
      </w:r>
      <w:r>
        <w:t xml:space="preserve">nhưng không đạt ý nghĩa thống kê theo tiêu chuẩn thông thường.</w:t>
      </w:r>
      <w:r>
        <w:t xml:space="preserve"> </w:t>
      </w:r>
      <w:r>
        <w:rPr>
          <w:bCs/>
          <w:b/>
        </w:rPr>
        <w:t xml:space="preserve">Kiểm định Begg–Mazumdar</w:t>
      </w:r>
      <w:r>
        <w:t xml:space="preserve"> </w:t>
      </w:r>
      <w:r>
        <w:t xml:space="preserve">(Begg &amp; Mazumdar, 1994) cho kết quả</w:t>
      </w:r>
      <w:r>
        <w:t xml:space="preserve"> </w:t>
      </w:r>
      <m:oMath>
        <m:r>
          <m:t>τ</m:t>
        </m:r>
        <m:r>
          <m:rPr>
            <m:sty m:val="p"/>
          </m:rPr>
          <m:t>=</m:t>
        </m:r>
        <m:r>
          <m:rPr>
            <m:sty m:val="p"/>
          </m:rPr>
          <m:t>−</m:t>
        </m:r>
        <m:r>
          <m:t>0</m:t>
        </m:r>
        <m:r>
          <m:rPr>
            <m:sty m:val="p"/>
          </m:rPr>
          <m:t>,</m:t>
        </m:r>
        <m:r>
          <m:t>134</m:t>
        </m:r>
      </m:oMath>
      <w:r>
        <w:t xml:space="preserve"> </w:t>
      </w:r>
      <w:r>
        <w:t xml:space="preserve">(</w:t>
      </w:r>
      <m:oMath>
        <m:r>
          <m:t>p</m:t>
        </m:r>
        <m:r>
          <m:rPr>
            <m:sty m:val="p"/>
          </m:rPr>
          <m:t>=</m:t>
        </m:r>
        <m:r>
          <m:rPr>
            <m:sty m:val="p"/>
          </m:rPr>
          <m:t>,</m:t>
        </m:r>
        <m:r>
          <m:t>0007</m:t>
        </m:r>
      </m:oMath>
      <w:r>
        <w:t xml:space="preserve">), có ý nghĩa thống kê rõ ràng, cho thấy các nghiên cứu với sai số chuẩn lớn hơn (mẫu nhỏ hơn) có xu hướng báo cáo effect size thấp hơn, phù hợp với lệch lạc công bố ưu tiên kết quả dương tính.</w:t>
      </w:r>
      <w:r>
        <w:t xml:space="preserve"> </w:t>
      </w:r>
      <w:r>
        <w:rPr>
          <w:bCs/>
          <w:b/>
        </w:rPr>
        <w:t xml:space="preserve">Phân tích trim-and-fill</w:t>
      </w:r>
      <w:r>
        <w:t xml:space="preserve"> </w:t>
      </w:r>
      <w:r>
        <w:t xml:space="preserve">điều chỉnh ước lượng từ</w:t>
      </w:r>
      <w:r>
        <w:t xml:space="preserve"> </w:t>
      </w:r>
      <m:oMath>
        <m:r>
          <m:t>r</m:t>
        </m:r>
        <m:r>
          <m:rPr>
            <m:sty m:val="p"/>
          </m:rPr>
          <m:t>=</m:t>
        </m:r>
        <m:r>
          <m:t>0</m:t>
        </m:r>
        <m:r>
          <m:rPr>
            <m:sty m:val="p"/>
          </m:rPr>
          <m:t>,</m:t>
        </m:r>
        <m:r>
          <m:t>074</m:t>
        </m:r>
      </m:oMath>
      <w:r>
        <w:t xml:space="preserve"> </w:t>
      </w:r>
      <w:r>
        <w:t xml:space="preserve">xuống</w:t>
      </w:r>
      <w:r>
        <w:t xml:space="preserve"> </w:t>
      </w:r>
      <m:oMath>
        <m:r>
          <m:t>r</m:t>
        </m:r>
        <m:r>
          <m:rPr>
            <m:sty m:val="p"/>
          </m:rPr>
          <m:t>=</m:t>
        </m:r>
        <m:r>
          <m:t>0</m:t>
        </m:r>
        <m:r>
          <m:rPr>
            <m:sty m:val="p"/>
          </m:rPr>
          <m:t>,</m:t>
        </m:r>
        <m:r>
          <m:t>035</m:t>
        </m:r>
      </m:oMath>
      <w:r>
        <w:t xml:space="preserve"> </w:t>
      </w:r>
      <w:r>
        <w:t xml:space="preserve">(với</w:t>
      </w:r>
      <w:r>
        <w:t xml:space="preserve"> </w:t>
      </w:r>
      <m:oMath>
        <m:r>
          <m:t>k</m:t>
        </m:r>
        <m:r>
          <m:rPr>
            <m:sty m:val="p"/>
          </m:rPr>
          <m:t>=</m:t>
        </m:r>
        <m:r>
          <m:t>58</m:t>
        </m:r>
      </m:oMath>
      <w:r>
        <w:t xml:space="preserve"> </w:t>
      </w:r>
      <w:r>
        <w:t xml:space="preserve">nghiên cứu được imputed), mức điều chỉnh đáng kể nhưng không đổi chiều hướng tích cực của quan hệ tổng hợp.</w:t>
      </w:r>
      <w:r>
        <w:t xml:space="preserve"> </w:t>
      </w:r>
      <w:r>
        <w:rPr>
          <w:bCs/>
          <w:b/>
        </w:rPr>
        <w:t xml:space="preserve">Fail-safe</w:t>
      </w:r>
      <w:r>
        <w:rPr>
          <w:bCs/>
          <w:b/>
        </w:rPr>
        <w:t xml:space="preserve"> </w:t>
      </w:r>
      <m:oMath>
        <m:r>
          <m:t>N</m:t>
        </m:r>
      </m:oMath>
      <w:r>
        <w:rPr>
          <w:bCs/>
          <w:b/>
        </w:rPr>
        <w:t xml:space="preserve"> </w:t>
      </w:r>
      <w:r>
        <w:rPr>
          <w:bCs/>
          <w:b/>
        </w:rPr>
        <w:t xml:space="preserve">= 45.848</w:t>
      </w:r>
      <w:r>
        <w:t xml:space="preserve"> </w:t>
      </w:r>
      <w:r>
        <w:t xml:space="preserve">vượt xa ngưỡng tới hạn</w:t>
      </w:r>
      <w:r>
        <w:t xml:space="preserve"> </w:t>
      </w:r>
      <m:oMath>
        <m:r>
          <m:t>5</m:t>
        </m:r>
        <m:r>
          <m:t>k</m:t>
        </m:r>
        <m:r>
          <m:rPr>
            <m:sty m:val="p"/>
          </m:rPr>
          <m:t>+</m:t>
        </m:r>
        <m:r>
          <m:t>10</m:t>
        </m:r>
        <m:r>
          <m:rPr>
            <m:sty m:val="p"/>
          </m:rPr>
          <m:t>=</m:t>
        </m:r>
        <m:r>
          <m:t>1</m:t>
        </m:r>
        <m:r>
          <m:rPr>
            <m:sty m:val="p"/>
          </m:rPr>
          <m:t>,</m:t>
        </m:r>
        <m:r>
          <m:t>200</m:t>
        </m:r>
      </m:oMath>
      <w:r>
        <w:t xml:space="preserve">, khẳng định publication bias không thể bác bỏ hoàn toàn kết quả tổng hợp. Tổng hợp lại, bằng chứng publication bias được xác nhận qua kiểm định Begg–Mazumdar có ý nghĩa (</w:t>
      </w:r>
      <m:oMath>
        <m:r>
          <m:t>p</m:t>
        </m:r>
        <m:r>
          <m:rPr>
            <m:sty m:val="p"/>
          </m:rPr>
          <m:t>=</m:t>
        </m:r>
        <m:r>
          <m:rPr>
            <m:sty m:val="p"/>
          </m:rPr>
          <m:t>,</m:t>
        </m:r>
        <m:r>
          <m:t>0007</m:t>
        </m:r>
      </m:oMath>
      <w:r>
        <w:t xml:space="preserve">): pooled effect thực</w:t>
      </w:r>
      <w:r>
        <w:t xml:space="preserve"> </w:t>
      </w:r>
      <m:oMath>
        <m:r>
          <m:t>r</m:t>
        </m:r>
        <m:r>
          <m:rPr>
            <m:sty m:val="p"/>
          </m:rPr>
          <m:t>=</m:t>
        </m:r>
        <m:r>
          <m:t>0</m:t>
        </m:r>
        <m:r>
          <m:rPr>
            <m:sty m:val="p"/>
          </m:rPr>
          <m:t>,</m:t>
        </m:r>
        <m:r>
          <m:t>074</m:t>
        </m:r>
      </m:oMath>
      <w:r>
        <w:t xml:space="preserve"> </w:t>
      </w:r>
      <w:r>
        <w:t xml:space="preserve">có thể bị thổi phồng so với hiệu ứng dân số thực, với ước lượng bảo thủ hơn là</w:t>
      </w:r>
      <w:r>
        <w:t xml:space="preserve"> </w:t>
      </w:r>
      <m:oMath>
        <m:r>
          <m:t>r</m:t>
        </m:r>
        <m:r>
          <m:rPr>
            <m:sty m:val="p"/>
          </m:rPr>
          <m:t>=</m:t>
        </m:r>
        <m:r>
          <m:t>0</m:t>
        </m:r>
        <m:r>
          <m:rPr>
            <m:sty m:val="p"/>
          </m:rPr>
          <m:t>,</m:t>
        </m:r>
        <m:r>
          <m:t>035</m:t>
        </m:r>
      </m:oMath>
      <w:r>
        <w:t xml:space="preserve">.</w:t>
      </w:r>
    </w:p>
    <w:p>
      <w:pPr>
        <w:pStyle w:val="BodyText"/>
      </w:pPr>
      <w:r>
        <w:t xml:space="preserve">Phát hiện publication bias này có một hàm ý lý thuyết quan trọng vượt ra ngoài một cảnh báo phương pháp đơn thuần. Trong phân tách dị biệt ba tầng, phần lớn dị biệt nằm ở</w:t>
      </w:r>
      <w:r>
        <w:t xml:space="preserve"> </w:t>
      </w:r>
      <w:r>
        <w:rPr>
          <w:bCs/>
          <w:b/>
        </w:rPr>
        <w:t xml:space="preserve">tầng nội bộ nghiên cứu</w:t>
      </w:r>
      <w:r>
        <w:t xml:space="preserve"> </w:t>
      </w:r>
      <w:r>
        <w:t xml:space="preserve">(</w:t>
      </w:r>
      <m:oMath>
        <m:sSubSup>
          <m:e>
            <m:r>
              <m:t>I</m:t>
            </m:r>
          </m:e>
          <m:sub>
            <m:r>
              <m:rPr>
                <m:nor/>
                <m:sty m:val="p"/>
              </m:rPr>
              <m:t>within</m:t>
            </m:r>
          </m:sub>
          <m:sup>
            <m:r>
              <m:t>2</m:t>
            </m:r>
          </m:sup>
        </m:sSubSup>
        <m:r>
          <m:rPr>
            <m:sty m:val="p"/>
          </m:rPr>
          <m:t>=</m:t>
        </m:r>
        <m:r>
          <m:t>54</m:t>
        </m:r>
        <m:r>
          <m:rPr>
            <m:sty m:val="p"/>
          </m:rPr>
          <m:t>,</m:t>
        </m:r>
        <m:r>
          <m:t>1</m:t>
        </m:r>
        <m:r>
          <m:rPr>
            <m:sty m:val="p"/>
          </m:rPr>
          <m:t>%</m:t>
        </m:r>
      </m:oMath>
      <w:r>
        <w:t xml:space="preserve">) hơn là tầng giữa các nghiên cứu (</w:t>
      </w:r>
      <m:oMath>
        <m:sSubSup>
          <m:e>
            <m:r>
              <m:t>I</m:t>
            </m:r>
          </m:e>
          <m:sub>
            <m:r>
              <m:rPr>
                <m:nor/>
                <m:sty m:val="p"/>
              </m:rPr>
              <m:t>between</m:t>
            </m:r>
          </m:sub>
          <m:sup>
            <m:r>
              <m:t>2</m:t>
            </m:r>
          </m:sup>
        </m:sSubSup>
        <m:r>
          <m:rPr>
            <m:sty m:val="p"/>
          </m:rPr>
          <m:t>=</m:t>
        </m:r>
        <m:r>
          <m:t>8</m:t>
        </m:r>
        <m:r>
          <m:rPr>
            <m:sty m:val="p"/>
          </m:rPr>
          <m:t>,</m:t>
        </m:r>
        <m:r>
          <m:t>4</m:t>
        </m:r>
        <m:r>
          <m:rPr>
            <m:sty m:val="p"/>
          </m:rPr>
          <m:t>%</m:t>
        </m:r>
      </m:oMath>
      <w:r>
        <w:t xml:space="preserve">), nghĩa là biến thiên hệ số chủ yếu đến từ cách mỗi nghiên cứu vận hành hóa quốc tế hóa, lựa chọn thước đo hiệu quả và đặc tả biến kiểm soát, chứ không phải từ khác biệt bối cảnh quốc gia. Kết hợp với bằng chứng publication bias, cấu trúc dị biệt này gợi ý một cách diễn giải lại</w:t>
      </w:r>
      <w:r>
        <w:t xml:space="preserve"> </w:t>
      </w:r>
      <w:r>
        <w:t xml:space="preserve">“</w:t>
      </w:r>
      <w:r>
        <w:t xml:space="preserve">câu đố heterogeneity</w:t>
      </w:r>
      <w:r>
        <w:t xml:space="preserve">”</w:t>
      </w:r>
      <w:r>
        <w:t xml:space="preserve"> </w:t>
      </w:r>
      <w:r>
        <w:t xml:space="preserve">trong văn liệu I–P: phần lớn phương sai chưa giải thích được có thể phản ánh lựa chọn ở phía công bố và đặc tả mô hình nhiều hơn là các điều kiện bối cảnh thể chế hay số hóa. Phát hiện này không phủ định vai trò điều tiết của thể chế, vốn được xác nhận độc lập qua kiểm định</w:t>
      </w:r>
      <w:r>
        <w:t xml:space="preserve"> </w:t>
      </w:r>
      <m:oMath>
        <m:sSub>
          <m:e>
            <m:r>
              <m:t>Q</m:t>
            </m:r>
          </m:e>
          <m:sub>
            <m:r>
              <m:t>M</m:t>
            </m:r>
          </m:sub>
        </m:sSub>
      </m:oMath>
      <w:r>
        <w:t xml:space="preserve"> </w:t>
      </w:r>
      <w:r>
        <w:t xml:space="preserve">giữa các nhóm ICRV, nhưng nó định vị lại kỳ vọng: meta-analysis cấp tổng hợp khó nắm bắt được điều tiết thể chế vì các nghiên cứu sơ cấp hiếm khi báo cáo đủ chi tiết theo chế độ thể chế, và vì vậy bằng chứng cấp doanh nghiệp trực tiếp trên một khung phân loại thể chế nhất quán, như luận án thực hiện, là con đường hữu hiệu hơn để bóc tách heterogeneity so với việc tích lũy thêm meta-analysis trên dữ liệu thứ cấp không đồng nhất.</w:t>
      </w:r>
    </w:p>
    <w:p>
      <w:r>
        <w:pict>
          <v:rect style="width:0;height:1.5pt" o:hralign="center" o:hrstd="t" o:hr="t"/>
        </w:pict>
      </w:r>
    </w:p>
    <w:bookmarkEnd w:id="134"/>
    <w:bookmarkEnd w:id="135"/>
    <w:bookmarkStart w:id="139" w:name="Xae571c1410747d630a72c4d12985bac375822ae"/>
    <w:p>
      <w:pPr>
        <w:pStyle w:val="Heading2"/>
      </w:pPr>
      <w:r>
        <w:t xml:space="preserve">4.3 Kết quả bối cảnh thể chế tiên tiến: Đổi mới: Singapore (P4)</w:t>
      </w:r>
    </w:p>
    <w:bookmarkStart w:id="136" w:name="xác-nhận-quan-hệ-phi-tuyến-chữ-u-ngược"/>
    <w:p>
      <w:pPr>
        <w:pStyle w:val="Heading3"/>
      </w:pPr>
      <w:r>
        <w:t xml:space="preserve">4.3.1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623</m:t>
        </m:r>
      </m:oMath>
      <w:r>
        <w:t xml:space="preserve"> </w:t>
      </w:r>
      <w:r>
        <w:t xml:space="preserve">cơ sở (trong đó 84 cơ sở xuất khẩu dùng cho kiểm định mẫu phụ) cho thấy quan hệ giữa FSTS và hiệu quả gần tuyến tính dương; thành phần bậc hai chỉ gợi ý đường cong rất thoải với điểm uốn ngoài miền dữ liệu.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điểm uốn ước lượng có giá trị trung tâm</w:t>
      </w:r>
      <w:r>
        <w:t xml:space="preserve"> </w:t>
      </w:r>
      <w:r>
        <w:rPr>
          <w:bCs/>
          <w:b/>
        </w:rPr>
        <w:t xml:space="preserve">TP ≈ 88,6% FSTS</w:t>
      </w:r>
      <w:r>
        <w:t xml:space="preserve">, nhưng khoảng tin cậy bootstrap rất rộng và</w:t>
      </w:r>
      <w:r>
        <w:t xml:space="preserve"> </w:t>
      </w:r>
      <w:r>
        <w:rPr>
          <w:bCs/>
          <w:b/>
        </w:rPr>
        <w:t xml:space="preserve">vượt ngưỡng khả thi của FSTS</w:t>
      </w:r>
      <w:r>
        <w:t xml:space="preserve"> </w:t>
      </w:r>
      <w:r>
        <w:t xml:space="preserve">(CI: [53%, 253%]; trong khi FSTS theo định nghĩa không thể vượt 100%). Vì cận trên của khoảng tin cậy nằm ngoài miền giá trị khả thi, điểm uốn</w:t>
      </w:r>
      <w:r>
        <w:t xml:space="preserve"> </w:t>
      </w:r>
      <w:r>
        <w:rPr>
          <w:bCs/>
          <w:b/>
        </w:rPr>
        <w:t xml:space="preserve">không được định vị một cách tin cậy trong miền dữ liệu quan sát</w:t>
      </w:r>
      <w:r>
        <w:t xml:space="preserve">: trên thực tế, trong khoảng FSTS quan sát được (0–100%), quan hệ FSTS–hiệu quả của doanh nghiệp Singapore là</w:t>
      </w:r>
      <w:r>
        <w:t xml:space="preserve"> </w:t>
      </w:r>
      <w:r>
        <w:rPr>
          <w:bCs/>
          <w:b/>
        </w:rPr>
        <w:t xml:space="preserve">tăng gần như đơn điệu</w:t>
      </w:r>
      <w:r>
        <w:t xml:space="preserve">, và phần suy giảm bên phải của đường chữ U ngược nằm ngoài (hoặc ở rìa) miền dữ liệu nên không được kiểm chứng thực nghiệm. Do đó, kết quả Singapore nên được diễn giải thận trọng là</w:t>
      </w:r>
      <w:r>
        <w:t xml:space="preserve"> </w:t>
      </w:r>
      <w:r>
        <w:rPr>
          <w:iCs/>
          <w:i/>
        </w:rPr>
        <w:t xml:space="preserve">“</w:t>
      </w:r>
      <w:r>
        <w:rPr>
          <w:iCs/>
          <w:i/>
        </w:rPr>
        <w:t xml:space="preserve">chưa quan sát thấy ngưỡng bất lợi của quốc tế hóa trong miền dữ liệu</w:t>
      </w:r>
      <w:r>
        <w:rPr>
          <w:iCs/>
          <w:i/>
        </w:rPr>
        <w:t xml:space="preserve">”</w:t>
      </w:r>
      <w:r>
        <w:t xml:space="preserve"> </w:t>
      </w:r>
      <w:r>
        <w:t xml:space="preserve">thay vì khẳng định một điểm uốn cụ thể ở 88,6%; điều này nhất quán với kỳ vọng lý thuyết rằng ở bối cảnh thể chế mạnh (Nhóm I), dư địa quốc tế hóa có lợi là rất rộng (xem Hình 4.1).</w:t>
      </w:r>
    </w:p>
    <w:bookmarkEnd w:id="136"/>
    <w:bookmarkStart w:id="137" w:name="điều-tiết-bởi-digital-adoption-index-dai"/>
    <w:p>
      <w:pPr>
        <w:pStyle w:val="Heading3"/>
      </w:pPr>
      <w:r>
        <w:t xml:space="preserve">4.3.2 Điều tiết bởi Digital Adoption Index (DAI)</w:t>
      </w:r>
    </w:p>
    <w:p>
      <w:pPr>
        <w:pStyle w:val="FirstParagraph"/>
      </w:pPr>
      <w:r>
        <w:t xml:space="preserve">Mô hình M5 bổ sung tương tác</w:t>
      </w:r>
      <w:r>
        <w:t xml:space="preserve"> </w:t>
      </w:r>
      <m:oMath>
        <m:r>
          <m:t>F</m:t>
        </m:r>
        <m:r>
          <m:t>S</m:t>
        </m:r>
        <m:r>
          <m:t>T</m:t>
        </m:r>
        <m:r>
          <m:t>S</m:t>
        </m:r>
        <m:r>
          <m:rPr>
            <m:sty m:val="p"/>
          </m:rPr>
          <m:t>×</m:t>
        </m:r>
        <m:r>
          <m:t>D</m:t>
        </m:r>
        <m:r>
          <m:t>A</m:t>
        </m:r>
        <m:r>
          <m:t>I</m:t>
        </m:r>
      </m:oMath>
      <w:r>
        <w:t xml:space="preserve"> </w:t>
      </w:r>
      <w:r>
        <w:t xml:space="preserve">(bao gồm cả Tier-1 và Tier-2 của chỉ số DAI) cho thấy hiệu ứng khuếch đại (amplification) tại mức FSTS cao: hệ số tương tác</w:t>
      </w:r>
      <w:r>
        <w:t xml:space="preserve"> </w:t>
      </w:r>
      <m:oMath>
        <m:r>
          <m:t>F</m:t>
        </m:r>
        <m:r>
          <m:t>S</m:t>
        </m:r>
        <m:r>
          <m:t>T</m:t>
        </m:r>
        <m:sSup>
          <m:e>
            <m:r>
              <m:t>S</m:t>
            </m:r>
          </m:e>
          <m:sup>
            <m:r>
              <m:t>2</m:t>
            </m:r>
          </m:sup>
        </m:sSup>
        <m:r>
          <m:rPr>
            <m:sty m:val="p"/>
          </m:rPr>
          <m:t>×</m:t>
        </m:r>
        <m:r>
          <m:t>D</m:t>
        </m:r>
        <m:r>
          <m:t>A</m:t>
        </m:r>
        <m:r>
          <m:t>I</m:t>
        </m:r>
        <m:r>
          <m:rPr>
            <m:sty m:val="p"/>
          </m:rPr>
          <m:t>=</m:t>
        </m:r>
        <m:r>
          <m:rPr>
            <m:sty m:val="p"/>
          </m:rPr>
          <m:t>+</m:t>
        </m:r>
        <m:r>
          <m:t>3</m:t>
        </m:r>
        <m:r>
          <m:rPr>
            <m:sty m:val="p"/>
          </m:rPr>
          <m:t>,</m:t>
        </m:r>
        <m:r>
          <m:t>119</m:t>
        </m:r>
      </m:oMath>
      <w:r>
        <w:t xml:space="preserve"> </w:t>
      </w:r>
      <w:r>
        <w:t xml:space="preserve">và có ý nghĩa thống kê (</w:t>
      </w:r>
      <m:oMath>
        <m:r>
          <m:t>p</m:t>
        </m:r>
        <m:r>
          <m:rPr>
            <m:sty m:val="p"/>
          </m:rPr>
          <m:t>=</m:t>
        </m:r>
        <m:r>
          <m:rPr>
            <m:sty m:val="p"/>
          </m:rPr>
          <m:t>,</m:t>
        </m:r>
        <m:r>
          <m:t>005</m:t>
        </m:r>
      </m:oMath>
      <w:r>
        <w:t xml:space="preserve">). Cụ thể, ở mức độ quốc tế hóa cao, doanh nghiệp Singapore có năng lực chấp nhận số (digital adoption) cao hơn duy trì hiệu quả tốt hơn so với doanh nghiệp có mức DAI thấp hơn, cho thấy DAI đóng vai trò nguồn lực bổ trợ (situational resource) làm chậm đà suy giảm phía bên phải của đường phi tuyến.</w:t>
      </w:r>
    </w:p>
    <w:bookmarkEnd w:id="137"/>
    <w:bookmarkStart w:id="138" w:name="giới-hạn-suy-luận-và-cảnh-báo-thống-kê"/>
    <w:p>
      <w:pPr>
        <w:pStyle w:val="Heading3"/>
      </w:pPr>
      <w:r>
        <w:t xml:space="preserve">4.3.3 Giới hạn suy luận và cảnh báo thống kê</w:t>
      </w:r>
    </w:p>
    <w:p>
      <w:pPr>
        <w:pStyle w:val="FirstParagraph"/>
      </w:pPr>
      <w:r>
        <w:t xml:space="preserve">Cần nhấn mạnh rằng kết quả Singapore là</w:t>
      </w:r>
      <w:r>
        <w:t xml:space="preserve"> </w:t>
      </w:r>
      <w:r>
        <w:rPr>
          <w:bCs/>
          <w:b/>
        </w:rPr>
        <w:t xml:space="preserve">ranh giới suy luận</w:t>
      </w:r>
      <w:r>
        <w:t xml:space="preserve"> </w:t>
      </w:r>
      <w:r>
        <w:t xml:space="preserve">(inferential bounds) do hạn chế về quy mô mẫu:</w:t>
      </w:r>
      <w:r>
        <w:t xml:space="preserve"> </w:t>
      </w:r>
      <m:oMath>
        <m:r>
          <m:t>N</m:t>
        </m:r>
        <m:r>
          <m:rPr>
            <m:sty m:val="p"/>
          </m:rPr>
          <m:t>=</m:t>
        </m:r>
        <m:r>
          <m:t>623</m:t>
        </m:r>
      </m:oMath>
      <w:r>
        <w:t xml:space="preserve"> </w:t>
      </w:r>
      <w:r>
        <w:t xml:space="preserve">quan sát toàn mẫu và chỉ 84 cơ sở xuất khẩu cho các kiểm định mẫu phụ, dẫn đến power thống kê ước tính chỉ đạt khoảng 16%. Luận án diễn giải kết quả Singapore như</w:t>
      </w:r>
      <w:r>
        <w:t xml:space="preserve"> </w:t>
      </w:r>
      <w:r>
        <w:rPr>
          <w:iCs/>
          <w:i/>
        </w:rPr>
        <w:t xml:space="preserve">bằng chứng phù hợp nhưng chưa kết luận</w:t>
      </w:r>
      <w:r>
        <w:t xml:space="preserve"> </w:t>
      </w:r>
      <w:r>
        <w:t xml:space="preserve">(consistent but underpowered evidence), không bác bỏ giả thuyết nhưng cũng không tuyên bố xác nhận dứt khoát.</w:t>
      </w:r>
    </w:p>
    <w:p>
      <w:r>
        <w:pict>
          <v:rect style="width:0;height:1.5pt" o:hralign="center" o:hrstd="t" o:hr="t"/>
        </w:pict>
      </w:r>
    </w:p>
    <w:bookmarkEnd w:id="138"/>
    <w:bookmarkEnd w:id="139"/>
    <w:bookmarkStart w:id="143" w:name="Xabe361c2d5961cf19ce7ab2bd5d9bc6d758140a"/>
    <w:p>
      <w:pPr>
        <w:pStyle w:val="Heading2"/>
      </w:pPr>
      <w:r>
        <w:t xml:space="preserve">4.4 Kết quả bối cảnh thể chế trung bình cao: Trung Quốc, 2012–2024 (P5)</w:t>
      </w:r>
    </w:p>
    <w:bookmarkStart w:id="140" w:name="xác-nhận-quan-hệ-phi-tuyến-và-điểm-uốn"/>
    <w:p>
      <w:pPr>
        <w:pStyle w:val="Heading3"/>
      </w:pPr>
      <w:r>
        <w:t xml:space="preserve">4.4.1 Xác nhận quan hệ phi tuyến và điểm uốn</w:t>
      </w:r>
    </w:p>
    <w:p>
      <w:pPr>
        <w:pStyle w:val="FirstParagraph"/>
      </w:pPr>
      <w:r>
        <w:t xml:space="preserve">Phân tích hai giai đoạn trên dữ liệu WBES Trung Quốc (Nhóm III, Upper-middle) giai đoạn 2012–2024 xác nhận dạng quan hệ phi tuyến chữ U ngược giữa FSTS và hiệu quả hoạt động doanh nghiệp. Điểm điểm uốn được ước lượng tại:</w:t>
      </w:r>
    </w:p>
    <w:p>
      <w:pPr>
        <w:numPr>
          <w:ilvl w:val="0"/>
          <w:numId w:val="1014"/>
        </w:numPr>
        <w:pStyle w:val="Compact"/>
      </w:pPr>
      <w:r>
        <w:rPr>
          <w:bCs/>
          <w:b/>
        </w:rPr>
        <w:t xml:space="preserve">Năm 2012</w:t>
      </w:r>
      <w:r>
        <w:t xml:space="preserve">: TP = 49,37% FSTS</w:t>
      </w:r>
    </w:p>
    <w:p>
      <w:pPr>
        <w:numPr>
          <w:ilvl w:val="0"/>
          <w:numId w:val="1014"/>
        </w:numPr>
        <w:pStyle w:val="Compact"/>
      </w:pPr>
      <w:r>
        <w:rPr>
          <w:bCs/>
          <w:b/>
        </w:rPr>
        <w:t xml:space="preserve">Năm 2024</w:t>
      </w:r>
      <w:r>
        <w:t xml:space="preserve">: TP = 47,19% FSTS</w:t>
      </w:r>
    </w:p>
    <w:p>
      <w:pPr>
        <w:numPr>
          <w:ilvl w:val="0"/>
          <w:numId w:val="1014"/>
        </w:numPr>
        <w:pStyle w:val="Compact"/>
      </w:pPr>
      <w:r>
        <w:rPr>
          <w:bCs/>
          <w:b/>
        </w:rPr>
        <w:t xml:space="preserve">Pooled (toàn mẫu)</w:t>
      </w:r>
      <w:r>
        <w:t xml:space="preserve">: TP = 48,78% FSTS</w:t>
      </w:r>
    </w:p>
    <w:p>
      <w:pPr>
        <w:pStyle w:val="FirstParagraph"/>
      </w:pPr>
      <w:r>
        <w:t xml:space="preserve">Các con số này cho thấy doanh nghiệp Trung Quốc đạt hiệu quả tối ưu khi cường độ quốc tế hóa (FSTS) ở mức gần 49%, một mức độ tập trung quốc tế vừa phải trong bối cảnh nền kinh tế nội địa khổng lồ của Trung Quốc cũng cung cấp cơ hội tăng trưởng song song.</w:t>
      </w:r>
    </w:p>
    <w:bookmarkEnd w:id="140"/>
    <w:bookmarkStart w:id="141" w:name="Xe662776ac4ed20d7263c0278e37e5e670eb65fc"/>
    <w:p>
      <w:pPr>
        <w:pStyle w:val="Heading3"/>
      </w:pPr>
      <w:r>
        <w:t xml:space="preserve">4.4.2 Kiểm định tính ổn định theo thời gian: Temporal Stability</w:t>
      </w:r>
    </w:p>
    <w:p>
      <w:pPr>
        <w:pStyle w:val="FirstParagraph"/>
      </w:pPr>
      <w:r>
        <w:t xml:space="preserve">Luận án đặt câu hỏi thực nghiệm quan trọng: liệu hình dạng phi tuyến và điểm điểm uốn có thay đổi qua thập kỷ 2012–2024, giai đoạn Trung Quốc chứng kiến nhiều thay đổi chính sách thương mại, căng thẳng địa chính trị và chuyển đổi số mạnh mẽ?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(vế FSTS) và</w:t>
      </w:r>
      <w:r>
        <w:t xml:space="preserve">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w:t>
      </w:r>
      <w:r>
        <w:t xml:space="preserve">(vế FSTS²), không có ý nghĩa thống kê. Điều này xác nhận rằng</w:t>
      </w:r>
      <w:r>
        <w:t xml:space="preserve"> </w:t>
      </w:r>
      <w:r>
        <w:rPr>
          <w:bCs/>
          <w:b/>
        </w:rPr>
        <w:t xml:space="preserve">điểm điểm uốn ổn định qua thời gian</w:t>
      </w:r>
      <w:r>
        <w:t xml:space="preserve">: sự dịch chuyển từ TP = 49,37% (2012) xuống TP = 47,19% (2024) là không đáng kể về mặt thống kê.</w:t>
      </w:r>
    </w:p>
    <w:p>
      <w:pPr>
        <w:pStyle w:val="BodyText"/>
      </w:pPr>
      <w:r>
        <w:t xml:space="preserve">Kiểm định tương tác thời gian (Temporal H6):</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không có ý nghĩa thống kê, nghĩa là hình dạng tổng thể của quan hệ phi tuyến không biến đổi đáng kể qua giai đoạn phân tích. Phát hiện này cho thấy trong bối cảnh Upper-middle như Trung Quốc, cơ chế căn bản của quan hệ I–P duy trì tính ổn định đáng kể, có thể phản ánh sự bù trừ giữa chi phí thích ứng tăng lên do chính sách thương mại khó đoán và năng lực tổ chức ngày càng trưởng thành của các doanh nghiệp xuất khẩu Trung Quốc.</w:t>
      </w:r>
    </w:p>
    <w:bookmarkEnd w:id="141"/>
    <w:bookmarkStart w:id="142" w:name="vai-trò-của-tci-và-dai"/>
    <w:p>
      <w:pPr>
        <w:pStyle w:val="Heading3"/>
      </w:pPr>
      <w:r>
        <w:t xml:space="preserve">4.4.3 Vai trò của TCI và DAI</w:t>
      </w:r>
    </w:p>
    <w:p>
      <w:pPr>
        <w:pStyle w:val="FirstParagraph"/>
      </w:pPr>
      <w:r>
        <w:t xml:space="preserve">Tương tác</w:t>
      </w:r>
      <w:r>
        <w:t xml:space="preserve"> </w:t>
      </w:r>
      <m:oMath>
        <m:r>
          <m:t>F</m:t>
        </m:r>
        <m:r>
          <m:t>S</m:t>
        </m:r>
        <m:r>
          <m:t>T</m:t>
        </m:r>
        <m:r>
          <m:t>S</m:t>
        </m:r>
        <m:r>
          <m:rPr>
            <m:sty m:val="p"/>
          </m:rPr>
          <m:t>×</m:t>
        </m:r>
        <m:r>
          <m:t>T</m:t>
        </m:r>
        <m:r>
          <m:t>C</m:t>
        </m:r>
        <m:r>
          <m:t>I</m:t>
        </m:r>
      </m:oMath>
      <w:r>
        <w:t xml:space="preserve"> </w:t>
      </w:r>
      <w:r>
        <w:t xml:space="preserve">không đạt ý nghĩa thống kê (null moderation,</w:t>
      </w:r>
      <w:r>
        <w:t xml:space="preserve"> </w:t>
      </w:r>
      <m:oMath>
        <m:r>
          <m:t>p</m:t>
        </m:r>
        <m:r>
          <m:rPr>
            <m:sty m:val="p"/>
          </m:rPr>
          <m:t>&gt;</m:t>
        </m:r>
        <m:r>
          <m:rPr>
            <m:sty m:val="p"/>
          </m:rPr>
          <m:t>,</m:t>
        </m:r>
        <m:r>
          <m:t>10</m:t>
        </m:r>
      </m:oMath>
      <w:r>
        <w:t xml:space="preserve">), cho thấy Technological Capability Index không phát huy vai trò điều tiết đáng kể ở bối cảnh Trung Quốc theo mô hình P5. Tương tự, DAI cũng không cho thấy điều tiết có ý nghĩa trong bối cảnh này. Kết quả null về moderation tại Trung Quốc có thể phản ánh thực tế rằng năng lực công nghệ đã được phân phối tương đối đồng đều hơn trong mẫu doanh nghiệp xuất khẩu Trung Quốc, làm giảm phương sai đủ để phát hiện hiệu ứng điều tiết.</w:t>
      </w:r>
    </w:p>
    <w:p>
      <w:r>
        <w:pict>
          <v:rect style="width:0;height:1.5pt" o:hralign="center" o:hrstd="t" o:hr="t"/>
        </w:pict>
      </w:r>
    </w:p>
    <w:bookmarkEnd w:id="142"/>
    <w:bookmarkEnd w:id="143"/>
    <w:bookmarkStart w:id="148" w:name="Xdbd5cc67084304ba85b73781c0cb0c00b74055b"/>
    <w:p>
      <w:pPr>
        <w:pStyle w:val="Heading2"/>
      </w:pPr>
      <w:r>
        <w:t xml:space="preserve">4.5 Kết quả bối cảnh chuyển đổi bậc thấp–trung: Việt Nam (P3)</w:t>
      </w:r>
    </w:p>
    <w:bookmarkStart w:id="144" w:name="Xfa9060265c18c079d3fb45cfff0778bcd89c27e"/>
    <w:p>
      <w:pPr>
        <w:pStyle w:val="Heading3"/>
      </w:pPr>
      <w:r>
        <w:t xml:space="preserve">4.5.1 Xác nhận quan hệ phi tuyến và hệ số hồi quy</w:t>
      </w:r>
    </w:p>
    <w:p>
      <w:pPr>
        <w:pStyle w:val="FirstParagraph"/>
      </w:pPr>
      <w:r>
        <w:t xml:space="preserve">Phân tích hồi quy bảng (panel regression) trên ba làn sóng khảo sát WBES Việt Nam (2009, 2015, 2023) xác nhận dạng phi tuyến chữ U ngược. Mô hình M4, mô hình chính,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431</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553</m:t>
          </m:r>
        </m:oMath>
      </m:oMathPara>
    </w:p>
    <w:p>
      <w:pPr>
        <w:pStyle w:val="FirstParagraph"/>
      </w:pPr>
      <w:r>
        <w:t xml:space="preserve">Cả hai hệ số đều có ý nghĩa thống kê, với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bằng chứng thống kê mạnh nhất trong tất cả các mẫu quốc gia của luận án.</w:t>
      </w:r>
    </w:p>
    <w:bookmarkEnd w:id="144"/>
    <w:bookmarkStart w:id="145" w:name="điểm-điểm-uốn-theo-làn-sóng"/>
    <w:p>
      <w:pPr>
        <w:pStyle w:val="Heading3"/>
      </w:pPr>
      <w:r>
        <w:t xml:space="preserve">4.5.2 Điểm điểm uốn theo làn sóng</w:t>
      </w:r>
    </w:p>
    <w:p>
      <w:pPr>
        <w:pStyle w:val="FirstParagraph"/>
      </w:pPr>
      <w:r>
        <w:t xml:space="preserve">Điểm uốn được ước lượng riêng cho từng làn sóng và cho pooled: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Turning Point</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Pooled</w:t>
            </w:r>
          </w:p>
        </w:tc>
        <w:tc>
          <w:tcPr/>
          <w:p>
            <w:pPr>
              <w:pStyle w:val="Compact"/>
              <w:jc w:val="left"/>
            </w:pPr>
            <w:r>
              <w:t xml:space="preserve">39,7% FSTS</w:t>
            </w:r>
          </w:p>
        </w:tc>
      </w:tr>
    </w:tbl>
    <w:p>
      <w:pPr>
        <w:pStyle w:val="BodyText"/>
      </w:pPr>
      <w:r>
        <w:t xml:space="preserve">Điểm điểm uốn trong khoảng</w:t>
      </w:r>
      <w:r>
        <w:t xml:space="preserve"> </w:t>
      </w:r>
      <w:r>
        <w:rPr>
          <w:bCs/>
          <w:b/>
        </w:rPr>
        <w:t xml:space="preserve">39–46% FSTS</w:t>
      </w:r>
      <w:r>
        <w:t xml:space="preserve"> </w:t>
      </w:r>
      <w:r>
        <w:t xml:space="preserve">đặt Việt Nam ở mức</w:t>
      </w:r>
      <w:r>
        <w:t xml:space="preserve"> </w:t>
      </w:r>
      <w:r>
        <w:t xml:space="preserve">“</w:t>
      </w:r>
      <w:r>
        <w:t xml:space="preserve">thấp hơn đáng kể</w:t>
      </w:r>
      <w:r>
        <w:t xml:space="preserve">”</w:t>
      </w:r>
      <w:r>
        <w:t xml:space="preserve"> </w:t>
      </w:r>
      <w:r>
        <w:t xml:space="preserve">so với Singapore (TP ≈ 88,6%) và tương đương hoặc thấp hơn Trung Quốc (TP ≈ 48,78%). Kiểm định Paternoster so sánh điểm uốn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điểm uốn đã dịch chuyển đáng kể từ 46,2% xuống 39,3% giữa hai làn sóng.</w:t>
      </w:r>
    </w:p>
    <w:bookmarkEnd w:id="145"/>
    <w:bookmarkStart w:id="146" w:name="điều-tiết-bởi-tci-tích-cực-và-có-ý-nghĩa"/>
    <w:p>
      <w:pPr>
        <w:pStyle w:val="Heading3"/>
      </w:pPr>
      <w:r>
        <w:t xml:space="preserve">4.5.3 Điều tiết bởi TCI: Tích cực và có ý nghĩa</w:t>
      </w:r>
    </w:p>
    <w:p>
      <w:pPr>
        <w:pStyle w:val="FirstParagraph"/>
      </w:pPr>
      <w:r>
        <w:t xml:space="preserve">Mô hình M6 với tương tác</w:t>
      </w:r>
      <w:r>
        <w:t xml:space="preserve"> </w:t>
      </w:r>
      <m:oMath>
        <m:r>
          <m:t>F</m:t>
        </m:r>
        <m:r>
          <m:t>S</m:t>
        </m:r>
        <m:r>
          <m:t>T</m:t>
        </m:r>
        <m:r>
          <m:t>S</m:t>
        </m:r>
        <m:r>
          <m:rPr>
            <m:sty m:val="p"/>
          </m:rPr>
          <m:t>×</m:t>
        </m:r>
        <m:r>
          <m:t>T</m:t>
        </m:r>
        <m:r>
          <m:t>C</m:t>
        </m:r>
        <m:r>
          <m:t>I</m:t>
        </m:r>
      </m:oMath>
      <w:r>
        <w:t xml:space="preserve"> </w:t>
      </w:r>
      <w:r>
        <w:t xml:space="preserve">cho kết quả</w:t>
      </w:r>
      <w:r>
        <w:t xml:space="preserve"> </w:t>
      </w:r>
      <w:r>
        <w:rPr>
          <w:bCs/>
          <w:b/>
        </w:rPr>
        <w:t xml:space="preserve">dương và có ý nghĩa thống kê</w:t>
      </w:r>
      <w:r>
        <w:t xml:space="preserve">: TCI làm nâng cao mặt bằng hiệu quả và khuếch đại tác động tích cực của quốc tế hóa. Doanh nghiệp Việt Nam có năng lực công nghệ tốt hơn (đo bằng TCI) đạt hiệu quả cao hơn từ quá trình quốc tế hóa, nhất quán với H2 trong khung lý thuyết CDCM.</w:t>
      </w:r>
    </w:p>
    <w:bookmarkEnd w:id="146"/>
    <w:bookmarkStart w:id="147" w:name="điều-tiết-bởi-dai-không-có-ý-nghĩa"/>
    <w:p>
      <w:pPr>
        <w:pStyle w:val="Heading3"/>
      </w:pPr>
      <w:r>
        <w:t xml:space="preserve">4.5.4 Điều tiết bởi DAI: Không có ý nghĩa</w:t>
      </w:r>
    </w:p>
    <w:p>
      <w:pPr>
        <w:pStyle w:val="FirstParagraph"/>
      </w:pPr>
      <w:r>
        <w:t xml:space="preserve">Mô hình M5 với tương tác</w:t>
      </w:r>
      <w:r>
        <w:t xml:space="preserve"> </w:t>
      </w:r>
      <m:oMath>
        <m:r>
          <m:t>F</m:t>
        </m:r>
        <m:r>
          <m:t>S</m:t>
        </m:r>
        <m:r>
          <m:t>T</m:t>
        </m:r>
        <m:r>
          <m:t>S</m:t>
        </m:r>
        <m:r>
          <m:rPr>
            <m:sty m:val="p"/>
          </m:rPr>
          <m:t>×</m:t>
        </m:r>
        <m:r>
          <m:t>D</m:t>
        </m:r>
        <m:r>
          <m:t>A</m:t>
        </m:r>
        <m:r>
          <m:t>I</m:t>
        </m:r>
      </m:oMath>
      <w:r>
        <w:t xml:space="preserve"> </w:t>
      </w:r>
      <w:r>
        <w:t xml:space="preserve">(chỉ bao gồm Tier-1 DAI do giới hạn đo lường WBES trong các làn sóng này) cho kết quả yếu dương nhưng không có ý nghĩa thống kê. Kết quả này có thể phản ánh hạn chế về đo lường: Tier-1 DAI chỉ nắm bắt mức độ chấp nhận số bề mặt (website, email, online sales) chứ không đo lường được chiều sâu năng lực số. Với dữ liệu WBES Việt Nam chỉ cung cấp Tier-1, không đủ phân biệt để phát hiện hiệu ứng điều tiết tinh tế hơn.</w:t>
      </w:r>
    </w:p>
    <w:p>
      <w:r>
        <w:pict>
          <v:rect style="width:0;height:1.5pt" o:hralign="center" o:hrstd="t" o:hr="t"/>
        </w:pict>
      </w:r>
    </w:p>
    <w:bookmarkEnd w:id="147"/>
    <w:bookmarkEnd w:id="148"/>
    <w:bookmarkStart w:id="155" w:name="X561afa853383c674354c1acb167a55cae3a018f"/>
    <w:p>
      <w:pPr>
        <w:pStyle w:val="Heading2"/>
      </w:pPr>
      <w:r>
        <w:t xml:space="preserve">4.6 Kết quả kiểm định toàn mẫu đa bối cảnh châu Á (P7)</w:t>
      </w:r>
    </w:p>
    <w:bookmarkStart w:id="149" w:name="mẫu-và-mô-hình-chính"/>
    <w:p>
      <w:pPr>
        <w:pStyle w:val="Heading3"/>
      </w:pPr>
      <w:r>
        <w:t xml:space="preserve">4.6.1 Mẫu và mô hình chính</w:t>
      </w:r>
    </w:p>
    <w:p>
      <w:pPr>
        <w:pStyle w:val="FirstParagraph"/>
      </w:pPr>
      <w:r>
        <w:t xml:space="preserve">Phân tích P7 là kiểm định quy mô lớn nhất của luận án, kết hợp tất cả các bối cảnh ICRV trong khu vực châu Á và Thái Bình Dương trên khung</w:t>
      </w:r>
      <w:r>
        <w:t xml:space="preserve"> </w:t>
      </w:r>
      <w:r>
        <w:rPr>
          <w:bCs/>
          <w:b/>
        </w:rPr>
        <w:t xml:space="preserve">50 nền kinh tế</w:t>
      </w:r>
      <w:r>
        <w:t xml:space="preserve"> </w:t>
      </w:r>
      <w:r>
        <w:t xml:space="preserve">(gồm Nhật Bản, đợt khảo sát đầu tiên năm 2025), 103 cặp nền kinh tế và năm, với</w:t>
      </w:r>
      <w:r>
        <w:t xml:space="preserve"> </w:t>
      </w:r>
      <m:oMath>
        <m:r>
          <m:t>N</m:t>
        </m:r>
        <m:r>
          <m:rPr>
            <m:sty m:val="p"/>
          </m:rPr>
          <m:t>=</m:t>
        </m:r>
        <m:r>
          <m:t>81.022</m:t>
        </m:r>
      </m:oMath>
      <w:r>
        <w:rPr>
          <w:bCs/>
          <w:b/>
        </w:rPr>
        <w:t xml:space="preserve"> </w:t>
      </w:r>
      <w:r>
        <w:rPr>
          <w:bCs/>
          <w:b/>
        </w:rPr>
        <w:t xml:space="preserve">quan sát</w:t>
      </w:r>
      <w:r>
        <w:t xml:space="preserve"> </w:t>
      </w:r>
      <w:r>
        <w:t xml:space="preserve">ở đặc tả bậc hai cơ sở (M2) và</w:t>
      </w:r>
      <w:r>
        <w:t xml:space="preserve"> </w:t>
      </w:r>
      <m:oMath>
        <m:r>
          <m:t>N</m:t>
        </m:r>
        <m:r>
          <m:rPr>
            <m:sty m:val="p"/>
          </m:rPr>
          <m:t>=</m:t>
        </m:r>
        <m:r>
          <m:t>79.080</m:t>
        </m:r>
      </m:oMath>
      <w:r>
        <w:t xml:space="preserve"> </w:t>
      </w:r>
      <w:r>
        <w:t xml:space="preserve">khi bổ sung đầy đủ biến kiểm soát (M5). Biến phụ thuộc là năng suất lao động chuẩn hóa z trong từng cặp nền kinh tế và năm (trung hòa tiền tệ, winsorize 1/99 trong đợt); mọi mô hình có hiệu ứng cố định nền kinh tế và năm, sai số chuẩn cụm theo nền kinh tế. Mô hình M5, cấu hình đầy đủ với các biến kiểm soát sở hữu nước ngoài, tuổi doanh nghiệp, TCI và DAI, ước lượng điểm uốn gộp:</w:t>
      </w:r>
    </w:p>
    <w:p>
      <w:pPr>
        <w:pStyle w:val="BodyText"/>
      </w:pPr>
      <m:oMathPara>
        <m:oMathParaPr>
          <m:jc m:val="center"/>
        </m:oMathParaPr>
        <m:oMath>
          <m:r>
            <m:rPr>
              <m:nor/>
              <m:sty m:val="p"/>
            </m:rPr>
            <m:t>TP(M5)</m:t>
          </m:r>
          <m:r>
            <m:rPr>
              <m:sty m:val="p"/>
            </m:rPr>
            <m:t>=</m:t>
          </m:r>
          <m:r>
            <m:t>43</m:t>
          </m:r>
          <m:r>
            <m:rPr>
              <m:sty m:val="p"/>
            </m:rPr>
            <m:t>,</m:t>
          </m:r>
          <m:r>
            <m:t>6</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Điểm uốn dao động nhất quán trong dải</w:t>
      </w:r>
      <w:r>
        <w:t xml:space="preserve"> </w:t>
      </w:r>
      <w:r>
        <w:rPr>
          <w:bCs/>
          <w:b/>
        </w:rPr>
        <w:t xml:space="preserve">43,6–51,5%</w:t>
      </w:r>
      <w:r>
        <w:t xml:space="preserve"> </w:t>
      </w:r>
      <w:r>
        <w:t xml:space="preserve">FSTS qua các đặc tả M2 đến M10, với kiểm định Lind và Mehlum có ý nghĩa thống kê cao ở mọi cấu hình. Tính nhất quán này bác bỏ giả thuyết rằng chữ U ngược chỉ là sản phẩm phụ của mẫu nhỏ hay thiếu biến kiểm soát.</w:t>
      </w:r>
    </w:p>
    <w:p>
      <w:pPr>
        <w:pStyle w:val="BodyText"/>
      </w:pPr>
      <w:r>
        <w:t xml:space="preserve">Bảng 4.4 trình bày tiến triển các mô hình lồng nhau, từ đặc tả bậc hai cơ sở đến các mô hình điều tiết, cho thấy điểm uốn ổn định và quan hệ chữ U ngược được xác nhận qua mọi cấu hình.</w:t>
      </w:r>
    </w:p>
    <w:p>
      <w:pPr>
        <w:pStyle w:val="BodyText"/>
      </w:pPr>
      <w:r>
        <w:rPr>
          <w:bCs/>
          <w:b/>
        </w:rPr>
        <w:t xml:space="preserve">Bảng 4.4.</w:t>
      </w:r>
      <w:r>
        <w:t xml:space="preserve"> </w:t>
      </w:r>
      <w:r>
        <w:rPr>
          <w:iCs/>
          <w:i/>
        </w:rPr>
        <w:t xml:space="preserve">Tiến triển mô hình của P7 trên khung 50 nền kinh tế: điểm uốn và kiểm định Lind và Mehlum.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Mô hình</w:t>
            </w:r>
          </w:p>
        </w:tc>
        <w:tc>
          <w:tcPr/>
          <w:p>
            <w:pPr>
              <w:pStyle w:val="Compact"/>
              <w:jc w:val="right"/>
            </w:pPr>
            <w:r>
              <w:t xml:space="preserve">N</w:t>
            </w:r>
          </w:p>
        </w:tc>
        <w:tc>
          <w:tcPr/>
          <w:p>
            <w:pPr>
              <w:pStyle w:val="Compact"/>
              <w:jc w:val="left"/>
            </w:pPr>
            <w:r>
              <w:t xml:space="preserve">β₁ (p)</w:t>
            </w:r>
          </w:p>
        </w:tc>
        <w:tc>
          <w:tcPr/>
          <w:p>
            <w:pPr>
              <w:pStyle w:val="Compact"/>
              <w:jc w:val="left"/>
            </w:pPr>
            <w:r>
              <w:t xml:space="preserve">β₂ (p)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Đặc tả bổ sung</w:t>
            </w:r>
          </w:p>
        </w:tc>
      </w:tr>
      <w:tr>
        <w:tc>
          <w:tcPr/>
          <w:p>
            <w:pPr>
              <w:pStyle w:val="Compact"/>
              <w:jc w:val="left"/>
            </w:pPr>
            <w:r>
              <w:t xml:space="preserve">M2</w:t>
            </w:r>
          </w:p>
        </w:tc>
        <w:tc>
          <w:tcPr/>
          <w:p>
            <w:pPr>
              <w:pStyle w:val="Compact"/>
              <w:jc w:val="right"/>
            </w:pPr>
            <w:r>
              <w:t xml:space="preserve">81.022</w:t>
            </w:r>
          </w:p>
        </w:tc>
        <w:tc>
          <w:tcPr/>
          <w:p>
            <w:pPr>
              <w:pStyle w:val="Compact"/>
              <w:jc w:val="left"/>
            </w:pPr>
            <w:r>
              <w:t xml:space="preserve">+1,189 (&lt;,001)</w:t>
            </w:r>
          </w:p>
        </w:tc>
        <w:tc>
          <w:tcPr/>
          <w:p>
            <w:pPr>
              <w:pStyle w:val="Compact"/>
              <w:jc w:val="left"/>
            </w:pPr>
            <w:r>
              <w:t xml:space="preserve">−1,398 (&lt;,001)</w:t>
            </w:r>
          </w:p>
        </w:tc>
        <w:tc>
          <w:tcPr/>
          <w:p>
            <w:pPr>
              <w:pStyle w:val="Compact"/>
              <w:jc w:val="right"/>
            </w:pPr>
            <w:r>
              <w:t xml:space="preserve">51,5%</w:t>
            </w:r>
          </w:p>
        </w:tc>
        <w:tc>
          <w:tcPr/>
          <w:p>
            <w:pPr>
              <w:pStyle w:val="Compact"/>
              <w:jc w:val="right"/>
            </w:pPr>
            <w:r>
              <w:t xml:space="preserve">&lt;,001</w:t>
            </w:r>
          </w:p>
        </w:tc>
        <w:tc>
          <w:tcPr/>
          <w:p>
            <w:pPr>
              <w:pStyle w:val="Compact"/>
              <w:jc w:val="left"/>
            </w:pPr>
            <w:r>
              <w:t xml:space="preserve">FSTS + FSTS², FE hai chiều</w:t>
            </w:r>
          </w:p>
        </w:tc>
      </w:tr>
      <w:tr>
        <w:tc>
          <w:tcPr/>
          <w:p>
            <w:pPr>
              <w:pStyle w:val="Compact"/>
              <w:jc w:val="left"/>
            </w:pPr>
            <w:r>
              <w:rPr>
                <w:bCs/>
                <w:b/>
              </w:rPr>
              <w:t xml:space="preserve">M5</w:t>
            </w:r>
          </w:p>
        </w:tc>
        <w:tc>
          <w:tcPr/>
          <w:p>
            <w:pPr>
              <w:pStyle w:val="Compact"/>
              <w:jc w:val="right"/>
            </w:pPr>
            <w:r>
              <w:rPr>
                <w:bCs/>
                <w:b/>
              </w:rPr>
              <w:t xml:space="preserve">79.080</w:t>
            </w:r>
          </w:p>
        </w:tc>
        <w:tc>
          <w:tcPr/>
          <w:p>
            <w:pPr>
              <w:pStyle w:val="Compact"/>
              <w:jc w:val="left"/>
            </w:pPr>
            <w:r>
              <w:rPr>
                <w:bCs/>
                <w:b/>
              </w:rPr>
              <w:t xml:space="preserve">+0,500 (&lt;,001)</w:t>
            </w:r>
          </w:p>
        </w:tc>
        <w:tc>
          <w:tcPr/>
          <w:p>
            <w:pPr>
              <w:pStyle w:val="Compact"/>
              <w:jc w:val="left"/>
            </w:pPr>
            <w:r>
              <w:rPr>
                <w:bCs/>
                <w:b/>
              </w:rPr>
              <w:t xml:space="preserve">−0,721 (&lt;,001)</w:t>
            </w:r>
          </w:p>
        </w:tc>
        <w:tc>
          <w:tcPr/>
          <w:p>
            <w:pPr>
              <w:pStyle w:val="Compact"/>
              <w:jc w:val="right"/>
            </w:pPr>
            <w:r>
              <w:rPr>
                <w:bCs/>
                <w:b/>
              </w:rPr>
              <w:t xml:space="preserve">43,6%</w:t>
            </w:r>
          </w:p>
        </w:tc>
        <w:tc>
          <w:tcPr/>
          <w:p>
            <w:pPr>
              <w:pStyle w:val="Compact"/>
              <w:jc w:val="right"/>
            </w:pPr>
            <w:r>
              <w:rPr>
                <w:bCs/>
                <w:b/>
              </w:rPr>
              <w:t xml:space="preserve">&lt;,001</w:t>
            </w:r>
          </w:p>
        </w:tc>
        <w:tc>
          <w:tcPr/>
          <w:p>
            <w:pPr>
              <w:pStyle w:val="Compact"/>
              <w:jc w:val="left"/>
            </w:pPr>
            <w:r>
              <w:rPr>
                <w:bCs/>
                <w:b/>
              </w:rPr>
              <w:t xml:space="preserve">+ kiểm soát (mô hình chính)</w:t>
            </w:r>
          </w:p>
        </w:tc>
      </w:tr>
      <w:tr>
        <w:tc>
          <w:tcPr/>
          <w:p>
            <w:pPr>
              <w:pStyle w:val="Compact"/>
              <w:jc w:val="left"/>
            </w:pPr>
            <w:r>
              <w:t xml:space="preserve">M7</w:t>
            </w:r>
          </w:p>
        </w:tc>
        <w:tc>
          <w:tcPr/>
          <w:p>
            <w:pPr>
              <w:pStyle w:val="Compact"/>
              <w:jc w:val="right"/>
            </w:pPr>
            <w:r>
              <w:t xml:space="preserve">79.220</w:t>
            </w:r>
          </w:p>
        </w:tc>
        <w:tc>
          <w:tcPr/>
          <w:p>
            <w:pPr>
              <w:pStyle w:val="Compact"/>
              <w:jc w:val="left"/>
            </w:pPr>
            <w:r>
              <w:t xml:space="preserve">+0,627 (&lt;,001)</w:t>
            </w:r>
          </w:p>
        </w:tc>
        <w:tc>
          <w:tcPr/>
          <w:p>
            <w:pPr>
              <w:pStyle w:val="Compact"/>
              <w:jc w:val="left"/>
            </w:pPr>
            <w:r>
              <w:t xml:space="preserve">−0,836 (&lt;,001)</w:t>
            </w:r>
          </w:p>
        </w:tc>
        <w:tc>
          <w:tcPr/>
          <w:p>
            <w:pPr>
              <w:pStyle w:val="Compact"/>
              <w:jc w:val="right"/>
            </w:pPr>
            <w:r>
              <w:t xml:space="preserve">46,4%</w:t>
            </w:r>
          </w:p>
        </w:tc>
        <w:tc>
          <w:tcPr/>
          <w:p>
            <w:pPr>
              <w:pStyle w:val="Compact"/>
              <w:jc w:val="right"/>
            </w:pPr>
            <w:r>
              <w:t xml:space="preserve">&lt;,001</w:t>
            </w:r>
          </w:p>
        </w:tc>
        <w:tc>
          <w:tcPr/>
          <w:p>
            <w:pPr>
              <w:pStyle w:val="Compact"/>
              <w:jc w:val="left"/>
            </w:pPr>
            <w:r>
              <w:t xml:space="preserve">+ TCI và tương tác TCI</w:t>
            </w:r>
          </w:p>
        </w:tc>
      </w:tr>
      <w:tr>
        <w:tc>
          <w:tcPr/>
          <w:p>
            <w:pPr>
              <w:pStyle w:val="Compact"/>
              <w:jc w:val="left"/>
            </w:pPr>
            <w:r>
              <w:t xml:space="preserve">M8</w:t>
            </w:r>
          </w:p>
        </w:tc>
        <w:tc>
          <w:tcPr/>
          <w:p>
            <w:pPr>
              <w:pStyle w:val="Compact"/>
              <w:jc w:val="right"/>
            </w:pPr>
            <w:r>
              <w:t xml:space="preserve">79.080</w:t>
            </w:r>
          </w:p>
        </w:tc>
        <w:tc>
          <w:tcPr/>
          <w:p>
            <w:pPr>
              <w:pStyle w:val="Compact"/>
              <w:jc w:val="left"/>
            </w:pPr>
            <w:r>
              <w:t xml:space="preserve">+0,704 (&lt;,001)</w:t>
            </w:r>
          </w:p>
        </w:tc>
        <w:tc>
          <w:tcPr/>
          <w:p>
            <w:pPr>
              <w:pStyle w:val="Compact"/>
              <w:jc w:val="left"/>
            </w:pPr>
            <w:r>
              <w:t xml:space="preserve">−0,924 (&lt;,001)</w:t>
            </w:r>
          </w:p>
        </w:tc>
        <w:tc>
          <w:tcPr/>
          <w:p>
            <w:pPr>
              <w:pStyle w:val="Compact"/>
              <w:jc w:val="right"/>
            </w:pPr>
            <w:r>
              <w:t xml:space="preserve">47,1%</w:t>
            </w:r>
          </w:p>
        </w:tc>
        <w:tc>
          <w:tcPr/>
          <w:p>
            <w:pPr>
              <w:pStyle w:val="Compact"/>
              <w:jc w:val="right"/>
            </w:pPr>
            <w:r>
              <w:t xml:space="preserve">&lt;,001</w:t>
            </w:r>
          </w:p>
        </w:tc>
        <w:tc>
          <w:tcPr/>
          <w:p>
            <w:pPr>
              <w:pStyle w:val="Compact"/>
              <w:jc w:val="left"/>
            </w:pPr>
            <w:r>
              <w:t xml:space="preserve">+ DAI và tương tác DAI</w:t>
            </w:r>
          </w:p>
        </w:tc>
      </w:tr>
      <w:tr>
        <w:tc>
          <w:tcPr/>
          <w:p>
            <w:pPr>
              <w:pStyle w:val="Compact"/>
              <w:jc w:val="left"/>
            </w:pPr>
            <w:r>
              <w:t xml:space="preserve">M10</w:t>
            </w:r>
          </w:p>
        </w:tc>
        <w:tc>
          <w:tcPr/>
          <w:p>
            <w:pPr>
              <w:pStyle w:val="Compact"/>
              <w:jc w:val="right"/>
            </w:pPr>
            <w:r>
              <w:t xml:space="preserve">79.080</w:t>
            </w:r>
          </w:p>
        </w:tc>
        <w:tc>
          <w:tcPr/>
          <w:p>
            <w:pPr>
              <w:pStyle w:val="Compact"/>
              <w:jc w:val="left"/>
            </w:pPr>
            <w:r>
              <w:t xml:space="preserve">+0,615 (&lt;,001)</w:t>
            </w:r>
          </w:p>
        </w:tc>
        <w:tc>
          <w:tcPr/>
          <w:p>
            <w:pPr>
              <w:pStyle w:val="Compact"/>
              <w:jc w:val="left"/>
            </w:pPr>
            <w:r>
              <w:t xml:space="preserve">−0,833 (&lt;,001)</w:t>
            </w:r>
          </w:p>
        </w:tc>
        <w:tc>
          <w:tcPr/>
          <w:p>
            <w:pPr>
              <w:pStyle w:val="Compact"/>
              <w:jc w:val="right"/>
            </w:pPr>
            <w:r>
              <w:t xml:space="preserve">45,9%</w:t>
            </w:r>
          </w:p>
        </w:tc>
        <w:tc>
          <w:tcPr/>
          <w:p>
            <w:pPr>
              <w:pStyle w:val="Compact"/>
              <w:jc w:val="right"/>
            </w:pPr>
            <w:r>
              <w:t xml:space="preserve">&lt;,001</w:t>
            </w:r>
          </w:p>
        </w:tc>
        <w:tc>
          <w:tcPr/>
          <w:p>
            <w:pPr>
              <w:pStyle w:val="Compact"/>
              <w:jc w:val="left"/>
            </w:pPr>
            <w:r>
              <w:t xml:space="preserve">+ tương tác chế độ thể chế yếu</w:t>
            </w:r>
          </w:p>
        </w:tc>
      </w:tr>
    </w:tbl>
    <w:p>
      <w:pPr>
        <w:pStyle w:val="BodyText"/>
      </w:pPr>
      <w:r>
        <w:rPr>
          <w:iCs/>
          <w:i/>
        </w:rPr>
        <w:t xml:space="preserve">Nguồn: ước lượng của tác giả trên khung 50 nền (tái lập:</w:t>
      </w:r>
      <w:r>
        <w:rPr>
          <w:iCs/>
          <w:i/>
        </w:rPr>
        <w:t xml:space="preserve"> </w:t>
      </w:r>
      <w:r>
        <w:rPr>
          <w:rStyle w:val="VerbatimChar"/>
          <w:iCs/>
          <w:i/>
        </w:rPr>
        <w:t xml:space="preserve">scripts/p7_run_50econ.py</w:t>
      </w:r>
      <w:r>
        <w:rPr>
          <w:iCs/>
          <w:i/>
        </w:rPr>
        <w:t xml:space="preserve">). Biến kiểm soát: sở hữu nước ngoài ≥10%, ln(tuổi doanh nghiệp), TCI chuẩn hóa, DAI. Điểm uốn xác nhận bằng kiểm định Lind và Mehlum (2010), một phía. Sai số chuẩn cụm theo nền kinh tế.</w:t>
      </w:r>
    </w:p>
    <w:p>
      <w:pPr>
        <w:pStyle w:val="BodyText"/>
      </w:pPr>
      <w:r>
        <w:rPr>
          <w:bCs/>
          <w:b/>
        </w:rPr>
        <w:t xml:space="preserve">Lưu ý xác thực.</w:t>
      </w:r>
      <w:r>
        <w:t xml:space="preserve"> </w:t>
      </w:r>
      <w:r>
        <w:t xml:space="preserve">Bộ kết quả này được ước lượng bằng công cụ hồi quy hiệu ứng cố định tương đương reghdfe (pyfixest) với spec được tài liệu hóa đầy đủ và tái lập được; bộ do-file Stata tương ứng (</w:t>
      </w:r>
      <w:r>
        <w:rPr>
          <w:rStyle w:val="VerbatimChar"/>
        </w:rPr>
        <w:t xml:space="preserve">scripts/stata/</w:t>
      </w:r>
      <w:r>
        <w:t xml:space="preserve">) cho phép xác thực lại từng hệ số trên máy có Stata trước khi nộp tạp chí.</w:t>
      </w:r>
    </w:p>
    <w:bookmarkEnd w:id="149"/>
    <w:bookmarkStart w:id="153" w:name="Xdf270642fda085fbdd4dd23ef5f7d1faa056489"/>
    <w:p>
      <w:pPr>
        <w:pStyle w:val="Heading3"/>
      </w:pPr>
      <w:r>
        <w:t xml:space="preserve">4.6.2 Điểm uốn theo chế độ thể chế: tái định hình H5</w:t>
      </w:r>
    </w:p>
    <w:p>
      <w:pPr>
        <w:pStyle w:val="FirstParagraph"/>
      </w:pPr>
      <w:r>
        <w:t xml:space="preserve">Ước lượng dạng M5 trong từng nhóm ICRV cho thấy một bức tranh điều tiết thể chế</w:t>
      </w:r>
      <w:r>
        <w:t xml:space="preserve"> </w:t>
      </w:r>
      <w:r>
        <w:rPr>
          <w:bCs/>
          <w:b/>
        </w:rPr>
        <w:t xml:space="preserve">tinh tế hơn</w:t>
      </w:r>
      <w:r>
        <w:t xml:space="preserve"> </w:t>
      </w:r>
      <w:r>
        <w:t xml:space="preserve">giả thuyết ban đầu:</w:t>
      </w:r>
    </w:p>
    <w:p>
      <w:pPr>
        <w:pStyle w:val="BodyText"/>
      </w:pPr>
      <w:r>
        <w:rPr>
          <w:bCs/>
          <w:b/>
        </w:rPr>
        <w:t xml:space="preserve">Bảng 4.5.</w:t>
      </w:r>
      <w:r>
        <w:t xml:space="preserve"> </w:t>
      </w:r>
      <w:r>
        <w:rPr>
          <w:iCs/>
          <w:i/>
        </w:rPr>
        <w:t xml:space="preserve">Điểm uốn theo nhóm ICRV (khung 50 nền, dạng M5 trong từng nhóm).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left"/>
            </w:pPr>
            <w:r>
              <w:t xml:space="preserve">β₁ (p)</w:t>
            </w:r>
          </w:p>
        </w:tc>
        <w:tc>
          <w:tcPr/>
          <w:p>
            <w:pPr>
              <w:pStyle w:val="Compact"/>
              <w:jc w:val="left"/>
            </w:pPr>
            <w:r>
              <w:t xml:space="preserve">β₂ (p)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Kết luận</w:t>
            </w:r>
          </w:p>
        </w:tc>
      </w:tr>
      <w:tr>
        <w:tc>
          <w:tcPr/>
          <w:p>
            <w:pPr>
              <w:pStyle w:val="Compact"/>
              <w:jc w:val="left"/>
            </w:pPr>
            <w:r>
              <w:t xml:space="preserve">I, Adv. đổi mới (gồm Nhật Bản)</w:t>
            </w:r>
          </w:p>
        </w:tc>
        <w:tc>
          <w:tcPr/>
          <w:p>
            <w:pPr>
              <w:pStyle w:val="Compact"/>
              <w:jc w:val="right"/>
            </w:pPr>
            <w:r>
              <w:t xml:space="preserve">5.581</w:t>
            </w:r>
          </w:p>
        </w:tc>
        <w:tc>
          <w:tcPr/>
          <w:p>
            <w:pPr>
              <w:pStyle w:val="Compact"/>
              <w:jc w:val="left"/>
            </w:pPr>
            <w:r>
              <w:t xml:space="preserve">+0,698 (,17)</w:t>
            </w:r>
          </w:p>
        </w:tc>
        <w:tc>
          <w:tcPr/>
          <w:p>
            <w:pPr>
              <w:pStyle w:val="Compact"/>
              <w:jc w:val="left"/>
            </w:pPr>
            <w:r>
              <w:t xml:space="preserve">−0,504 (,31)</w:t>
            </w:r>
          </w:p>
        </w:tc>
        <w:tc>
          <w:tcPr/>
          <w:p>
            <w:pPr>
              <w:pStyle w:val="Compact"/>
              <w:jc w:val="right"/>
            </w:pPr>
            <w:r>
              <w:t xml:space="preserve">[79,1%]</w:t>
            </w:r>
          </w:p>
        </w:tc>
        <w:tc>
          <w:tcPr/>
          <w:p>
            <w:pPr>
              <w:pStyle w:val="Compact"/>
              <w:jc w:val="right"/>
            </w:pPr>
            <w:r>
              <w:t xml:space="preserve">,30</w:t>
            </w:r>
          </w:p>
        </w:tc>
        <w:tc>
          <w:tcPr/>
          <w:p>
            <w:pPr>
              <w:pStyle w:val="Compact"/>
              <w:jc w:val="left"/>
            </w:pPr>
            <w:r>
              <w:t xml:space="preserve">gần tuyến tính dương; điểm uốn ngoài miền, không định vị</w:t>
            </w:r>
          </w:p>
        </w:tc>
      </w:tr>
      <w:tr>
        <w:tc>
          <w:tcPr/>
          <w:p>
            <w:pPr>
              <w:pStyle w:val="Compact"/>
              <w:jc w:val="left"/>
            </w:pPr>
            <w:r>
              <w:t xml:space="preserve">II, Adv. tài nguyên</w:t>
            </w:r>
          </w:p>
        </w:tc>
        <w:tc>
          <w:tcPr/>
          <w:p>
            <w:pPr>
              <w:pStyle w:val="Compact"/>
              <w:jc w:val="right"/>
            </w:pPr>
            <w:r>
              <w:t xml:space="preserve">2.075</w:t>
            </w:r>
          </w:p>
        </w:tc>
        <w:tc>
          <w:tcPr/>
          <w:p>
            <w:pPr>
              <w:pStyle w:val="Compact"/>
              <w:jc w:val="left"/>
            </w:pPr>
            <w:r>
              <w:t xml:space="preserve">+0,854 (,045)</w:t>
            </w:r>
          </w:p>
        </w:tc>
        <w:tc>
          <w:tcPr/>
          <w:p>
            <w:pPr>
              <w:pStyle w:val="Compact"/>
              <w:jc w:val="left"/>
            </w:pPr>
            <w:r>
              <w:t xml:space="preserve">−0,730 (,082)</w:t>
            </w:r>
          </w:p>
        </w:tc>
        <w:tc>
          <w:tcPr/>
          <w:p>
            <w:pPr>
              <w:pStyle w:val="Compact"/>
              <w:jc w:val="right"/>
            </w:pPr>
            <w:r>
              <w:t xml:space="preserve">62,0%</w:t>
            </w:r>
          </w:p>
        </w:tc>
        <w:tc>
          <w:tcPr/>
          <w:p>
            <w:pPr>
              <w:pStyle w:val="Compact"/>
              <w:jc w:val="right"/>
            </w:pPr>
            <w:r>
              <w:t xml:space="preserve">,081</w:t>
            </w:r>
          </w:p>
        </w:tc>
        <w:tc>
          <w:tcPr/>
          <w:p>
            <w:pPr>
              <w:pStyle w:val="Compact"/>
              <w:jc w:val="left"/>
            </w:pPr>
            <w:r>
              <w:t xml:space="preserve">chữ U ngược ở biên ý nghĩa</w:t>
            </w:r>
          </w:p>
        </w:tc>
      </w:tr>
      <w:tr>
        <w:tc>
          <w:tcPr/>
          <w:p>
            <w:pPr>
              <w:pStyle w:val="Compact"/>
              <w:jc w:val="left"/>
            </w:pPr>
            <w:r>
              <w:t xml:space="preserve">III, Trung bình cao</w:t>
            </w:r>
          </w:p>
        </w:tc>
        <w:tc>
          <w:tcPr/>
          <w:p>
            <w:pPr>
              <w:pStyle w:val="Compact"/>
              <w:jc w:val="right"/>
            </w:pPr>
            <w:r>
              <w:t xml:space="preserve">12.055</w:t>
            </w:r>
          </w:p>
        </w:tc>
        <w:tc>
          <w:tcPr/>
          <w:p>
            <w:pPr>
              <w:pStyle w:val="Compact"/>
              <w:jc w:val="left"/>
            </w:pPr>
            <w:r>
              <w:t xml:space="preserve">+0,168 (,42)</w:t>
            </w:r>
          </w:p>
        </w:tc>
        <w:tc>
          <w:tcPr/>
          <w:p>
            <w:pPr>
              <w:pStyle w:val="Compact"/>
              <w:jc w:val="left"/>
            </w:pPr>
            <w:r>
              <w:t xml:space="preserve">−0,189 (,48)</w:t>
            </w:r>
          </w:p>
        </w:tc>
        <w:tc>
          <w:tcPr/>
          <w:p>
            <w:pPr>
              <w:pStyle w:val="Compact"/>
              <w:jc w:val="right"/>
            </w:pPr>
            <w:r>
              <w:t xml:space="preserve">[55,0%]</w:t>
            </w:r>
          </w:p>
        </w:tc>
        <w:tc>
          <w:tcPr/>
          <w:p>
            <w:pPr>
              <w:pStyle w:val="Compact"/>
              <w:jc w:val="right"/>
            </w:pPr>
            <w:r>
              <w:t xml:space="preserve">,26</w:t>
            </w:r>
          </w:p>
        </w:tc>
        <w:tc>
          <w:tcPr/>
          <w:p>
            <w:pPr>
              <w:pStyle w:val="Compact"/>
              <w:jc w:val="left"/>
            </w:pPr>
            <w:r>
              <w:t xml:space="preserve">không xác định ở cấp nhóm</w:t>
            </w:r>
          </w:p>
        </w:tc>
      </w:tr>
      <w:tr>
        <w:tc>
          <w:tcPr/>
          <w:p>
            <w:pPr>
              <w:pStyle w:val="Compact"/>
              <w:jc w:val="left"/>
            </w:pPr>
            <w:r>
              <w:rPr>
                <w:bCs/>
                <w:b/>
              </w:rPr>
              <w:t xml:space="preserve">IV, Chuyển đổi TB-thấp</w:t>
            </w:r>
          </w:p>
        </w:tc>
        <w:tc>
          <w:tcPr/>
          <w:p>
            <w:pPr>
              <w:pStyle w:val="Compact"/>
              <w:jc w:val="right"/>
            </w:pPr>
            <w:r>
              <w:rPr>
                <w:bCs/>
                <w:b/>
              </w:rPr>
              <w:t xml:space="preserve">42.094</w:t>
            </w:r>
          </w:p>
        </w:tc>
        <w:tc>
          <w:tcPr/>
          <w:p>
            <w:pPr>
              <w:pStyle w:val="Compact"/>
              <w:jc w:val="left"/>
            </w:pPr>
            <w:r>
              <w:rPr>
                <w:bCs/>
                <w:b/>
              </w:rPr>
              <w:t xml:space="preserve">+0,709 (&lt;,001)</w:t>
            </w:r>
          </w:p>
        </w:tc>
        <w:tc>
          <w:tcPr/>
          <w:p>
            <w:pPr>
              <w:pStyle w:val="Compact"/>
              <w:jc w:val="left"/>
            </w:pPr>
            <w:r>
              <w:rPr>
                <w:bCs/>
                <w:b/>
              </w:rPr>
              <w:t xml:space="preserve">−1,012 (&lt;,001)</w:t>
            </w:r>
          </w:p>
        </w:tc>
        <w:tc>
          <w:tcPr/>
          <w:p>
            <w:pPr>
              <w:pStyle w:val="Compact"/>
              <w:jc w:val="right"/>
            </w:pPr>
            <w:r>
              <w:rPr>
                <w:bCs/>
                <w:b/>
              </w:rPr>
              <w:t xml:space="preserve">43,0%</w:t>
            </w:r>
          </w:p>
        </w:tc>
        <w:tc>
          <w:tcPr/>
          <w:p>
            <w:pPr>
              <w:pStyle w:val="Compact"/>
              <w:jc w:val="right"/>
            </w:pPr>
            <w:r>
              <w:rPr>
                <w:bCs/>
                <w:b/>
              </w:rPr>
              <w:t xml:space="preserve">&lt;,001</w:t>
            </w:r>
          </w:p>
        </w:tc>
        <w:tc>
          <w:tcPr/>
          <w:p>
            <w:pPr>
              <w:pStyle w:val="Compact"/>
              <w:jc w:val="left"/>
            </w:pPr>
            <w:r>
              <w:rPr>
                <w:bCs/>
                <w:b/>
              </w:rPr>
              <w:t xml:space="preserve">chữ U ngược rõ nét nhất</w:t>
            </w:r>
          </w:p>
        </w:tc>
      </w:tr>
      <w:tr>
        <w:tc>
          <w:tcPr/>
          <w:p>
            <w:pPr>
              <w:pStyle w:val="Compact"/>
              <w:jc w:val="left"/>
            </w:pPr>
            <w:r>
              <w:t xml:space="preserve">V, Đang nổi</w:t>
            </w:r>
          </w:p>
        </w:tc>
        <w:tc>
          <w:tcPr/>
          <w:p>
            <w:pPr>
              <w:pStyle w:val="Compact"/>
              <w:jc w:val="right"/>
            </w:pPr>
            <w:r>
              <w:t xml:space="preserve">15.457</w:t>
            </w:r>
          </w:p>
        </w:tc>
        <w:tc>
          <w:tcPr/>
          <w:p>
            <w:pPr>
              <w:pStyle w:val="Compact"/>
              <w:jc w:val="left"/>
            </w:pPr>
            <w:r>
              <w:t xml:space="preserve">+0,218 (,44)</w:t>
            </w:r>
          </w:p>
        </w:tc>
        <w:tc>
          <w:tcPr/>
          <w:p>
            <w:pPr>
              <w:pStyle w:val="Compact"/>
              <w:jc w:val="left"/>
            </w:pPr>
            <w:r>
              <w:t xml:space="preserve">−0,455 (,21)</w:t>
            </w:r>
          </w:p>
        </w:tc>
        <w:tc>
          <w:tcPr/>
          <w:p>
            <w:pPr>
              <w:pStyle w:val="Compact"/>
              <w:jc w:val="right"/>
            </w:pPr>
            <w:r>
              <w:t xml:space="preserve">[34,8%]</w:t>
            </w:r>
          </w:p>
        </w:tc>
        <w:tc>
          <w:tcPr/>
          <w:p>
            <w:pPr>
              <w:pStyle w:val="Compact"/>
              <w:jc w:val="right"/>
            </w:pPr>
            <w:r>
              <w:t xml:space="preserve">,18</w:t>
            </w:r>
          </w:p>
        </w:tc>
        <w:tc>
          <w:tcPr/>
          <w:p>
            <w:pPr>
              <w:pStyle w:val="Compact"/>
              <w:jc w:val="left"/>
            </w:pPr>
            <w:r>
              <w:t xml:space="preserve">quan hệ tan rã</w:t>
            </w:r>
          </w:p>
        </w:tc>
      </w:tr>
      <w:tr>
        <w:tc>
          <w:tcPr/>
          <w:p>
            <w:pPr>
              <w:pStyle w:val="Compact"/>
              <w:jc w:val="left"/>
            </w:pPr>
            <w:r>
              <w:t xml:space="preserve">VI, SIDS</w:t>
            </w:r>
          </w:p>
        </w:tc>
        <w:tc>
          <w:tcPr/>
          <w:p>
            <w:pPr>
              <w:pStyle w:val="Compact"/>
              <w:jc w:val="right"/>
            </w:pPr>
            <w:r>
              <w:t xml:space="preserve">1.818</w:t>
            </w:r>
          </w:p>
        </w:tc>
        <w:tc>
          <w:tcPr/>
          <w:p>
            <w:pPr>
              <w:pStyle w:val="Compact"/>
              <w:jc w:val="left"/>
            </w:pPr>
            <w:r>
              <w:t xml:space="preserve">−0,728 (,010)</w:t>
            </w:r>
          </w:p>
        </w:tc>
        <w:tc>
          <w:tcPr/>
          <w:p>
            <w:pPr>
              <w:pStyle w:val="Compact"/>
              <w:jc w:val="left"/>
            </w:pPr>
            <w:r>
              <w:t xml:space="preserve">+0,870 (,013)</w:t>
            </w:r>
          </w:p>
        </w:tc>
        <w:tc>
          <w:tcPr/>
          <w:p>
            <w:pPr>
              <w:pStyle w:val="Compact"/>
              <w:jc w:val="right"/>
            </w:pPr>
            <w:r>
              <w:t xml:space="preserve">n/a</w:t>
            </w:r>
          </w:p>
        </w:tc>
        <w:tc>
          <w:tcPr/>
          <w:p>
            <w:pPr>
              <w:pStyle w:val="Compact"/>
              <w:jc w:val="right"/>
            </w:pPr>
            <w:r>
              <w:t xml:space="preserve">n/a</w:t>
            </w:r>
          </w:p>
        </w:tc>
        <w:tc>
          <w:tcPr/>
          <w:p>
            <w:pPr>
              <w:pStyle w:val="Compact"/>
              <w:jc w:val="left"/>
            </w:pPr>
            <w:r>
              <w:t xml:space="preserve">không có chữ U ngược</w:t>
            </w:r>
          </w:p>
        </w:tc>
      </w:tr>
    </w:tbl>
    <w:p>
      <w:pPr>
        <w:pStyle w:val="BodyText"/>
      </w:pPr>
      <w:r>
        <w:rPr>
          <w:iCs/>
          <w:i/>
        </w:rPr>
        <w:t xml:space="preserve">Ghi chú: giá trị trong ngoặc vuông là điểm uốn đại số khi đường cong không được xác nhận thống kê, chỉ mang tính tham khảo. Nguồn: như Bảng 4.4.</w:t>
      </w:r>
    </w:p>
    <w:p>
      <w:pPr>
        <w:pStyle w:val="BodyText"/>
      </w:pPr>
      <w:r>
        <w:t xml:space="preserve">Kết quả này</w:t>
      </w:r>
      <w:r>
        <w:t xml:space="preserve"> </w:t>
      </w:r>
      <w:r>
        <w:rPr>
          <w:bCs/>
          <w:b/>
        </w:rPr>
        <w:t xml:space="preserve">tái định hình H5</w:t>
      </w:r>
      <w:r>
        <w:t xml:space="preserve"> </w:t>
      </w:r>
      <w:r>
        <w:t xml:space="preserve">theo hướng giàu thông tin hơn: thể chế không chỉ dịch chuyển vị trí điểm uốn mà quyết định</w:t>
      </w:r>
      <w:r>
        <w:t xml:space="preserve"> </w:t>
      </w:r>
      <w:r>
        <w:rPr>
          <w:bCs/>
          <w:b/>
        </w:rPr>
        <w:t xml:space="preserve">chính sự tồn tại của dạng hàm chữ U ngược</w:t>
      </w:r>
      <w:r>
        <w:t xml:space="preserve">. Ba vùng được nhận diện rõ. Ở</w:t>
      </w:r>
      <w:r>
        <w:t xml:space="preserve"> </w:t>
      </w:r>
      <w:r>
        <w:rPr>
          <w:bCs/>
          <w:b/>
        </w:rPr>
        <w:t xml:space="preserve">vùng giữa của gradient thể chế</w:t>
      </w:r>
      <w:r>
        <w:t xml:space="preserve"> </w:t>
      </w:r>
      <w:r>
        <w:t xml:space="preserve">(Nhóm IV), chữ U ngược định hình rõ nét và tin cậy nhất, với điểm uốn 43,0% trùng khớp với các ước lượng đơn quốc gia độc lập trong cùng nhóm (P3 Việt Nam 39–46%; P9 Ấn Độ 2022 ở mức 40,7%). Ở</w:t>
      </w:r>
      <w:r>
        <w:t xml:space="preserve"> </w:t>
      </w:r>
      <w:r>
        <w:rPr>
          <w:bCs/>
          <w:b/>
        </w:rPr>
        <w:t xml:space="preserve">biên trên của gradient</w:t>
      </w:r>
      <w:r>
        <w:t xml:space="preserve"> </w:t>
      </w:r>
      <w:r>
        <w:t xml:space="preserve">(Nhóm I, nay gồm cả Nhật Bản), đường cong duỗi thẳng thành quan hệ gần tuyến tính dương với điểm uốn nằm ngoài miền dữ liệu và không định vị được, trùng khớp với phát hiện đơn quốc gia tại Singapore (P4: gần tuyến tính, điểm uốn ước lượng ~88,6% không định vị chắc chắn). Ở</w:t>
      </w:r>
      <w:r>
        <w:t xml:space="preserve"> </w:t>
      </w:r>
      <w:r>
        <w:rPr>
          <w:bCs/>
          <w:b/>
        </w:rPr>
        <w:t xml:space="preserve">biên dưới của gradient</w:t>
      </w:r>
      <w:r>
        <w:t xml:space="preserve"> </w:t>
      </w:r>
      <w:r>
        <w:t xml:space="preserve">(Nhóm V và VI), quan hệ mất cấu trúc: các hệ số không còn ý nghĩa thống kê ở Nhóm V và Nhóm VI không có dạng chữ U ngược, nhất quán với việc tương quan FSTS và năng suất mất ý nghĩa ở SIDS trong phân tích mô tả (Chuyên đề 1, Bảng 2.3.8.1) và với phát hiện FIP của P8.</w:t>
      </w:r>
    </w:p>
    <w:p>
      <w:pPr>
        <w:pStyle w:val="BodyText"/>
      </w:pPr>
      <w:r>
        <w:t xml:space="preserve">Tương tác chế độ thể chế yếu trong mô hình gộp củng cố cách đọc này: hệ số FSTS×(chế độ yếu) = −0,523 (</w:t>
      </w:r>
      <m:oMath>
        <m:r>
          <m:t>p</m:t>
        </m:r>
        <m:r>
          <m:rPr>
            <m:sty m:val="p"/>
          </m:rPr>
          <m:t>=</m:t>
        </m:r>
        <m:r>
          <m:rPr>
            <m:sty m:val="p"/>
          </m:rPr>
          <m:t>,</m:t>
        </m:r>
        <m:r>
          <m:t>087</m:t>
        </m:r>
      </m:oMath>
      <w:r>
        <w:t xml:space="preserve">) cho thấy độ dốc nhánh đi lên của đường cong yếu hơn rõ rệt ở các chế độ thể chế yếu, nghĩa là cùng một mức tăng cường độ xuất khẩu mang lại phần thưởng năng suất nhỏ hơn khi đệm thể chế mỏng. Kiểm định điều tiết tổng thể về ICRV của phân tích tổng hợp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P6) cung cấp nguồn xác nhận độc lập thứ hai rằng chế độ thể chế là biến điều tiết có ý nghĩa của quan hệ quốc tế hóa và hiệu quả.</w:t>
      </w:r>
    </w:p>
    <w:p>
      <w:pPr>
        <w:pStyle w:val="CaptionedFigure"/>
      </w:pPr>
      <w:r>
        <w:drawing>
          <wp:inline>
            <wp:extent cx="5753100" cy="3285070"/>
            <wp:effectExtent b="0" l="0" r="0" t="0"/>
            <wp:docPr descr="Hình 4.1. Họ đường cong I–P phụ thuộc chế độ thể chế ICRV" title="" id="151" name="Picture"/>
            <a:graphic>
              <a:graphicData uri="http://schemas.openxmlformats.org/drawingml/2006/picture">
                <pic:pic>
                  <pic:nvPicPr>
                    <pic:cNvPr descr="figures/fig_4_x_ip_curves_icrv_gradient.png" id="152" name="Picture"/>
                    <pic:cNvPicPr>
                      <a:picLocks noChangeArrowheads="1" noChangeAspect="1"/>
                    </pic:cNvPicPr>
                  </pic:nvPicPr>
                  <pic:blipFill>
                    <a:blip r:embed="rId150"/>
                    <a:stretch>
                      <a:fillRect/>
                    </a:stretch>
                  </pic:blipFill>
                  <pic:spPr bwMode="auto">
                    <a:xfrm>
                      <a:off x="0" y="0"/>
                      <a:ext cx="5753100" cy="3285070"/>
                    </a:xfrm>
                    <a:prstGeom prst="rect">
                      <a:avLst/>
                    </a:prstGeom>
                    <a:noFill/>
                    <a:ln w="9525">
                      <a:noFill/>
                      <a:headEnd/>
                      <a:tailEnd/>
                    </a:ln>
                  </pic:spPr>
                </pic:pic>
              </a:graphicData>
            </a:graphic>
          </wp:inline>
        </w:drawing>
      </w:r>
    </w:p>
    <w:p>
      <w:pPr>
        <w:pStyle w:val="ImageCaption"/>
      </w:pPr>
      <w:r>
        <w:t xml:space="preserve">Hình 4.1. Họ đường cong I–P phụ thuộc chế độ thể chế ICRV</w:t>
      </w:r>
    </w:p>
    <w:p>
      <w:pPr>
        <w:pStyle w:val="BodyText"/>
      </w:pPr>
      <w:r>
        <w:rPr>
          <w:bCs/>
          <w:b/>
        </w:rPr>
        <w:t xml:space="preserve">Hình 4.1.</w:t>
      </w:r>
      <w:r>
        <w:t xml:space="preserve"> </w:t>
      </w:r>
      <w:r>
        <w:rPr>
          <w:iCs/>
          <w:i/>
        </w:rPr>
        <w:t xml:space="preserve">Họ đường cong quốc tế hóa và hiệu quả phụ thuộc chế độ thể chế ICRV.</w:t>
      </w:r>
      <w:r>
        <w:t xml:space="preserve"> </w:t>
      </w:r>
      <w:r>
        <w:t xml:space="preserve">Chữ U ngược định hình rõ nét nhất ở vùng giữa gradient thể chế (Nhóm IV, điểm uốn 43,0%); ở biên trên (Nhóm I) đường cong duỗi thẳng gần tuyến tính dương; ở biên dưới (Nhóm V và VI) quan hệ mất cấu trúc, riêng SIDS chuyển sang quan hệ âm theo mức (FIP, H1b, theo spec mức của P8).</w:t>
      </w:r>
      <w:r>
        <w:t xml:space="preserve"> </w:t>
      </w:r>
      <w:r>
        <w:rPr>
          <w:iCs/>
          <w:i/>
        </w:rPr>
        <w:t xml:space="preserve">Nguồn: minh họa của tác giả từ kết quả ước lượng 50 nền và P4, P8.</w:t>
      </w:r>
    </w:p>
    <w:bookmarkEnd w:id="153"/>
    <w:bookmarkStart w:id="154" w:name="điều-tiết-bởi-tci-và-dai-trong-toàn-mẫu"/>
    <w:p>
      <w:pPr>
        <w:pStyle w:val="Heading3"/>
      </w:pPr>
      <w:r>
        <w:t xml:space="preserve">4.6.3 Điều tiết bởi TCI và DAI trong toàn mẫu</w:t>
      </w:r>
    </w:p>
    <w:p>
      <w:pPr>
        <w:numPr>
          <w:ilvl w:val="0"/>
          <w:numId w:val="1015"/>
        </w:numPr>
        <w:pStyle w:val="Compact"/>
      </w:pPr>
      <w:r>
        <w:rPr>
          <w:bCs/>
          <w:b/>
        </w:rPr>
        <w:t xml:space="preserve">TCI</w:t>
      </w:r>
      <w:r>
        <w:t xml:space="preserve">: hiệu ứng chính dương và có ý nghĩa cao,</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141</m:t>
        </m:r>
      </m:oMath>
      <w:r>
        <w:t xml:space="preserve"> </w:t>
      </w:r>
      <w:r>
        <w:t xml:space="preserve">(</w:t>
      </w:r>
      <m:oMath>
        <m:r>
          <m:t>p</m:t>
        </m:r>
        <m:r>
          <m:rPr>
            <m:sty m:val="p"/>
          </m:rPr>
          <m:t>&lt;</m:t>
        </m:r>
        <m:r>
          <m:rPr>
            <m:sty m:val="p"/>
          </m:rPr>
          <m:t>,</m:t>
        </m:r>
        <m:r>
          <m:t>001</m:t>
        </m:r>
      </m:oMath>
      <w:r>
        <w:t xml:space="preserve">): một độ lệch chuẩn TCI nâng năng suất chuẩn hóa thêm 0,141 độ lệch chuẩn. Các tương tác FSTS×TCI và FSTS²×TCI không có ý nghĩa thống kê, xác nhận TCI là</w:t>
      </w:r>
      <w:r>
        <w:t xml:space="preserve"> </w:t>
      </w:r>
      <w:r>
        <w:rPr>
          <w:bCs/>
          <w:b/>
        </w:rPr>
        <w:t xml:space="preserve">năng lực nâng mặt bằng</w:t>
      </w:r>
      <w:r>
        <w:t xml:space="preserve"> </w:t>
      </w:r>
      <w:r>
        <w:t xml:space="preserve">chứ không uốn hình dạng đường cong, nhất quán với kết luận từ các nghiên cứu đơn quốc gia.</w:t>
      </w:r>
    </w:p>
    <w:p>
      <w:pPr>
        <w:numPr>
          <w:ilvl w:val="0"/>
          <w:numId w:val="1015"/>
        </w:numPr>
        <w:pStyle w:val="Compact"/>
      </w:pPr>
      <w:r>
        <w:rPr>
          <w:bCs/>
          <w:b/>
        </w:rPr>
        <w:t xml:space="preserve">DAI</w:t>
      </w:r>
      <w:r>
        <w:t xml:space="preserve">: hiệu ứng chính dương và có ý nghĩa cao,</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201</m:t>
        </m:r>
      </m:oMath>
      <w:r>
        <w:t xml:space="preserve"> </w:t>
      </w:r>
      <w:r>
        <w:t xml:space="preserve">(</w:t>
      </w:r>
      <m:oMath>
        <m:r>
          <m:t>p</m:t>
        </m:r>
        <m:r>
          <m:rPr>
            <m:sty m:val="p"/>
          </m:rPr>
          <m:t>&lt;</m:t>
        </m:r>
        <m:r>
          <m:rPr>
            <m:sty m:val="p"/>
          </m:rPr>
          <m:t>,</m:t>
        </m:r>
        <m:r>
          <m:t>001</m:t>
        </m:r>
      </m:oMath>
      <w:r>
        <w:t xml:space="preserve">): doanh nghiệp có hiện diện số cơ bản đạt năng suất chuẩn hóa cao hơn 0,2 độ lệch chuẩn. Các tương tác với đường cong (FSTS×DAI = −0,271,</w:t>
      </w:r>
      <w:r>
        <w:t xml:space="preserve"> </w:t>
      </w:r>
      <m:oMath>
        <m:r>
          <m:t>p</m:t>
        </m:r>
        <m:r>
          <m:rPr>
            <m:sty m:val="p"/>
          </m:rPr>
          <m:t>=</m:t>
        </m:r>
        <m:r>
          <m:rPr>
            <m:sty m:val="p"/>
          </m:rPr>
          <m:t>,</m:t>
        </m:r>
        <m:r>
          <m:t>149</m:t>
        </m:r>
      </m:oMath>
      <w:r>
        <w:t xml:space="preserve">; FSTS²×DAI = +0,252,</w:t>
      </w:r>
      <w:r>
        <w:t xml:space="preserve"> </w:t>
      </w:r>
      <m:oMath>
        <m:r>
          <m:t>p</m:t>
        </m:r>
        <m:r>
          <m:rPr>
            <m:sty m:val="p"/>
          </m:rPr>
          <m:t>=</m:t>
        </m:r>
        <m:r>
          <m:rPr>
            <m:sty m:val="p"/>
          </m:rPr>
          <m:t>,</m:t>
        </m:r>
        <m:r>
          <m:t>367</m:t>
        </m:r>
      </m:oMath>
      <w:r>
        <w:t xml:space="preserve">) mang</w:t>
      </w:r>
      <w:r>
        <w:t xml:space="preserve"> </w:t>
      </w:r>
      <w:r>
        <w:rPr>
          <w:bCs/>
          <w:b/>
        </w:rPr>
        <w:t xml:space="preserve">cùng chiều nén đường cong</w:t>
      </w:r>
      <w:r>
        <w:t xml:space="preserve"> </w:t>
      </w:r>
      <w:r>
        <w:t xml:space="preserve">như dự đoán của khung CDCM nhưng không đạt ý nghĩa thống kê trên toàn mẫu 50 nền; bằng chứng điều tiết DAI rõ nét nhất vẫn là ở cấp bối cảnh đơn quốc gia (P4 Singapore: FSTS²×DAI = +3,119,</w:t>
      </w:r>
      <w:r>
        <w:t xml:space="preserve"> </w:t>
      </w:r>
      <m:oMath>
        <m:r>
          <m:t>p</m:t>
        </m:r>
        <m:r>
          <m:rPr>
            <m:sty m:val="p"/>
          </m:rPr>
          <m:t>=</m:t>
        </m:r>
        <m:r>
          <m:rPr>
            <m:sty m:val="p"/>
          </m:rPr>
          <m:t>,</m:t>
        </m:r>
        <m:r>
          <m:t>005</m:t>
        </m:r>
      </m:oMath>
      <w:r>
        <w:t xml:space="preserve">). H3 do đó được hỗ trợ ở hiệu ứng mức và ở bối cảnh đặc thù, chưa được xác nhận như hiệu ứng uốn đường cong phổ quát.</w:t>
      </w:r>
    </w:p>
    <w:p>
      <w:r>
        <w:pict>
          <v:rect style="width:0;height:1.5pt" o:hralign="center" o:hrstd="t" o:hr="t"/>
        </w:pict>
      </w:r>
    </w:p>
    <w:bookmarkEnd w:id="154"/>
    <w:bookmarkEnd w:id="155"/>
    <w:bookmarkStart w:id="160" w:name="X42f69945b56833cca239d45dc5864a7be6f74d7"/>
    <w:p>
      <w:pPr>
        <w:pStyle w:val="Heading2"/>
      </w:pPr>
      <w:r>
        <w:t xml:space="preserve">4.7 Kết quả trường hợp biên SIDS: Các nền kinh tế đảo nhỏ đang phát triển (P8)</w:t>
      </w:r>
    </w:p>
    <w:bookmarkStart w:id="156" w:name="đặc-điểm-mẫu-sids"/>
    <w:p>
      <w:pPr>
        <w:pStyle w:val="Heading3"/>
      </w:pPr>
      <w:r>
        <w:t xml:space="preserve">4.7.1 Đặc điểm mẫu SIDS</w:t>
      </w:r>
    </w:p>
    <w:p>
      <w:pPr>
        <w:pStyle w:val="FirstParagraph"/>
      </w:pPr>
      <w:r>
        <w:t xml:space="preserve">Phân tích P8 tập trung vào bảy quốc gia Pacific SIDS (Pacific Small Island Developing States, Nhóm VI) với tổng</w:t>
      </w:r>
      <w:r>
        <w:t xml:space="preserve"> </w:t>
      </w:r>
      <m:oMath>
        <m:r>
          <m:t>N</m:t>
        </m:r>
        <m:r>
          <m:rPr>
            <m:sty m:val="p"/>
          </m:rPr>
          <m:t>=</m:t>
        </m:r>
        <m:r>
          <m:t>959</m:t>
        </m:r>
      </m:oMath>
      <w:r>
        <w:t xml:space="preserve"> </w:t>
      </w:r>
      <w:r>
        <w:t xml:space="preserve">doanh nghiệp, trong đó chỉ</w:t>
      </w:r>
      <w:r>
        <w:t xml:space="preserve"> </w:t>
      </w:r>
      <m:oMath>
        <m:sSub>
          <m:e>
            <m:r>
              <m:t>N</m:t>
            </m:r>
          </m:e>
          <m:sub>
            <m:r>
              <m:rPr>
                <m:nor/>
                <m:sty m:val="p"/>
              </m:rPr>
              <m:t>exporters</m:t>
            </m:r>
          </m:sub>
        </m:sSub>
        <m:r>
          <m:rPr>
            <m:sty m:val="p"/>
          </m:rPr>
          <m:t>=</m:t>
        </m:r>
        <m:r>
          <m:t>132</m:t>
        </m:r>
      </m:oMath>
      <w:r>
        <w:t xml:space="preserve"> </w:t>
      </w:r>
      <w:r>
        <w:t xml:space="preserve">(chiếm 13,8% mẫu). Tỷ lệ doanh thu xuất khẩu trung bình rất thấp: mean FSTS = 0,048 (4,8%).</w:t>
      </w:r>
    </w:p>
    <w:bookmarkEnd w:id="156"/>
    <w:bookmarkStart w:id="157" w:name="X305be4308b12f06c15c4aa0bf75053d865f81d7"/>
    <w:p>
      <w:pPr>
        <w:pStyle w:val="Heading3"/>
      </w:pPr>
      <w:r>
        <w:t xml:space="preserve">4.7.2 Hiệu ứng âm đơn điệu: Forced Internationalization Penalty (FIP)</w:t>
      </w:r>
    </w:p>
    <w:p>
      <w:pPr>
        <w:pStyle w:val="FirstParagraph"/>
      </w:pPr>
      <w:r>
        <w:t xml:space="preserve">Đây là phát hiện nổi bật nhất và khác biệt nhất của luận án so với toàn bộ kết quả từ các bối cảnh ICRV khác. Mô hình M1 với country fixed effects và year fixed effects cho:</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339</m:t>
          </m:r>
          <m:r>
            <m:rPr>
              <m:sty m:val="p"/>
            </m:rPr>
            <m:t>,</m:t>
          </m:r>
          <m:r>
            <m:t> </m:t>
          </m:r>
          <m:r>
            <m:t>S</m:t>
          </m:r>
          <m:r>
            <m:t>E</m:t>
          </m:r>
          <m:r>
            <m:rPr>
              <m:sty m:val="p"/>
            </m:rPr>
            <m:t>=</m:t>
          </m:r>
          <m:r>
            <m:t>0</m:t>
          </m:r>
          <m:r>
            <m:rPr>
              <m:sty m:val="p"/>
            </m:rPr>
            <m:t>,</m:t>
          </m:r>
          <m:r>
            <m:t>386</m:t>
          </m:r>
          <m:r>
            <m:rPr>
              <m:sty m:val="p"/>
            </m:rPr>
            <m:t>,</m:t>
          </m:r>
          <m:r>
            <m:t> </m:t>
          </m:r>
          <m:r>
            <m:t>p</m:t>
          </m:r>
          <m:r>
            <m:rPr>
              <m:sty m:val="p"/>
            </m:rPr>
            <m:t>&lt;</m:t>
          </m:r>
          <m:r>
            <m:rPr>
              <m:sty m:val="p"/>
            </m:rPr>
            <m:t>,</m:t>
          </m:r>
          <m:sSup>
            <m:e>
              <m:r>
                <m:t>001</m:t>
              </m:r>
            </m:e>
            <m:sup>
              <m:r>
                <m:rPr>
                  <m:sty m:val="p"/>
                </m:rPr>
                <m:t>*</m:t>
              </m:r>
              <m:r>
                <m:rPr>
                  <m:sty m:val="p"/>
                </m:rPr>
                <m:t>*</m:t>
              </m:r>
              <m:r>
                <m:rPr>
                  <m:sty m:val="p"/>
                </m:rPr>
                <m:t>*</m:t>
              </m:r>
            </m:sup>
          </m:sSup>
        </m:oMath>
      </m:oMathPara>
    </w:p>
    <w:p>
      <w:pPr>
        <w:pStyle w:val="FirstParagraph"/>
      </w:pPr>
      <w:r>
        <w:t xml:space="preserve">Hệ số hồi quy âm và có ý nghĩa thống kê, nghĩa là tại các nền kinh tế SIDS, quốc tế hóa càng cao thì hiệu quả hoạt động doanh nghiệp càng</w:t>
      </w:r>
      <w:r>
        <w:t xml:space="preserve"> </w:t>
      </w:r>
      <w:r>
        <w:rPr>
          <w:bCs/>
          <w:b/>
        </w:rPr>
        <w:t xml:space="preserve">thấp hơn</w:t>
      </w:r>
      <w:r>
        <w:t xml:space="preserve">, quan hệ âm đơn điệu. Trong mẫu chỉ gồm doanh nghiệp xuất khẩu (exporters-only, N = 26, rất nhỏ), hệ số vẫn âm nhưng không đạt ý nghĩa thống kê (thiếu công suất):</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176</m:t>
          </m:r>
          <m:r>
            <m:rPr>
              <m:sty m:val="p"/>
            </m:rPr>
            <m:t>,</m:t>
          </m:r>
          <m:r>
            <m:t> </m:t>
          </m:r>
          <m:r>
            <m:t>p</m:t>
          </m:r>
          <m:r>
            <m:rPr>
              <m:sty m:val="p"/>
            </m:rPr>
            <m:t>=</m:t>
          </m:r>
          <m:r>
            <m:rPr>
              <m:sty m:val="p"/>
            </m:rPr>
            <m:t>,</m:t>
          </m:r>
          <m:r>
            <m:t>130</m:t>
          </m:r>
          <m:r>
            <m:t> </m:t>
          </m:r>
          <m:d>
            <m:dPr>
              <m:begChr m:val="("/>
              <m:endChr m:val=")"/>
              <m:sepChr m:val=""/>
              <m:grow/>
            </m:dPr>
            <m:e>
              <m:r>
                <m:rPr>
                  <m:nor/>
                  <m:sty m:val="p"/>
                </m:rPr>
                <m:t>NS</m:t>
              </m:r>
            </m:e>
          </m:d>
        </m:oMath>
      </m:oMathPara>
    </w:p>
    <w:p>
      <w:pPr>
        <w:pStyle w:val="FirstParagraph"/>
      </w:pPr>
      <w:r>
        <w:t xml:space="preserve">Mô hình M2 bổ sung FSTS</w:t>
      </w:r>
      <m:oMath>
        <m:sSup>
          <m:e>
            <m:r>
              <m:t>​</m:t>
            </m:r>
          </m:e>
          <m:sup>
            <m:r>
              <m:t>2</m:t>
            </m:r>
          </m:sup>
        </m:sSup>
      </m:oMath>
      <w:r>
        <w:t xml:space="preserve"> </w:t>
      </w:r>
      <w:r>
        <w:t xml:space="preserve">không cho kết quả có ý nghĩa thống kê, xác nhận quan hệ là</w:t>
      </w:r>
      <w:r>
        <w:t xml:space="preserve"> </w:t>
      </w:r>
      <w:r>
        <w:rPr>
          <w:bCs/>
          <w:b/>
        </w:rPr>
        <w:t xml:space="preserve">đơn điệu</w:t>
      </w:r>
      <w:r>
        <w:t xml:space="preserve"> </w:t>
      </w:r>
      <w:r>
        <w:t xml:space="preserve">(monotone decline), không có điểm uốn trong phạm vi dữ liệu.</w:t>
      </w:r>
    </w:p>
    <w:bookmarkEnd w:id="157"/>
    <w:bookmarkStart w:id="158" w:name="X1eacd79ea5935ba958f558c7fa8a022614fd635"/>
    <w:p>
      <w:pPr>
        <w:pStyle w:val="Heading3"/>
      </w:pPr>
      <w:r>
        <w:t xml:space="preserve">4.7.3 Giải thích cơ chế Forced Internationalization Penalty</w:t>
      </w:r>
    </w:p>
    <w:p>
      <w:pPr>
        <w:pStyle w:val="FirstParagraph"/>
      </w:pPr>
      <w:r>
        <w:t xml:space="preserve">Luận án đặt tên cho hiện tượng này là</w:t>
      </w:r>
      <w:r>
        <w:t xml:space="preserve"> </w:t>
      </w:r>
      <w:r>
        <w:rPr>
          <w:bCs/>
          <w:b/>
        </w:rPr>
        <w:t xml:space="preserve">Forced Internationalization Penalty (FIP)</w:t>
      </w:r>
      <w:r>
        <w:t xml:space="preserve">, gánh nặng quốc tế hóa bắt buộc, một construct lý thuyết mới chưa có trong văn liệu IB trước đây. Cơ chế giải thích gồm ba yếu tố cấu trúc đặc thù của SIDS: (1) thị trường nội địa quá nhỏ, buộc doanh nghiệp SIDS xuất khẩu không phải vì có lợi thế cạnh tranh mà vì nhu cầu nội địa không đủ để duy trì hoạt động; (2) chi phí hậu cần và tiếp cận thị trường cực cao do vị trí địa lý xa xôi và phân tán; và (3) thiếu hỗ trợ thể chế và năng lực xuất khẩu.</w:t>
      </w:r>
    </w:p>
    <w:p>
      <w:pPr>
        <w:pStyle w:val="BodyText"/>
      </w:pPr>
      <w:r>
        <w:t xml:space="preserve">Kết quả FIP là đóng góp lý thuyết gốc của luận án, lần đầu tiên được ghi nhận và đặt tên trong văn liệu internationalization–firm performance cho khu vực Thái Bình Dương.</w:t>
      </w:r>
    </w:p>
    <w:bookmarkEnd w:id="158"/>
    <w:bookmarkStart w:id="159" w:name="Xf5ef3b8f7f28ca1a48196484a4b190674943b22"/>
    <w:p>
      <w:pPr>
        <w:pStyle w:val="Heading3"/>
      </w:pPr>
      <w:r>
        <w:t xml:space="preserve">4.7.4 Định vị FIP trong bằng chứng vĩ mô về tổn thương của nền kinh tế nhỏ</w:t>
      </w:r>
    </w:p>
    <w:p>
      <w:pPr>
        <w:pStyle w:val="FirstParagraph"/>
      </w:pPr>
      <w:r>
        <w:t xml:space="preserve">Cơ chế FIP ở cấp doanh nghiệp ăn khớp với đặc trưng tổn thương cấu trúc của các nền kinh tế nhỏ và thị trường biên được ghi nhận ở cấp vĩ mô. Bằng chứng của Ngân hàng Thế giới cho thấy bản chất phơi nhiễm bên ngoài của các thị trường biên là bất lợi so với thị trường mới nổi: dòng vốn danh mục biến động hơn, rổ xuất khẩu tập trung hơn, và nợ chủ yếu được định danh bằng ngoại tệ với mức dự trữ thấp, tất cả làm tăng rủi ro bảng cân đối (World Bank, 2026c). Đối với các nền kinh tế quy mô siêu nhỏ như SIDS Thái Bình Dương, những bất lợi này được khuếch đại bởi chi phí logistics cực cao và sự tập trung xuất khẩu cao độ, khiến việc gia tăng cường độ xuất khẩu không đi kèm phần thưởng năng suất mà thậm chí trở thành gánh nặng. Như vậy, FIP không phải một ngoại lệ thống kê mà là biểu hiện cấp doanh nghiệp của một quy luật cấu trúc rộng hơn: ở những bối cảnh thị trường nội địa quá nhỏ và đệm thể chế quá mỏng, quốc tế hóa mang tính bắt buộc chứ không phải lựa chọn chiến lược tối ưu hóa năng suất. Phát hiện này bổ sung một viên gạch vi mô còn thiếu vào bức tranh vĩ mô của Ngân hàng Thế giới về các nền kinh tế nhỏ và dễ tổn thương.</w:t>
      </w:r>
    </w:p>
    <w:p>
      <w:r>
        <w:pict>
          <v:rect style="width:0;height:1.5pt" o:hralign="center" o:hrstd="t" o:hr="t"/>
        </w:pict>
      </w:r>
    </w:p>
    <w:bookmarkEnd w:id="159"/>
    <w:bookmarkEnd w:id="160"/>
    <w:bookmarkStart w:id="161" w:name="Xfa456a9219d3acfaa17bcbc370e76a6bac65144"/>
    <w:p>
      <w:pPr>
        <w:pStyle w:val="Heading2"/>
      </w:pPr>
      <w:r>
        <w:t xml:space="preserve">4.8 Kết quả bối cảnh biến động thể chế cực đoan: Ấn Độ, 2014–2025 (P9)</w:t>
      </w:r>
    </w:p>
    <w:p>
      <w:pPr>
        <w:pStyle w:val="FirstParagraph"/>
      </w:pPr>
      <w:r>
        <w:t xml:space="preserve">Phân tích trên ba đợt WBES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cho mẫu gộp</w:t>
      </w:r>
      <w:r>
        <w:t xml:space="preserve"> </w:t>
      </w:r>
      <m:oMath>
        <m:r>
          <m:t>N</m:t>
        </m:r>
        <m:r>
          <m:rPr>
            <m:sty m:val="p"/>
          </m:rPr>
          <m:t>=</m:t>
        </m:r>
        <m:r>
          <m:t>28.717</m:t>
        </m:r>
      </m:oMath>
      <w:r>
        <w:t xml:space="preserve">, lớn nhất trong các nghiên cứu đơn quốc gia của luận án. Khoảng thời gian 2014–2025 bao trùm một loạt cú sốc thể chế chưa từng có trong lịch sử Ấn Độ hiện đại: bãi bỏ tiền mặt tháng 11/2016, ban hành Luật Phá sản và Mất khả năng thanh toán (IBC) tháng 5/2016, áp dụng Thuế Hàng hóa và Dịch vụ (GST) tháng 7/2017, ra mắt Giao diện Thanh toán Hợp nhất (UPI) tháng 4/2016 đạt mức 12 tỷ giao dịch/tháng năm 2024, triển khai sáng kiến Sản xuất tại Ấn Độ và chương trình Liên kết Khuyến khích Sản xuất (PLI) năm 2020, cùng chính sách Tự chủ Ấn Độ (Atmanirbhar Bharat) định hướng lại chiến lược quốc gia theo hướng nội địa hóa giai đoạn 2020.</w:t>
      </w:r>
    </w:p>
    <w:p>
      <w:pPr>
        <w:pStyle w:val="BodyText"/>
      </w:pPr>
      <w:r>
        <w:t xml:space="preserve">Kết quả thực nghiệm cho thấy một dạng phá vỡ ngưỡng (threshold collapse) không quan sát được ở bất kỳ bối cảnh quốc gia nào khác trong portfolio. Đợt 2014 ghi nhận quan hệ U ngược cổ điển với hệ số bậc nhất dương (</w:t>
      </w:r>
      <m:oMath>
        <m:sSub>
          <m:e>
            <m:r>
              <m:t>β</m:t>
            </m:r>
          </m:e>
          <m:sub>
            <m:r>
              <m:t>1</m:t>
            </m:r>
          </m:sub>
        </m:sSub>
        <m:r>
          <m:rPr>
            <m:sty m:val="p"/>
          </m:rPr>
          <m:t>=</m:t>
        </m:r>
        <m:r>
          <m:rPr>
            <m:sty m:val="p"/>
          </m:rPr>
          <m:t>+</m:t>
        </m:r>
        <m:r>
          <m:t>1</m:t>
        </m:r>
        <m:r>
          <m:rPr>
            <m:sty m:val="p"/>
          </m:rPr>
          <m:t>,</m:t>
        </m:r>
        <m:r>
          <m:t>865</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508</m:t>
        </m:r>
      </m:oMath>
      <w:r>
        <w:t xml:space="preserve">,</w:t>
      </w:r>
      <w:r>
        <w:t xml:space="preserve"> </w:t>
      </w:r>
      <m:oMath>
        <m:r>
          <m:t>p</m:t>
        </m:r>
        <m:r>
          <m:rPr>
            <m:sty m:val="p"/>
          </m:rPr>
          <m:t>&lt;</m:t>
        </m:r>
        <m:r>
          <m:rPr>
            <m:sty m:val="p"/>
          </m:rPr>
          <m:t>,</m:t>
        </m:r>
        <m:r>
          <m:t>001</m:t>
        </m:r>
      </m:oMath>
      <w:r>
        <w:t xml:space="preserve">), điểm uốn ước lượng tại</w:t>
      </w:r>
      <w:r>
        <w:t xml:space="preserve"> </w:t>
      </w:r>
      <m:oMath>
        <m:r>
          <m:t>T</m:t>
        </m:r>
        <m:r>
          <m:t>P</m:t>
        </m:r>
        <m:r>
          <m:rPr>
            <m:sty m:val="p"/>
          </m:rPr>
          <m:t>=</m:t>
        </m:r>
        <m:r>
          <m:t>61</m:t>
        </m:r>
        <m:r>
          <m:rPr>
            <m:sty m:val="p"/>
          </m:rPr>
          <m:t>,</m:t>
        </m:r>
        <m:r>
          <m:t>8</m:t>
        </m:r>
        <m:r>
          <m:rPr>
            <m:sty m:val="p"/>
          </m:rPr>
          <m:t>%</m:t>
        </m:r>
      </m:oMath>
      <w:r>
        <w:t xml:space="preserve"> </w:t>
      </w:r>
      <w:r>
        <w:t xml:space="preserve">FSTS (khoảng tin cậy delta-method 95%:</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Lind–Mehlum xác nhận đường cong U ngược ở mức</w:t>
      </w:r>
      <w:r>
        <w:t xml:space="preserve"> </w:t>
      </w:r>
      <m:oMath>
        <m:r>
          <m:t>p</m:t>
        </m:r>
        <m:r>
          <m:rPr>
            <m:sty m:val="p"/>
          </m:rPr>
          <m:t>&lt;</m:t>
        </m:r>
        <m:r>
          <m:rPr>
            <m:sty m:val="p"/>
          </m:rPr>
          <m:t>,</m:t>
        </m:r>
        <m:r>
          <m:t>001</m:t>
        </m:r>
      </m:oMath>
      <w:r>
        <w:t xml:space="preserve">. Đợt 2022, sau ba cú sốc thể chế đầu tiên (bãi bỏ tiền mặt, GST, IBC), đường cong U ngược vẫn duy trì nhưng điểm uốn đã dịch chuyển đáng kể vào trong:</w:t>
      </w:r>
      <w:r>
        <w:t xml:space="preserve"> </w:t>
      </w:r>
      <m:oMath>
        <m:sSub>
          <m:e>
            <m:r>
              <m:t>β</m:t>
            </m:r>
          </m:e>
          <m:sub>
            <m:r>
              <m:t>1</m:t>
            </m:r>
          </m:sub>
        </m:sSub>
        <m:r>
          <m:rPr>
            <m:sty m:val="p"/>
          </m:rPr>
          <m:t>=</m:t>
        </m:r>
        <m:r>
          <m:rPr>
            <m:sty m:val="p"/>
          </m:rPr>
          <m:t>+</m:t>
        </m:r>
        <m:r>
          <m:t>1</m:t>
        </m:r>
        <m:r>
          <m:rPr>
            <m:sty m:val="p"/>
          </m:rPr>
          <m:t>,</m:t>
        </m:r>
        <m:r>
          <m:t>542</m:t>
        </m:r>
      </m:oMath>
      <w:r>
        <w:t xml:space="preserve">,</w:t>
      </w:r>
      <w:r>
        <w:t xml:space="preserve"> </w:t>
      </w:r>
      <m:oMath>
        <m:sSub>
          <m:e>
            <m:r>
              <m:t>β</m:t>
            </m:r>
          </m:e>
          <m:sub>
            <m:r>
              <m:t>2</m:t>
            </m:r>
          </m:sub>
        </m:sSub>
        <m:r>
          <m:rPr>
            <m:sty m:val="p"/>
          </m:rPr>
          <m:t>=</m:t>
        </m:r>
        <m:r>
          <m:rPr>
            <m:sty m:val="p"/>
          </m:rPr>
          <m:t>−</m:t>
        </m:r>
        <m:r>
          <m:t>1</m:t>
        </m:r>
        <m:r>
          <m:rPr>
            <m:sty m:val="p"/>
          </m:rPr>
          <m:t>,</m:t>
        </m:r>
        <m:r>
          <m:t>893</m:t>
        </m:r>
      </m:oMath>
      <w:r>
        <w:t xml:space="preserve">,</w:t>
      </w:r>
      <w:r>
        <w:t xml:space="preserve"> </w:t>
      </w:r>
      <m:oMath>
        <m:r>
          <m:t>T</m:t>
        </m:r>
        <m:r>
          <m:t>P</m:t>
        </m:r>
        <m:r>
          <m:rPr>
            <m:sty m:val="p"/>
          </m:rPr>
          <m:t>=</m:t>
        </m:r>
        <m:r>
          <m:t>40</m:t>
        </m:r>
        <m:r>
          <m:rPr>
            <m:sty m:val="p"/>
          </m:rPr>
          <m:t>,</m:t>
        </m:r>
        <m:r>
          <m:t>7</m:t>
        </m:r>
        <m:r>
          <m:rPr>
            <m:sty m:val="p"/>
          </m:rPr>
          <m:t>%</m:t>
        </m:r>
      </m:oMath>
      <w:r>
        <w:t xml:space="preserve"> </w:t>
      </w:r>
      <w:r>
        <w:t xml:space="preserve">(khoảng tin cậy 95%:</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Đợt 2025, hệ số bậc hai mất ý nghĩa thống kê (</w:t>
      </w:r>
      <m:oMath>
        <m:sSub>
          <m:e>
            <m:r>
              <m:t>β</m:t>
            </m:r>
          </m:e>
          <m:sub>
            <m:r>
              <m:t>2</m:t>
            </m:r>
          </m:sub>
        </m:sSub>
        <m:r>
          <m:rPr>
            <m:sty m:val="p"/>
          </m:rPr>
          <m:t>=</m:t>
        </m:r>
        <m:r>
          <m:rPr>
            <m:sty m:val="p"/>
          </m:rPr>
          <m:t>−</m:t>
        </m:r>
        <m:r>
          <m:t>0</m:t>
        </m:r>
        <m:r>
          <m:rPr>
            <m:sty m:val="p"/>
          </m:rPr>
          <m:t>,</m:t>
        </m:r>
        <m:r>
          <m:t>160</m:t>
        </m:r>
      </m:oMath>
      <w:r>
        <w:t xml:space="preserve">,</w:t>
      </w:r>
      <w:r>
        <w:t xml:space="preserve"> </w:t>
      </w:r>
      <m:oMath>
        <m:r>
          <m:t>p</m:t>
        </m:r>
        <m:r>
          <m:rPr>
            <m:sty m:val="p"/>
          </m:rPr>
          <m:t>=</m:t>
        </m:r>
        <m:r>
          <m:rPr>
            <m:sty m:val="p"/>
          </m:rPr>
          <m:t>,</m:t>
        </m:r>
        <m:r>
          <m:t>420</m:t>
        </m:r>
      </m:oMath>
      <w:r>
        <w:t xml:space="preserve">), quan hệ trở thành đơn điệu âm trên toàn dải cường độ xuất khẩu thực tế.</w:t>
      </w:r>
    </w:p>
    <w:p>
      <w:pPr>
        <w:pStyle w:val="BodyText"/>
      </w:pPr>
      <w:r>
        <w:t xml:space="preserve">Kiểm định Paternoster so sánh hệ số giữa 2014 và 2025 bác bỏ giả thuyết cân bằng với cường độ cực mạnh:</w:t>
      </w:r>
      <w:r>
        <w:t xml:space="preserve"> </w:t>
      </w:r>
      <m:oMath>
        <m:r>
          <m:t>z</m:t>
        </m:r>
        <m:d>
          <m:dPr>
            <m:begChr m:val="("/>
            <m:endChr m:val=")"/>
            <m:sepChr m:val=""/>
            <m:grow/>
          </m:dPr>
          <m:e>
            <m:r>
              <m:rPr>
                <m:nor/>
                <m:sty m:val="p"/>
              </m:rPr>
              <m:t>FSTS</m:t>
            </m:r>
          </m:e>
        </m:d>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4</m:t>
        </m:r>
        <m:r>
          <m:rPr>
            <m:sty m:val="p"/>
          </m:rPr>
          <m:t>,</m:t>
        </m:r>
        <m:r>
          <m:t>17</m:t>
        </m:r>
      </m:oMath>
      <w:r>
        <w:t xml:space="preserve">,</w:t>
      </w:r>
      <w:r>
        <w:t xml:space="preserve"> </w:t>
      </w:r>
      <m:oMath>
        <m:r>
          <m:t>p</m:t>
        </m:r>
        <m:r>
          <m:rPr>
            <m:sty m:val="p"/>
          </m:rPr>
          <m:t>&lt;</m:t>
        </m:r>
        <m:r>
          <m:rPr>
            <m:sty m:val="p"/>
          </m:rPr>
          <m:t>,</m:t>
        </m:r>
        <m:r>
          <m:t>0001</m:t>
        </m:r>
      </m:oMath>
      <w:r>
        <w:t xml:space="preserve"> </w:t>
      </w:r>
      <w:r>
        <w:t xml:space="preserve">dưới sai số chuẩn HC1; dưới sai số chuẩn cụm theo bang (cluster-robust,</w:t>
      </w:r>
      <w:r>
        <w:t xml:space="preserve"> </w:t>
      </w:r>
      <m:oMath>
        <m:r>
          <m:t>G</m:t>
        </m:r>
        <m:r>
          <m:rPr>
            <m:sty m:val="p"/>
          </m:rPr>
          <m:t>=</m:t>
        </m:r>
        <m:r>
          <m:t>24</m:t>
        </m:r>
      </m:oMath>
      <w:r>
        <w:t xml:space="preserve"> </w:t>
      </w:r>
      <w:r>
        <w:t xml:space="preserve">bang), kết quả vẫn có ý nghĩa thống kê:</w:t>
      </w:r>
      <w:r>
        <w:t xml:space="preserve"> </w:t>
      </w:r>
      <m:oMath>
        <m:r>
          <m:t>z</m:t>
        </m:r>
        <m:d>
          <m:dPr>
            <m:begChr m:val="("/>
            <m:endChr m:val=")"/>
            <m:sepChr m:val=""/>
            <m:grow/>
          </m:dPr>
          <m:e>
            <m:r>
              <m:rPr>
                <m:nor/>
                <m:sty m:val="p"/>
              </m:rPr>
              <m:t>FSTS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Đặc tả gộp ba đợt với biến giả đợt khảo sát xác nhận sự dịch chuyển có hệ thống:</w:t>
      </w:r>
      <w:r>
        <w:t xml:space="preserve"> </w:t>
      </w:r>
      <m:oMath>
        <m:r>
          <m:t>β</m:t>
        </m:r>
        <m:d>
          <m:dPr>
            <m:begChr m:val="("/>
            <m:endChr m:val=")"/>
            <m:sepChr m:val=""/>
            <m:grow/>
          </m:dPr>
          <m:e>
            <m:r>
              <m:rPr>
                <m:nor/>
                <m:sty m:val="p"/>
              </m:rPr>
              <m:t>FSTS</m:t>
            </m:r>
            <m:r>
              <m:rPr>
                <m:sty m:val="p"/>
              </m:rPr>
              <m:t>×</m:t>
            </m:r>
            <m:r>
              <m:rPr>
                <m:nor/>
                <m:sty m:val="p"/>
              </m:rPr>
              <m:t>wave</m:t>
            </m:r>
            <m:r>
              <m:rPr>
                <m:sty m:val="p"/>
              </m:rPr>
              <m:t>_</m:t>
            </m:r>
            <m:r>
              <m:t>2025</m:t>
            </m:r>
          </m:e>
        </m:d>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cho thấy độ dốc đường cong I-P đã thay đổi căn bản giữa 2014 và 2025.</w:t>
      </w:r>
    </w:p>
    <w:p>
      <w:pPr>
        <w:pStyle w:val="BodyText"/>
      </w:pPr>
      <w:r>
        <w:rPr>
          <w:bCs/>
          <w:b/>
        </w:rPr>
        <w:t xml:space="preserve">Bảng 4.6.</w:t>
      </w:r>
      <w:r>
        <w:t xml:space="preserve"> </w:t>
      </w:r>
      <w:r>
        <w:rPr>
          <w:iCs/>
          <w:i/>
        </w:rPr>
        <w:t xml:space="preserve">Điểm uốn theo đợt khảo sát, Ấn Độ.</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Đợt khảo sát</w:t>
            </w:r>
          </w:p>
        </w:tc>
        <w:tc>
          <w:tcPr/>
          <w:p>
            <w:pPr>
              <w:pStyle w:val="Compact"/>
              <w:jc w:val="left"/>
            </w:pPr>
            <m:oMath>
              <m:r>
                <m:t>N</m:t>
              </m:r>
            </m:oMath>
            <w:r>
              <w:t xml:space="preserve"> </w:t>
            </w:r>
            <w:r>
              <w:t xml:space="preserve">phân tích</w:t>
            </w:r>
          </w:p>
        </w:tc>
        <w:tc>
          <w:tcPr/>
          <w:p>
            <w:pPr>
              <w:pStyle w:val="Compact"/>
              <w:jc w:val="left"/>
            </w:pPr>
            <w:r>
              <w:t xml:space="preserve">Điểm uốn (TP)</w:t>
            </w:r>
          </w:p>
        </w:tc>
        <w:tc>
          <w:tcPr/>
          <w:p>
            <w:pPr>
              <w:pStyle w:val="Compact"/>
              <w:jc w:val="left"/>
            </w:pPr>
            <w:r>
              <w:t xml:space="preserve">Lind–Mehlum</w:t>
            </w:r>
          </w:p>
        </w:tc>
        <w:tc>
          <w:tcPr/>
          <w:p>
            <w:pPr>
              <w:pStyle w:val="Compact"/>
              <w:jc w:val="left"/>
            </w:pPr>
            <w:r>
              <w:t xml:space="preserve">Nhận xét</w:t>
            </w:r>
          </w:p>
        </w:tc>
      </w:tr>
      <w:tr>
        <w:tc>
          <w:tcPr/>
          <w:p>
            <w:pPr>
              <w:pStyle w:val="Compact"/>
              <w:jc w:val="left"/>
            </w:pPr>
            <w:r>
              <w:t xml:space="preserve">2014 (PICS3)</w:t>
            </w:r>
          </w:p>
        </w:tc>
        <w:tc>
          <w:tcPr/>
          <w:p>
            <w:pPr>
              <w:pStyle w:val="Compact"/>
              <w:jc w:val="left"/>
            </w:pPr>
            <w:r>
              <w:t xml:space="preserve">8.941</w:t>
            </w:r>
          </w:p>
        </w:tc>
        <w:tc>
          <w:tcPr/>
          <w:p>
            <w:pPr>
              <w:pStyle w:val="Compact"/>
              <w:jc w:val="left"/>
            </w:pPr>
            <w:r>
              <w:t xml:space="preserve">61,8% FSTS</w:t>
            </w:r>
          </w:p>
        </w:tc>
        <w:tc>
          <w:tcPr/>
          <w:p>
            <w:pPr>
              <w:pStyle w:val="Compact"/>
              <w:jc w:val="left"/>
            </w:pPr>
            <m:oMath>
              <m:r>
                <m:t>p</m:t>
              </m:r>
              <m:r>
                <m:rPr>
                  <m:sty m:val="p"/>
                </m:rPr>
                <m:t>&lt;</m:t>
              </m:r>
              <m:r>
                <m:rPr>
                  <m:sty m:val="p"/>
                </m:rPr>
                <m:t>,</m:t>
              </m:r>
              <m:r>
                <m:t>001</m:t>
              </m:r>
            </m:oMath>
          </w:p>
        </w:tc>
        <w:tc>
          <w:tcPr/>
          <w:p>
            <w:pPr>
              <w:pStyle w:val="Compact"/>
              <w:jc w:val="left"/>
            </w:pPr>
            <w:r>
              <w:t xml:space="preserve">U ngược cổ điển</w:t>
            </w:r>
          </w:p>
        </w:tc>
      </w:tr>
      <w:tr>
        <w:tc>
          <w:tcPr/>
          <w:p>
            <w:pPr>
              <w:pStyle w:val="Compact"/>
              <w:jc w:val="left"/>
            </w:pPr>
            <w:r>
              <w:t xml:space="preserve">2022 (BEE)</w:t>
            </w:r>
          </w:p>
        </w:tc>
        <w:tc>
          <w:tcPr/>
          <w:p>
            <w:pPr>
              <w:pStyle w:val="Compact"/>
              <w:jc w:val="left"/>
            </w:pPr>
            <w:r>
              <w:t xml:space="preserve">9.300</w:t>
            </w:r>
          </w:p>
        </w:tc>
        <w:tc>
          <w:tcPr/>
          <w:p>
            <w:pPr>
              <w:pStyle w:val="Compact"/>
              <w:jc w:val="left"/>
            </w:pPr>
            <w:r>
              <w:t xml:space="preserve">40,7% FSTS</w:t>
            </w:r>
          </w:p>
        </w:tc>
        <w:tc>
          <w:tcPr/>
          <w:p>
            <w:pPr>
              <w:pStyle w:val="Compact"/>
              <w:jc w:val="left"/>
            </w:pPr>
            <m:oMath>
              <m:r>
                <m:t>p</m:t>
              </m:r>
              <m:r>
                <m:rPr>
                  <m:sty m:val="p"/>
                </m:rPr>
                <m:t>&lt;</m:t>
              </m:r>
              <m:r>
                <m:rPr>
                  <m:sty m:val="p"/>
                </m:rPr>
                <m:t>,</m:t>
              </m:r>
              <m:r>
                <m:t>001</m:t>
              </m:r>
            </m:oMath>
          </w:p>
        </w:tc>
        <w:tc>
          <w:tcPr/>
          <w:p>
            <w:pPr>
              <w:pStyle w:val="Compact"/>
              <w:jc w:val="left"/>
            </w:pPr>
            <w:r>
              <w:t xml:space="preserve">U ngược, TP dịch trong</w:t>
            </w:r>
          </w:p>
        </w:tc>
      </w:tr>
      <w:tr>
        <w:tc>
          <w:tcPr/>
          <w:p>
            <w:pPr>
              <w:pStyle w:val="Compact"/>
              <w:jc w:val="left"/>
            </w:pPr>
            <w:r>
              <w:t xml:space="preserve">2025 (BREADY)</w:t>
            </w:r>
          </w:p>
        </w:tc>
        <w:tc>
          <w:tcPr/>
          <w:p>
            <w:pPr>
              <w:pStyle w:val="Compact"/>
              <w:jc w:val="left"/>
            </w:pPr>
            <w:r>
              <w:t xml:space="preserve">10.476</w:t>
            </w:r>
          </w:p>
        </w:tc>
        <w:tc>
          <w:tcPr/>
          <w:p>
            <w:pPr>
              <w:pStyle w:val="Compact"/>
              <w:jc w:val="left"/>
            </w:pPr>
            <w:r>
              <w:t xml:space="preserve">Không xác định</w:t>
            </w:r>
          </w:p>
        </w:tc>
        <w:tc>
          <w:tcPr/>
          <w:p>
            <w:pPr>
              <w:pStyle w:val="Compact"/>
              <w:jc w:val="left"/>
            </w:pPr>
            <m:oMath>
              <m:r>
                <m:t>p</m:t>
              </m:r>
              <m:r>
                <m:rPr>
                  <m:sty m:val="p"/>
                </m:rPr>
                <m:t>=</m:t>
              </m:r>
              <m:r>
                <m:rPr>
                  <m:sty m:val="p"/>
                </m:rPr>
                <m:t>,</m:t>
              </m:r>
              <m:r>
                <m:t>99</m:t>
              </m:r>
            </m:oMath>
          </w:p>
        </w:tc>
        <w:tc>
          <w:tcPr/>
          <w:p>
            <w:pPr>
              <w:pStyle w:val="Compact"/>
              <w:jc w:val="left"/>
            </w:pPr>
            <w:r>
              <w:t xml:space="preserve">Đường cong sụp đổ</w:t>
            </w:r>
          </w:p>
        </w:tc>
      </w:tr>
    </w:tbl>
    <w:p>
      <w:pPr>
        <w:pStyle w:val="BodyText"/>
      </w:pPr>
      <w:r>
        <w:rPr>
          <w:iCs/>
          <w:i/>
        </w:rPr>
        <w:t xml:space="preserve">Nguồn: phân tích Ấn Độ của tác giả (nghiên cứu thành phần P9), mở rộng công trình đã công bố Do và Phan (2025, IntechOpen, phân tích 380 doanh nghiệp WBES Ấn Độ, ước lượng FGLS); bản thảo mở rộng kiểm định độ bền ngưỡng I–P qua ba đợt 2014–2025 đang chuẩn bị cho MIR/IJOEM.</w:t>
      </w:r>
    </w:p>
    <w:p>
      <w:pPr>
        <w:pStyle w:val="BodyText"/>
      </w:pPr>
      <w:r>
        <w:t xml:space="preserve">Phát hiện ngưỡng phá vỡ ở Ấn Độ trái ngược trực tiếp với kết quả Trung Quốc thuộc chế độ thu nhập trung bình cao (Nhóm III ICRV), trong khi Ấn Độ thuộc Nhóm IV (chuyển đổi thu nhập trung bình–thấp), nơi điểm uốn của Trung Quốc được chứng minh là bền vững cấu trúc qua 12 năm tăng trưởng tích lũy (P5 China:</w:t>
      </w:r>
      <w:r>
        <w:t xml:space="preserve"> </w:t>
      </w:r>
      <m:oMath>
        <m:r>
          <m:t>T</m:t>
        </m:r>
        <m:r>
          <m:t>P</m:t>
        </m:r>
        <m:r>
          <m:rPr>
            <m:sty m:val="p"/>
          </m:rPr>
          <m:t>=</m:t>
        </m:r>
        <m:r>
          <m:t>49</m:t>
        </m:r>
        <m:r>
          <m:rPr>
            <m:sty m:val="p"/>
          </m:rPr>
          <m:t>,</m:t>
        </m:r>
        <m:r>
          <m:t>4</m:t>
        </m:r>
        <m:r>
          <m:rPr>
            <m:sty m:val="p"/>
          </m:rPr>
          <m:t>%</m:t>
        </m:r>
      </m:oMath>
      <w:r>
        <w:t xml:space="preserve"> </w:t>
      </w:r>
      <w:r>
        <w:t xml:space="preserve">năm 2012 so với</w:t>
      </w:r>
      <w:r>
        <w:t xml:space="preserve"> </w:t>
      </w:r>
      <m:oMath>
        <m:r>
          <m:t>T</m:t>
        </m:r>
        <m:r>
          <m:t>P</m:t>
        </m:r>
        <m:r>
          <m:rPr>
            <m:sty m:val="p"/>
          </m:rPr>
          <m:t>=</m:t>
        </m:r>
        <m:r>
          <m:t>47</m:t>
        </m:r>
        <m:r>
          <m:rPr>
            <m:sty m:val="p"/>
          </m:rPr>
          <m:t>,</m:t>
        </m:r>
        <m:r>
          <m:t>2</m:t>
        </m:r>
        <m:r>
          <m:rPr>
            <m:sty m:val="p"/>
          </m:rPr>
          <m:t>%</m:t>
        </m:r>
      </m:oMath>
      <w:r>
        <w:t xml:space="preserve"> </w:t>
      </w:r>
      <w:r>
        <w:t xml:space="preserve">năm 2024,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chấp nhận giả thuyết cân bằng). Sự đối lập này cho thấy bền vững ngưỡng không phải đặc tính phổ quát của chế độ thể chế ICRV III mà phụ thuộc vào mức độ và tốc độ thay đổi thể chế tích lũy trong cửa sổ quan sát.</w:t>
      </w:r>
    </w:p>
    <w:p>
      <w:pPr>
        <w:pStyle w:val="BodyText"/>
      </w:pPr>
      <w:r>
        <w:t xml:space="preserve">Vai trò của TCI tại Ấn Độ cho thấy hiện tượng đảo dấu (sign flip) chưa từng quan sát ở các bối cảnh quốc gia khác. Năm 2014, hiệu ứng trực tiếp TCI dương đáng kể (</w:t>
      </w:r>
      <m:oMath>
        <m:r>
          <m:t>β</m:t>
        </m:r>
        <m:r>
          <m:rPr>
            <m:sty m:val="p"/>
          </m:rPr>
          <m:t>=</m:t>
        </m:r>
        <m:r>
          <m:rPr>
            <m:sty m:val="p"/>
          </m:rPr>
          <m:t>+</m:t>
        </m:r>
        <m:r>
          <m:t>0</m:t>
        </m:r>
        <m:r>
          <m:rPr>
            <m:sty m:val="p"/>
          </m:rPr>
          <m:t>,</m:t>
        </m:r>
        <m:r>
          <m:t>12</m:t>
        </m:r>
      </m:oMath>
      <w:r>
        <w:t xml:space="preserve">,</w:t>
      </w:r>
      <w:r>
        <w:t xml:space="preserve"> </w:t>
      </w:r>
      <m:oMath>
        <m:r>
          <m:t>p</m:t>
        </m:r>
        <m:r>
          <m:rPr>
            <m:sty m:val="p"/>
          </m:rPr>
          <m:t>&lt;</m:t>
        </m:r>
        <m:r>
          <m:rPr>
            <m:sty m:val="p"/>
          </m:rPr>
          <m:t>,</m:t>
        </m:r>
        <m:r>
          <m:t>001</m:t>
        </m:r>
      </m:oMath>
      <w:r>
        <w:t xml:space="preserve">), năm 2022 tiếp tục dương và mạnh hơn (</w:t>
      </w:r>
      <m:oMath>
        <m:r>
          <m:t>β</m:t>
        </m:r>
        <m:r>
          <m:rPr>
            <m:sty m:val="p"/>
          </m:rPr>
          <m:t>=</m:t>
        </m:r>
        <m:r>
          <m:rPr>
            <m:sty m:val="p"/>
          </m:rPr>
          <m:t>+</m:t>
        </m:r>
        <m:r>
          <m:t>0</m:t>
        </m:r>
        <m:r>
          <m:rPr>
            <m:sty m:val="p"/>
          </m:rPr>
          <m:t>,</m:t>
        </m:r>
        <m:r>
          <m:t>19</m:t>
        </m:r>
      </m:oMath>
      <w:r>
        <w:t xml:space="preserve">,</w:t>
      </w:r>
      <w:r>
        <w:t xml:space="preserve"> </w:t>
      </w:r>
      <m:oMath>
        <m:r>
          <m:t>p</m:t>
        </m:r>
        <m:r>
          <m:rPr>
            <m:sty m:val="p"/>
          </m:rPr>
          <m:t>&lt;</m:t>
        </m:r>
        <m:r>
          <m:rPr>
            <m:sty m:val="p"/>
          </m:rPr>
          <m:t>,</m:t>
        </m:r>
        <m:r>
          <m:t>001</m:t>
        </m:r>
      </m:oMath>
      <w:r>
        <w:t xml:space="preserve">), nhưng năm 2025 đảo sang âm (</w:t>
      </w:r>
      <m:oMath>
        <m:r>
          <m:t>β</m:t>
        </m:r>
        <m:r>
          <m:rPr>
            <m:sty m:val="p"/>
          </m:rPr>
          <m:t>=</m:t>
        </m:r>
        <m:r>
          <m:rPr>
            <m:sty m:val="p"/>
          </m:rPr>
          <m:t>−</m:t>
        </m:r>
        <m:r>
          <m:t>0</m:t>
        </m:r>
        <m:r>
          <m:rPr>
            <m:sty m:val="p"/>
          </m:rPr>
          <m:t>,</m:t>
        </m:r>
        <m:r>
          <m:t>08</m:t>
        </m:r>
      </m:oMath>
      <w:r>
        <w:t xml:space="preserve">,</w:t>
      </w:r>
      <w:r>
        <w:t xml:space="preserve"> </w:t>
      </w:r>
      <m:oMath>
        <m:r>
          <m:t>p</m:t>
        </m:r>
        <m:r>
          <m:rPr>
            <m:sty m:val="p"/>
          </m:rPr>
          <m:t>&lt;</m:t>
        </m:r>
        <m:r>
          <m:rPr>
            <m:sty m:val="p"/>
          </m:rPr>
          <m:t>,</m:t>
        </m:r>
        <m:r>
          <m:t>001</m:t>
        </m:r>
      </m:oMath>
      <w:r>
        <w:t xml:space="preserve">) đi kèm tương tác FSTS</w:t>
      </w:r>
      <m:oMath>
        <m:r>
          <m:rPr>
            <m:sty m:val="p"/>
          </m:rPr>
          <m:t>×</m:t>
        </m:r>
      </m:oMath>
      <w:r>
        <w:t xml:space="preserve">TCI dương (</w:t>
      </w:r>
      <m:oMath>
        <m:r>
          <m:t>β</m:t>
        </m:r>
        <m:r>
          <m:rPr>
            <m:sty m:val="p"/>
          </m:rPr>
          <m:t>=</m:t>
        </m:r>
        <m:r>
          <m:rPr>
            <m:sty m:val="p"/>
          </m:rPr>
          <m:t>+</m:t>
        </m:r>
        <m:r>
          <m:t>0</m:t>
        </m:r>
        <m:r>
          <m:rPr>
            <m:sty m:val="p"/>
          </m:rPr>
          <m:t>,</m:t>
        </m:r>
        <m:r>
          <m:t>20</m:t>
        </m:r>
      </m:oMath>
      <w:r>
        <w:t xml:space="preserve">,</w:t>
      </w:r>
      <w:r>
        <w:t xml:space="preserve"> </w:t>
      </w:r>
      <m:oMath>
        <m:r>
          <m:t>p</m:t>
        </m:r>
        <m:r>
          <m:rPr>
            <m:sty m:val="p"/>
          </m:rPr>
          <m:t>=</m:t>
        </m:r>
        <m:r>
          <m:rPr>
            <m:sty m:val="p"/>
          </m:rPr>
          <m:t>,</m:t>
        </m:r>
        <m:r>
          <m:t>03</m:t>
        </m:r>
      </m:oMath>
      <w:r>
        <w:t xml:space="preserve">). Diễn giải nhất quán nhất với khung Mizik và Jacobson (2003) về đánh đổi chú trọng chiến lược (strategic emphasis trade-off): khi chính sách PLI và Atmanirbhar Bharat sau 2020 chuyển hướng năng lực công nghệ sang sản xuất nội địa, đầu tư TCI của doanh nghiệp định hướng nội địa cạnh tranh nguồn lực với hoạt động xuất khẩu, làm triệt tiêu lợi ích năng suất TCI vốn quan sát được khi tích lũy năng lực không thiên kiến giữa nội địa và xuất khẩu.</w:t>
      </w:r>
    </w:p>
    <w:p>
      <w:pPr>
        <w:pStyle w:val="BodyText"/>
      </w:pPr>
      <w:r>
        <w:t xml:space="preserve">Vai trò của DAI tại Ấn Độ làm rõ một sự tinh chỉnh lý thuyết quan trọng cho khung CDCM. Tại đợt 2025, ngoài chỉ báo Tier-1 (trang web) chung cho cả ba đợt, WBES BREADY cung cấp thêm chỉ báo Tier-2 (tỷ trọng doanh thu nhận qua thanh toán điện tử, biến</w:t>
      </w:r>
      <w:r>
        <w:t xml:space="preserve"> </w:t>
      </w:r>
      <w:r>
        <w:rPr>
          <w:rStyle w:val="VerbatimChar"/>
        </w:rPr>
        <w:t xml:space="preserve">k33</w:t>
      </w:r>
      <w:r>
        <w:t xml:space="preserve">) làm bối cảnh thí nghiệm gần tự nhiên cho hạ tầng số công cộng UPI. Tương tác DAI Tier-2 với cường độ xuất khẩu lại âm và có ý nghĩa thống kê:</w:t>
      </w:r>
      <w:r>
        <w:t xml:space="preserve"> </w:t>
      </w:r>
      <m:oMath>
        <m:r>
          <m:rPr>
            <m:nor/>
            <m:sty m:val="p"/>
          </m:rPr>
          <m:t>FSTS</m:t>
        </m:r>
        <m:r>
          <m:rPr>
            <m:sty m:val="p"/>
          </m:rPr>
          <m:t>×</m:t>
        </m:r>
        <m:sSub>
          <m:e>
            <m:r>
              <m:rPr>
                <m:nor/>
                <m:sty m:val="p"/>
              </m:rPr>
              <m:t>DAI</m:t>
            </m:r>
          </m:e>
          <m:sub>
            <m:r>
              <m:t>T</m:t>
            </m:r>
            <m:r>
              <m:t>i</m:t>
            </m:r>
            <m:r>
              <m:t>e</m:t>
            </m:r>
            <m:r>
              <m:t>r</m:t>
            </m:r>
            <m:r>
              <m:rPr>
                <m:sty m:val="p"/>
              </m:rPr>
              <m:t>−</m:t>
            </m:r>
            <m:r>
              <m:t>2</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ngược với dự đoán phụ phẩm cộng hưởng năng lực số công cộng. Diễn giải cộng hưởng (complementarity reading): hạ tầng số công cộng UPI vận hành trên đường ray rupee nội địa và yêu cầu KYC Aadhaar cho đối tác cư trú tại Ấn Độ; doanh nghiệp xuất khẩu cần hạ tầng tài chính xuyên biên giới khác hẳn (SWIFT, ngân hàng đại lý, tài trợ thương mại, bảo hiểm tín dụng xuất khẩu) mà UPI không thể thay thế. Phát hiện này cho thấy hạ tầng công cộng số chỉ thay thế năng lực tư nhân khi hai loại hạ tầng có cùng định hướng mục đích, không phải thay thế phổ quát cho mọi hoạt động sản xuất doanh nghiệp.</w:t>
      </w:r>
    </w:p>
    <w:p>
      <w:r>
        <w:pict>
          <v:rect style="width:0;height:1.5pt" o:hralign="center" o:hrstd="t" o:hr="t"/>
        </w:pict>
      </w:r>
    </w:p>
    <w:bookmarkEnd w:id="161"/>
    <w:bookmarkStart w:id="162" w:name="X3f9ed6ea86262c6caa26e51d1f917462628cea6"/>
    <w:p>
      <w:pPr>
        <w:pStyle w:val="Heading2"/>
      </w:pPr>
      <w:r>
        <w:t xml:space="preserve">4.9 Tam giác hóa kết quả cấp doanh nghiệp với bằng chứng vĩ mô độc lập</w:t>
      </w:r>
    </w:p>
    <w:p>
      <w:pPr>
        <w:pStyle w:val="FirstParagraph"/>
      </w:pPr>
      <w:r>
        <w:t xml:space="preserve">Một thử thách then chốt đối với tính giá trị của các phát hiện cấp doanh nghiệp là liệu chúng có nhất quán với bằng chứng vĩ mô độc lập hay không. Mục này thực hiện tam giác hóa (triangulation) bốn kết quả trụ cột của luận án với các báo cáo chuyên đề mới nhất của Ngân hàng Thế giới (2026), qua đó củng cố tính giá trị hội tụ (convergent validity) của khung ICRV.</w:t>
      </w:r>
    </w:p>
    <w:p>
      <w:pPr>
        <w:pStyle w:val="BodyText"/>
      </w:pPr>
      <w:r>
        <w:rPr>
          <w:bCs/>
          <w:b/>
        </w:rPr>
        <w:t xml:space="preserve">Thứ nhất, gradient thể chế của điểm uốn (H5) hội tụ với quy luật vĩ mô</w:t>
      </w:r>
      <w:r>
        <w:rPr>
          <w:bCs/>
          <w:b/>
        </w:rPr>
        <w:t xml:space="preserve"> </w:t>
      </w:r>
      <w:r>
        <w:rPr>
          <w:bCs/>
          <w:b/>
        </w:rPr>
        <w:t xml:space="preserve">“</w:t>
      </w:r>
      <w:r>
        <w:rPr>
          <w:bCs/>
          <w:b/>
        </w:rPr>
        <w:t xml:space="preserve">thể chế tốt hơn đi liền tăng trưởng nhanh hơn</w:t>
      </w:r>
      <w:r>
        <w:rPr>
          <w:bCs/>
          <w:b/>
        </w:rPr>
        <w:t xml:space="preserve">”</w:t>
      </w:r>
      <w:r>
        <w:rPr>
          <w:bCs/>
          <w:b/>
        </w:rPr>
        <w:t xml:space="preserve">.</w:t>
      </w:r>
      <w:r>
        <w:t xml:space="preserve"> </w:t>
      </w:r>
      <w:r>
        <w:t xml:space="preserve">Luận án phát hiện chế độ thể chế quyết định chính sự tồn tại và vị trí của chữ U ngược: đường cong định hình rõ nét nhất ở vùng giữa gradient thể chế (Nhóm IV, điểm uốn 43,0%), duỗi thẳng gần tuyến tính ở biên trên và mất cấu trúc ở biên dưới (§4.6.2). Ở cấp vĩ mô, Ngân hàng Thế giới ghi nhận rằng các thị trường biên tăng trưởng nhanh nhất là những nền đã cải thiện quản trị, thu hẹp chênh lệch lãi suất ngân hàng và kiểm soát nợ công, trong khi các điểm yếu thể chế đi kèm tăng trưởng vốn đáng thất vọng (World Bank, 2026c). Hai tầng bằng chứng cùng chỉ về một cơ chế: chất lượng thể chế quyết định mức độ và điều kiện mà tích lũy vốn và quốc tế hóa chuyển hóa thành kết quả thực. Gradient điểm uốn cấp doanh nghiệp của luận án vì vậy có thể đọc như biểu hiện vi mô của quy luật phân hóa tăng trưởng vĩ mô.</w:t>
      </w:r>
    </w:p>
    <w:p>
      <w:pPr>
        <w:pStyle w:val="BodyText"/>
      </w:pPr>
      <w:r>
        <w:rPr>
          <w:bCs/>
          <w:b/>
        </w:rPr>
        <w:t xml:space="preserve">Thứ hai, hai cơ chế FDI tương phản giữa nhóm tài nguyên và nhóm đổi mới ăn khớp với cú sốc hàng hóa 2026.</w:t>
      </w:r>
      <w:r>
        <w:t xml:space="preserve"> </w:t>
      </w:r>
      <w:r>
        <w:t xml:space="preserve">Luận án cho thấy nhóm Advanced tài nguyên dẫn dắt (Nhóm II, các nền GCC) có phân tán năng suất hẹp đặc trưng của kinh tế nhà nước tô, nơi phân phối lại tô lợi tài nguyên san bằng khác biệt năng suất giữa doanh nghiệp (§4.1, Chuyên đề 1). Cú sốc xung đột Trung Đông năm 2026, với giá năng lượng dự báo tăng 24% và giá hàng hóa nói chung tăng 16%, đẩy giá kim loại cơ bản và quý lên mức cao kỷ lục (World Bank, 2026d), củng cố vị thế tô lợi của nhóm này trong ngắn hạn nhưng đồng thời khắc sâu rủi ro phụ thuộc tài nguyên mà mô hình tăng trưởng dựa trên đổi mới (Nhóm I) không gặp phải. Bối cảnh hàng hóa 2026 vì vậy làm rõ hơn vì sao việc gộp hai loại Advanced thành một nhóm duy nhất, như văn liệu trước thường làm, che khuất hai cơ chế chuyển hóa quốc tế hóa hoàn toàn khác nhau.</w:t>
      </w:r>
    </w:p>
    <w:p>
      <w:pPr>
        <w:pStyle w:val="BodyText"/>
      </w:pPr>
      <w:r>
        <w:rPr>
          <w:bCs/>
          <w:b/>
        </w:rPr>
        <w:t xml:space="preserve">Thứ ba, Nghịch lý bão hòa số và vai trò DAI ăn khớp với chương trình nghị sự về thể chế công trong kỷ nguyên AI.</w:t>
      </w:r>
      <w:r>
        <w:t xml:space="preserve"> </w:t>
      </w:r>
      <w:r>
        <w:t xml:space="preserve">Luận án cho thấy phần thưởng của hiện diện số Tier-1 co lại ở các nền kinh tế tiên tiến nơi nó đã tiệm cận bão hòa, trong khi vẫn còn dư địa ở các nền đang chuyển đổi (§4.3.2, §4.6.3). Phân tích của Ngân hàng Thế giới về thể chế công trong kỷ nguyên trí tuệ nhân tạo nhấn mạnh rằng hạ tầng số công và quản trị dữ liệu là điều kiện nền tảng quyết định năng lực số được chuyển hóa thành giá trị, và rằng giai đoạn trưởng thành số khác nhau đòi hỏi công cụ chính sách khác nhau (World Bank, 2026e). Sự tương đồng này củng cố luận điểm cốt lõi của khung CDCM: phần thưởng của áp dụng số là hàm của mức độ phát triển thể chế và tầng năng lực số được đo, chứ không phải một</w:t>
      </w:r>
      <w:r>
        <w:t xml:space="preserve"> </w:t>
      </w:r>
      <w:r>
        <w:t xml:space="preserve">“</w:t>
      </w:r>
      <w:r>
        <w:t xml:space="preserve">phần bù số</w:t>
      </w:r>
      <w:r>
        <w:t xml:space="preserve">”</w:t>
      </w:r>
      <w:r>
        <w:t xml:space="preserve"> </w:t>
      </w:r>
      <w:r>
        <w:t xml:space="preserve">đồng nhất.</w:t>
      </w:r>
    </w:p>
    <w:p>
      <w:pPr>
        <w:pStyle w:val="BodyText"/>
      </w:pPr>
      <w:r>
        <w:rPr>
          <w:bCs/>
          <w:b/>
        </w:rPr>
        <w:t xml:space="preserve">Thứ tư, FIP và thách thức việc làm của các nền kinh tế biên định vị đóng góp chính sách của luận án.</w:t>
      </w:r>
      <w:r>
        <w:t xml:space="preserve"> </w:t>
      </w:r>
      <w:r>
        <w:t xml:space="preserve">Phát hiện FIP tại SIDS (§4.7) và việc xác nhận rằng quốc tế hóa chỉ tạo phần thưởng năng suất trong điều kiện thể chế và năng lực đủ mạnh, đặt trong bối cảnh hơn 230 triệu người sẽ bước vào tuổi lao động ở các thị trường biên giai đoạn 2025–2035 (World Bank, 2026c), cho thấy chính sách thúc đẩy xuất khẩu đơn thuần là chưa đủ và có thể phản tác dụng ở những bối cảnh dễ tổn thương. Hàm ý chính sách của luận án, ưu tiên nâng cấp năng lực công nghệ trước khi mở rộng cường độ quốc tế hóa, vì vậy nhất quán với khuyến nghị vĩ mô của Ngân hàng Thế giới về việc đầu tư vào hạ tầng nền tảng và năng lực hấp thụ như điều kiện để các nền kinh tế biên hiện thực hóa tiềm năng (World Bank, 2026c).</w:t>
      </w:r>
    </w:p>
    <w:p>
      <w:pPr>
        <w:pStyle w:val="BodyText"/>
      </w:pPr>
      <w:r>
        <w:t xml:space="preserve">Bốn điểm hội tụ trên cho thấy các phát hiện cấp doanh nghiệp của luận án không đứng tách biệt mà ăn khớp một cách hệ thống với bằng chứng vĩ mô độc lập gần nhất. Sự tam giác hóa này tăng cường tính giá trị của khung ICRV và đặt đóng góp của luận án vào đúng dòng chảy nghiên cứu phát triển đương đại.</w:t>
      </w:r>
    </w:p>
    <w:p>
      <w:r>
        <w:pict>
          <v:rect style="width:0;height:1.5pt" o:hralign="center" o:hrstd="t" o:hr="t"/>
        </w:pict>
      </w:r>
    </w:p>
    <w:bookmarkEnd w:id="162"/>
    <w:bookmarkStart w:id="163" w:name="tổng-hợp-kết-quả-theo-hệ-giả-thuyết"/>
    <w:p>
      <w:pPr>
        <w:pStyle w:val="Heading2"/>
      </w:pPr>
      <w:r>
        <w:t xml:space="preserve">4.10 Tổng hợp kết quả theo hệ giả thuyết</w:t>
      </w:r>
    </w:p>
    <w:p>
      <w:pPr>
        <w:pStyle w:val="FirstParagraph"/>
      </w:pPr>
      <w:r>
        <w:t xml:space="preserve">Trước khi tổng hợp theo hệ giả thuyết, Bảng 4.7 hợp nhất các ước lượng trụ cột của bảy nghiên cứu thành phần thực nghiệm, cho phép đối chiếu trực tiếp dạng hàm, điểm uốn, vai trò của hai cấu trúc số (TCI, DAI) và quy mô mẫu xuyên các bối cảnh ICRV.</w:t>
      </w:r>
    </w:p>
    <w:p>
      <w:pPr>
        <w:pStyle w:val="BodyText"/>
      </w:pPr>
      <w:r>
        <w:rPr>
          <w:bCs/>
          <w:b/>
        </w:rPr>
        <w:t xml:space="preserve">Bảng 4.7.</w:t>
      </w:r>
      <w:r>
        <w:t xml:space="preserve"> </w:t>
      </w:r>
      <w:r>
        <w:rPr>
          <w:iCs/>
          <w:i/>
        </w:rPr>
        <w:t xml:space="preserve">Tổng hợp ước lượng các nghiên cứu thành phần thực nghiệm.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NC</w:t>
            </w:r>
          </w:p>
        </w:tc>
        <w:tc>
          <w:tcPr/>
          <w:p>
            <w:pPr>
              <w:pStyle w:val="Compact"/>
              <w:jc w:val="left"/>
            </w:pPr>
            <w:r>
              <w:t xml:space="preserve">Bối cảnh (nhóm ICRV)</w:t>
            </w:r>
          </w:p>
        </w:tc>
        <w:tc>
          <w:tcPr/>
          <w:p>
            <w:pPr>
              <w:pStyle w:val="Compact"/>
              <w:jc w:val="right"/>
            </w:pPr>
            <w:r>
              <w:t xml:space="preserve">N</w:t>
            </w:r>
          </w:p>
        </w:tc>
        <w:tc>
          <w:tcPr/>
          <w:p>
            <w:pPr>
              <w:pStyle w:val="Compact"/>
              <w:jc w:val="left"/>
            </w:pPr>
            <w:r>
              <w:t xml:space="preserve">Dạng hàm I–P</w:t>
            </w:r>
          </w:p>
        </w:tc>
        <w:tc>
          <w:tcPr/>
          <w:p>
            <w:pPr>
              <w:pStyle w:val="Compact"/>
              <w:jc w:val="left"/>
            </w:pPr>
            <w:r>
              <w:t xml:space="preserve">Điểm uốn (FSTS)</w:t>
            </w:r>
          </w:p>
        </w:tc>
        <w:tc>
          <w:tcPr/>
          <w:p>
            <w:pPr>
              <w:pStyle w:val="Compact"/>
              <w:jc w:val="left"/>
            </w:pPr>
            <w:r>
              <w:t xml:space="preserve">Vai trò TCI</w:t>
            </w:r>
          </w:p>
        </w:tc>
        <w:tc>
          <w:tcPr/>
          <w:p>
            <w:pPr>
              <w:pStyle w:val="Compact"/>
              <w:jc w:val="left"/>
            </w:pPr>
            <w:r>
              <w:t xml:space="preserve">Vai trò DAI</w:t>
            </w:r>
          </w:p>
        </w:tc>
      </w:tr>
      <w:tr>
        <w:tc>
          <w:tcPr/>
          <w:p>
            <w:pPr>
              <w:pStyle w:val="Compact"/>
              <w:jc w:val="left"/>
            </w:pPr>
            <w:r>
              <w:t xml:space="preserve">P3</w:t>
            </w:r>
          </w:p>
        </w:tc>
        <w:tc>
          <w:tcPr/>
          <w:p>
            <w:pPr>
              <w:pStyle w:val="Compact"/>
              <w:jc w:val="left"/>
            </w:pPr>
            <w:r>
              <w:t xml:space="preserve">Việt Nam (IV)</w:t>
            </w:r>
          </w:p>
        </w:tc>
        <w:tc>
          <w:tcPr/>
          <w:p>
            <w:pPr>
              <w:pStyle w:val="Compact"/>
              <w:jc w:val="right"/>
            </w:pPr>
            <w:r>
              <w:t xml:space="preserve">2.958</w:t>
            </w:r>
          </w:p>
        </w:tc>
        <w:tc>
          <w:tcPr/>
          <w:p>
            <w:pPr>
              <w:pStyle w:val="Compact"/>
              <w:jc w:val="left"/>
            </w:pPr>
            <w:r>
              <w:t xml:space="preserve">U ngược</w:t>
            </w:r>
          </w:p>
        </w:tc>
        <w:tc>
          <w:tcPr/>
          <w:p>
            <w:pPr>
              <w:pStyle w:val="Compact"/>
              <w:jc w:val="left"/>
            </w:pPr>
            <w:r>
              <w:t xml:space="preserve">39–46%</w:t>
            </w:r>
          </w:p>
        </w:tc>
        <w:tc>
          <w:tcPr/>
          <w:p>
            <w:pPr>
              <w:pStyle w:val="Compact"/>
              <w:jc w:val="left"/>
            </w:pPr>
            <w:r>
              <w:t xml:space="preserve">dương, có ý nghĩa (β=0,179, IV)</w:t>
            </w:r>
          </w:p>
        </w:tc>
        <w:tc>
          <w:tcPr/>
          <w:p>
            <w:pPr>
              <w:pStyle w:val="Compact"/>
              <w:jc w:val="left"/>
            </w:pPr>
            <w:r>
              <w:t xml:space="preserve">null (Tier-1)</w:t>
            </w:r>
          </w:p>
        </w:tc>
      </w:tr>
      <w:tr>
        <w:tc>
          <w:tcPr/>
          <w:p>
            <w:pPr>
              <w:pStyle w:val="Compact"/>
              <w:jc w:val="left"/>
            </w:pPr>
            <w:r>
              <w:t xml:space="preserve">P4</w:t>
            </w:r>
          </w:p>
        </w:tc>
        <w:tc>
          <w:tcPr/>
          <w:p>
            <w:pPr>
              <w:pStyle w:val="Compact"/>
              <w:jc w:val="left"/>
            </w:pPr>
            <w:r>
              <w:t xml:space="preserve">Singapore (I)</w:t>
            </w:r>
          </w:p>
        </w:tc>
        <w:tc>
          <w:tcPr/>
          <w:p>
            <w:pPr>
              <w:pStyle w:val="Compact"/>
              <w:jc w:val="right"/>
            </w:pPr>
            <w:r>
              <w:t xml:space="preserve">623</w:t>
            </w:r>
          </w:p>
        </w:tc>
        <w:tc>
          <w:tcPr/>
          <w:p>
            <w:pPr>
              <w:pStyle w:val="Compact"/>
              <w:jc w:val="left"/>
            </w:pPr>
            <w:r>
              <w:t xml:space="preserve">gần tuyến tính dương</w:t>
            </w:r>
          </w:p>
        </w:tc>
        <w:tc>
          <w:tcPr/>
          <w:p>
            <w:pPr>
              <w:pStyle w:val="Compact"/>
              <w:jc w:val="left"/>
            </w:pPr>
            <w:r>
              <w:t xml:space="preserve">~88,6% (không định vị chắc)</w:t>
            </w:r>
          </w:p>
        </w:tc>
        <w:tc>
          <w:tcPr/>
          <w:p>
            <w:pPr>
              <w:pStyle w:val="Compact"/>
              <w:jc w:val="left"/>
            </w:pPr>
            <w:r>
              <w:t xml:space="preserve">yếu tố vệ sinh</w:t>
            </w:r>
          </w:p>
        </w:tc>
        <w:tc>
          <w:tcPr/>
          <w:p>
            <w:pPr>
              <w:pStyle w:val="Compact"/>
              <w:jc w:val="left"/>
            </w:pPr>
            <w:r>
              <w:t xml:space="preserve">FSTS²×DAI=+3,119**</w:t>
            </w:r>
          </w:p>
        </w:tc>
      </w:tr>
      <w:tr>
        <w:tc>
          <w:tcPr/>
          <w:p>
            <w:pPr>
              <w:pStyle w:val="Compact"/>
              <w:jc w:val="left"/>
            </w:pPr>
            <w:r>
              <w:t xml:space="preserve">P5</w:t>
            </w:r>
          </w:p>
        </w:tc>
        <w:tc>
          <w:tcPr/>
          <w:p>
            <w:pPr>
              <w:pStyle w:val="Compact"/>
              <w:jc w:val="left"/>
            </w:pPr>
            <w:r>
              <w:t xml:space="preserve">Trung Quốc (III)</w:t>
            </w:r>
          </w:p>
        </w:tc>
        <w:tc>
          <w:tcPr/>
          <w:p>
            <w:pPr>
              <w:pStyle w:val="Compact"/>
              <w:jc w:val="right"/>
            </w:pPr>
            <w:r>
              <w:t xml:space="preserve">4.559</w:t>
            </w:r>
          </w:p>
        </w:tc>
        <w:tc>
          <w:tcPr/>
          <w:p>
            <w:pPr>
              <w:pStyle w:val="Compact"/>
              <w:jc w:val="left"/>
            </w:pPr>
            <w:r>
              <w:t xml:space="preserve">U ngược</w:t>
            </w:r>
          </w:p>
        </w:tc>
        <w:tc>
          <w:tcPr/>
          <w:p>
            <w:pPr>
              <w:pStyle w:val="Compact"/>
              <w:jc w:val="left"/>
            </w:pPr>
            <w:r>
              <w:t xml:space="preserve">47–49% (ổn định 2012–2024)</w:t>
            </w:r>
          </w:p>
        </w:tc>
        <w:tc>
          <w:tcPr/>
          <w:p>
            <w:pPr>
              <w:pStyle w:val="Compact"/>
              <w:jc w:val="left"/>
            </w:pPr>
            <w:r>
              <w:t xml:space="preserve">dương (+0,26→+0,43)</w:t>
            </w:r>
          </w:p>
        </w:tc>
        <w:tc>
          <w:tcPr/>
          <w:p>
            <w:pPr>
              <w:pStyle w:val="Compact"/>
              <w:jc w:val="left"/>
            </w:pPr>
            <w:r>
              <w:t xml:space="preserve">n/a</w:t>
            </w:r>
          </w:p>
        </w:tc>
      </w:tr>
      <w:tr>
        <w:tc>
          <w:tcPr/>
          <w:p>
            <w:pPr>
              <w:pStyle w:val="Compact"/>
              <w:jc w:val="left"/>
            </w:pPr>
            <w:r>
              <w:t xml:space="preserve">P6</w:t>
            </w:r>
          </w:p>
        </w:tc>
        <w:tc>
          <w:tcPr/>
          <w:p>
            <w:pPr>
              <w:pStyle w:val="Compact"/>
              <w:jc w:val="left"/>
            </w:pPr>
            <w:r>
              <w:t xml:space="preserve">Meta-analysis (toàn cầu)</w:t>
            </w:r>
          </w:p>
        </w:tc>
        <w:tc>
          <w:tcPr/>
          <w:p>
            <w:pPr>
              <w:pStyle w:val="Compact"/>
              <w:jc w:val="right"/>
            </w:pPr>
            <w:r>
              <w:t xml:space="preserve">k=238</w:t>
            </w:r>
          </w:p>
        </w:tc>
        <w:tc>
          <w:tcPr/>
          <w:p>
            <w:pPr>
              <w:pStyle w:val="Compact"/>
              <w:jc w:val="left"/>
            </w:pPr>
            <w:r>
              <w:t xml:space="preserve">dương nhỏ</w:t>
            </w:r>
          </w:p>
        </w:tc>
        <w:tc>
          <w:tcPr/>
          <w:p>
            <w:pPr>
              <w:pStyle w:val="Compact"/>
              <w:jc w:val="left"/>
            </w:pPr>
            <w:r>
              <w:t xml:space="preserve">n/a</w:t>
            </w:r>
          </w:p>
        </w:tc>
        <w:tc>
          <w:tcPr/>
          <w:p>
            <w:pPr>
              <w:pStyle w:val="Compact"/>
              <w:jc w:val="left"/>
            </w:pPr>
            <w:r>
              <w:t xml:space="preserve">n/a</w:t>
            </w:r>
          </w:p>
        </w:tc>
        <w:tc>
          <w:tcPr/>
          <w:p>
            <w:pPr>
              <w:pStyle w:val="Compact"/>
              <w:jc w:val="left"/>
            </w:pPr>
            <w:r>
              <w:t xml:space="preserve">r=0,074; I²=62,4%</w:t>
            </w:r>
          </w:p>
        </w:tc>
      </w:tr>
      <w:tr>
        <w:tc>
          <w:tcPr/>
          <w:p>
            <w:pPr>
              <w:pStyle w:val="Compact"/>
              <w:jc w:val="left"/>
            </w:pPr>
            <w:r>
              <w:t xml:space="preserve">P7</w:t>
            </w:r>
          </w:p>
        </w:tc>
        <w:tc>
          <w:tcPr/>
          <w:p>
            <w:pPr>
              <w:pStyle w:val="Compact"/>
              <w:jc w:val="left"/>
            </w:pPr>
            <w:r>
              <w:t xml:space="preserve">Đa quốc gia (50 nền, I–VI)</w:t>
            </w:r>
          </w:p>
        </w:tc>
        <w:tc>
          <w:tcPr/>
          <w:p>
            <w:pPr>
              <w:pStyle w:val="Compact"/>
              <w:jc w:val="right"/>
            </w:pPr>
            <w:r>
              <w:t xml:space="preserve">81.022</w:t>
            </w:r>
          </w:p>
        </w:tc>
        <w:tc>
          <w:tcPr/>
          <w:p>
            <w:pPr>
              <w:pStyle w:val="Compact"/>
              <w:jc w:val="left"/>
            </w:pPr>
            <w:r>
              <w:t xml:space="preserve">U ngược</w:t>
            </w:r>
          </w:p>
        </w:tc>
        <w:tc>
          <w:tcPr/>
          <w:p>
            <w:pPr>
              <w:pStyle w:val="Compact"/>
              <w:jc w:val="left"/>
            </w:pPr>
            <w:r>
              <w:t xml:space="preserve">43,6% (M5); rõ nhất ở Nhóm IV (43,0%)</w:t>
            </w:r>
          </w:p>
        </w:tc>
        <w:tc>
          <w:tcPr/>
          <w:p>
            <w:pPr>
              <w:pStyle w:val="Compact"/>
              <w:jc w:val="left"/>
            </w:pPr>
            <w:r>
              <w:t xml:space="preserve">nâng mặt bằng (+0,141 sd)</w:t>
            </w:r>
          </w:p>
        </w:tc>
        <w:tc>
          <w:tcPr/>
          <w:p>
            <w:pPr>
              <w:pStyle w:val="Compact"/>
              <w:jc w:val="left"/>
            </w:pPr>
            <w:r>
              <w:t xml:space="preserve">nâng mặt bằng (+0,201 sd)</w:t>
            </w:r>
          </w:p>
        </w:tc>
      </w:tr>
      <w:tr>
        <w:tc>
          <w:tcPr/>
          <w:p>
            <w:pPr>
              <w:pStyle w:val="Compact"/>
              <w:jc w:val="left"/>
            </w:pPr>
            <w:r>
              <w:t xml:space="preserve">P8</w:t>
            </w:r>
          </w:p>
        </w:tc>
        <w:tc>
          <w:tcPr/>
          <w:p>
            <w:pPr>
              <w:pStyle w:val="Compact"/>
              <w:jc w:val="left"/>
            </w:pPr>
            <w:r>
              <w:t xml:space="preserve">SIDS Pacific (VI)</w:t>
            </w:r>
          </w:p>
        </w:tc>
        <w:tc>
          <w:tcPr/>
          <w:p>
            <w:pPr>
              <w:pStyle w:val="Compact"/>
              <w:jc w:val="right"/>
            </w:pPr>
            <w:r>
              <w:t xml:space="preserve">959</w:t>
            </w:r>
          </w:p>
        </w:tc>
        <w:tc>
          <w:tcPr/>
          <w:p>
            <w:pPr>
              <w:pStyle w:val="Compact"/>
              <w:jc w:val="left"/>
            </w:pPr>
            <w:r>
              <w:t xml:space="preserve">âm đơn điệu (FIP)</w:t>
            </w:r>
          </w:p>
        </w:tc>
        <w:tc>
          <w:tcPr/>
          <w:p>
            <w:pPr>
              <w:pStyle w:val="Compact"/>
              <w:jc w:val="left"/>
            </w:pPr>
            <w:r>
              <w:t xml:space="preserve">không có</w:t>
            </w:r>
          </w:p>
        </w:tc>
        <w:tc>
          <w:tcPr/>
          <w:p>
            <w:pPr>
              <w:pStyle w:val="Compact"/>
              <w:jc w:val="left"/>
            </w:pPr>
            <w:r>
              <w:t xml:space="preserve">n/a</w:t>
            </w:r>
          </w:p>
        </w:tc>
        <w:tc>
          <w:tcPr/>
          <w:p>
            <w:pPr>
              <w:pStyle w:val="Compact"/>
              <w:jc w:val="left"/>
            </w:pPr>
            <w:r>
              <w:t xml:space="preserve">β(FSTS)=−1,339***</w:t>
            </w:r>
          </w:p>
        </w:tc>
      </w:tr>
      <w:tr>
        <w:tc>
          <w:tcPr/>
          <w:p>
            <w:pPr>
              <w:pStyle w:val="Compact"/>
              <w:jc w:val="left"/>
            </w:pPr>
            <w:r>
              <w:t xml:space="preserve">P9</w:t>
            </w:r>
          </w:p>
        </w:tc>
        <w:tc>
          <w:tcPr/>
          <w:p>
            <w:pPr>
              <w:pStyle w:val="Compact"/>
              <w:jc w:val="left"/>
            </w:pPr>
            <w:r>
              <w:t xml:space="preserve">Ấn Độ (IV)</w:t>
            </w:r>
          </w:p>
        </w:tc>
        <w:tc>
          <w:tcPr/>
          <w:p>
            <w:pPr>
              <w:pStyle w:val="Compact"/>
              <w:jc w:val="right"/>
            </w:pPr>
            <w:r>
              <w:t xml:space="preserve">28.717</w:t>
            </w:r>
          </w:p>
        </w:tc>
        <w:tc>
          <w:tcPr/>
          <w:p>
            <w:pPr>
              <w:pStyle w:val="Compact"/>
              <w:jc w:val="left"/>
            </w:pPr>
            <w:r>
              <w:t xml:space="preserve">U ngược → sụp đổ ngưỡng</w:t>
            </w:r>
          </w:p>
        </w:tc>
        <w:tc>
          <w:tcPr/>
          <w:p>
            <w:pPr>
              <w:pStyle w:val="Compact"/>
              <w:jc w:val="left"/>
            </w:pPr>
            <w:r>
              <w:t xml:space="preserve">61,8%→40,7%→tan biến</w:t>
            </w:r>
          </w:p>
        </w:tc>
        <w:tc>
          <w:tcPr/>
          <w:p>
            <w:pPr>
              <w:pStyle w:val="Compact"/>
              <w:jc w:val="left"/>
            </w:pPr>
            <w:r>
              <w:t xml:space="preserve">n/a</w:t>
            </w:r>
          </w:p>
        </w:tc>
        <w:tc>
          <w:tcPr/>
          <w:p>
            <w:pPr>
              <w:pStyle w:val="Compact"/>
              <w:jc w:val="left"/>
            </w:pPr>
            <w:r>
              <w:t xml:space="preserve">n/a</w:t>
            </w:r>
          </w:p>
        </w:tc>
      </w:tr>
    </w:tbl>
    <w:p>
      <w:pPr>
        <w:pStyle w:val="BodyText"/>
      </w:pPr>
      <w:r>
        <w:rPr>
          <w:iCs/>
          <w:i/>
        </w:rPr>
        <w:t xml:space="preserve">Nguồn: tổng hợp từ các nghiên cứu thành phần P3–P9. ** p &lt; ,01; *** p &lt; ,001. Điểm uốn xác nhận bằng kiểm định Lind–Mehlum (2010). Điểm uốn P7 = 43,6% ở mô hình đầy đủ M5 trên khung 50 nền (dải 43,6–51,5% giữa các đặc tả).</w:t>
      </w:r>
    </w:p>
    <w:p>
      <w:pPr>
        <w:pStyle w:val="BodyText"/>
      </w:pPr>
      <w:r>
        <w:t xml:space="preserve">Bảng 4.7 làm nổi bật ba quy luật xuyên suốt. Thứ nhất,</w:t>
      </w:r>
      <w:r>
        <w:t xml:space="preserve"> </w:t>
      </w:r>
      <w:r>
        <w:rPr>
          <w:bCs/>
          <w:b/>
        </w:rPr>
        <w:t xml:space="preserve">dạng hàm chữ U ngược là quy luật chứ không phải ngoại lệ</w:t>
      </w:r>
      <w:r>
        <w:t xml:space="preserve">, được xác nhận ở năm trong bảy nghiên cứu (P3, P5, P7, P9 và một phần P4), với hai trường hợp biên có ý nghĩa lý thuyết riêng: quan hệ âm đơn điệu tại SIDS (P8, FIP) và sự tan biến ngưỡng dưới biến động thể chế cực đoan tại Ấn Độ (P9). Thứ hai,</w:t>
      </w:r>
      <w:r>
        <w:t xml:space="preserve"> </w:t>
      </w:r>
      <w:r>
        <w:rPr>
          <w:bCs/>
          <w:b/>
        </w:rPr>
        <w:t xml:space="preserve">điểm uốn dịch theo chiều thể chế</w:t>
      </w:r>
      <w:r>
        <w:t xml:space="preserve">: từ ~88,6% ở Singapore (Nhóm I) xuống 47–49% ở Trung Quốc (III) và 39–46% ở Việt Nam (IV), nhất quán với gradient toàn mẫu của P7. Thứ ba,</w:t>
      </w:r>
      <w:r>
        <w:t xml:space="preserve"> </w:t>
      </w:r>
      <w:r>
        <w:rPr>
          <w:bCs/>
          <w:b/>
        </w:rPr>
        <w:t xml:space="preserve">TCI và DAI vận hành khác nhau</w:t>
      </w:r>
      <w:r>
        <w:t xml:space="preserve">: TCI nhất quán nâng mặt bằng năng suất, trong khi vai trò DAI phụ thuộc bối cảnh (nén đường cong ở thể chế yếu, khuếch đại ở Singapore), củng cố sự phân biệt cốt lõi của khung CDCM.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I–P có dạng chữ U ngược</w:t>
            </w:r>
          </w:p>
        </w:tc>
        <w:tc>
          <w:tcPr/>
          <w:p>
            <w:pPr>
              <w:pStyle w:val="Compact"/>
              <w:jc w:val="left"/>
            </w:pPr>
            <w:r>
              <w:t xml:space="preserve">Xác nhận tại Trung Quốc, Việt Nam và toàn mẫu P7; xác nhận một phần tại Singapore và Nhật Bản (gần tuyến tính, điểm uốn ngoài miền); không áp dụng tại SIDS</w:t>
            </w:r>
          </w:p>
        </w:tc>
      </w:tr>
      <w:tr>
        <w:tc>
          <w:tcPr/>
          <w:p>
            <w:pPr>
              <w:pStyle w:val="Compact"/>
              <w:jc w:val="left"/>
            </w:pPr>
            <w:r>
              <w:t xml:space="preserve">H2 (TCI điều tiết dương)</w:t>
            </w:r>
          </w:p>
        </w:tc>
        <w:tc>
          <w:tcPr/>
          <w:p>
            <w:pPr>
              <w:pStyle w:val="Compact"/>
              <w:jc w:val="left"/>
            </w:pPr>
            <w:r>
              <w:t xml:space="preserve">TCI khuếch đại I–P</w:t>
            </w:r>
          </w:p>
        </w:tc>
        <w:tc>
          <w:tcPr/>
          <w:p>
            <w:pPr>
              <w:pStyle w:val="Compact"/>
              <w:jc w:val="left"/>
            </w:pPr>
            <w:r>
              <w:t xml:space="preserve">Xác nhận một phần: TCI nâng mặt bằng năng suất tại tất cả bối cảnh (+0,141***, 50 nền); uốn đường cong xác nhận tại Việt Nam nhưng không ý nghĩa tại toàn mẫu P7</w:t>
            </w:r>
          </w:p>
        </w:tc>
      </w:tr>
      <w:tr>
        <w:tc>
          <w:tcPr/>
          <w:p>
            <w:pPr>
              <w:pStyle w:val="Compact"/>
              <w:jc w:val="left"/>
            </w:pPr>
            <w:r>
              <w:t xml:space="preserve">H3 (DAI điều tiết)</w:t>
            </w:r>
          </w:p>
        </w:tc>
        <w:tc>
          <w:tcPr/>
          <w:p>
            <w:pPr>
              <w:pStyle w:val="Compact"/>
              <w:jc w:val="left"/>
            </w:pPr>
            <w:r>
              <w:t xml:space="preserve">DAI thay đổi độ dốc I–P</w:t>
            </w:r>
          </w:p>
        </w:tc>
        <w:tc>
          <w:tcPr/>
          <w:p>
            <w:pPr>
              <w:pStyle w:val="Compact"/>
              <w:jc w:val="left"/>
            </w:pPr>
            <w:r>
              <w:t xml:space="preserve">Hỗ trợ một phần: hiệu ứng mức phổ quát (+0,201*</w:t>
            </w:r>
            <w:r>
              <w:rPr>
                <w:bCs/>
                <w:b/>
              </w:rPr>
              <w:t xml:space="preserve">, 50 nền); tương tác đường cong cùng chiều nén nhưng không ý nghĩa toàn mẫu; bằng chứng điều tiết rõ nhất ở bối cảnh đơn quốc gia (P4: FSTS²×DAI = +3,119</w:t>
            </w:r>
            <w:r>
              <w:t xml:space="preserve">); null tại Việt Nam (Tier-1) tương thích với hạn chế đo lường</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Không được hỗ trợ trên toàn mẫu 50 nền (nữ quản lý: mức −0,088, p=,026; tương tác FSTS không ý nghĩa); hiệu ứng phụ thuộc bối cảnh</w:t>
            </w:r>
          </w:p>
        </w:tc>
      </w:tr>
      <w:tr>
        <w:tc>
          <w:tcPr/>
          <w:p>
            <w:pPr>
              <w:pStyle w:val="Compact"/>
              <w:jc w:val="left"/>
            </w:pPr>
            <w:r>
              <w:t xml:space="preserve">H5 (ICRV gradient)</w:t>
            </w:r>
          </w:p>
        </w:tc>
        <w:tc>
          <w:tcPr/>
          <w:p>
            <w:pPr>
              <w:pStyle w:val="Compact"/>
              <w:jc w:val="left"/>
            </w:pPr>
            <w:r>
              <w:t xml:space="preserve">Thể chế điều tiết gradient I–P</w:t>
            </w:r>
          </w:p>
        </w:tc>
        <w:tc>
          <w:tcPr/>
          <w:p>
            <w:pPr>
              <w:pStyle w:val="Compact"/>
              <w:jc w:val="left"/>
            </w:pPr>
            <w:r>
              <w:t xml:space="preserve">Xác nhận một phần: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w:r>
              <w:rPr>
                <w:iCs/>
                <w:i/>
              </w:rPr>
              <w:t xml:space="preserve">df</w:t>
            </w:r>
            <w:r>
              <w:t xml:space="preserve"> </w:t>
            </w:r>
            <w:r>
              <w:t xml:space="preserve">= 4,</w:t>
            </w:r>
            <w:r>
              <w:t xml:space="preserve"> </w:t>
            </w:r>
            <w:r>
              <w:rPr>
                <w:iCs/>
                <w:i/>
              </w:rPr>
              <w:t xml:space="preserve">p</w:t>
            </w:r>
            <w:r>
              <w:t xml:space="preserve"> </w:t>
            </w:r>
            <w:r>
              <w:t xml:space="preserve">= ,002) từ P6 MARA xác nhận dị biệt giữa chế độ; gradient định hướng (E1a/E1b) chưa xác nhận do</w:t>
            </w:r>
            <w:r>
              <w:t xml:space="preserve"> </w:t>
            </w:r>
            <w:r>
              <w:rPr>
                <w:iCs/>
                <w:i/>
              </w:rPr>
              <w:t xml:space="preserve">k</w:t>
            </w:r>
            <w:r>
              <w:t xml:space="preserve"> </w:t>
            </w:r>
            <w:r>
              <w:t xml:space="preserve">= 3 tại nhóm Frontier (bin FR, hệ 5-regime của P6); gradient ICRV → TP được xác nhận từ P7</w:t>
            </w:r>
          </w:p>
        </w:tc>
      </w:tr>
      <w:tr>
        <w:tc>
          <w:tcPr/>
          <w:p>
            <w:pPr>
              <w:pStyle w:val="Compact"/>
              <w:jc w:val="left"/>
            </w:pPr>
            <w:r>
              <w:t xml:space="preserve">H6 (Temporal heterogeneity)</w:t>
            </w:r>
          </w:p>
        </w:tc>
        <w:tc>
          <w:tcPr/>
          <w:p>
            <w:pPr>
              <w:pStyle w:val="Compact"/>
              <w:jc w:val="left"/>
            </w:pPr>
            <w:r>
              <w:t xml:space="preserve">Hình dạng I–P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SIDS boundary condition)</w:t>
            </w:r>
          </w:p>
        </w:tc>
        <w:tc>
          <w:tcPr/>
          <w:p>
            <w:pPr>
              <w:pStyle w:val="Compact"/>
              <w:jc w:val="left"/>
            </w:pPr>
            <w:r>
              <w:t xml:space="preserve">Quan hệ âm đơn điệu tại SIDS</w:t>
            </w:r>
          </w:p>
        </w:tc>
        <w:tc>
          <w:tcPr/>
          <w:p>
            <w:pPr>
              <w:pStyle w:val="Compact"/>
              <w:jc w:val="left"/>
            </w:pPr>
            <w:r>
              <w:t xml:space="preserve">Xác nhận:</w:t>
            </w:r>
            <w:r>
              <w:t xml:space="preserve"> </w:t>
            </w:r>
            <m:oMath>
              <m:r>
                <m:t>β</m:t>
              </m:r>
              <m:r>
                <m:rPr>
                  <m:sty m:val="p"/>
                </m:rPr>
                <m:t>=</m:t>
              </m:r>
              <m:r>
                <m:rPr>
                  <m:sty m:val="p"/>
                </m:rPr>
                <m:t>−</m:t>
              </m:r>
              <m:r>
                <m:t>1</m:t>
              </m:r>
              <m:r>
                <m:rPr>
                  <m:sty m:val="p"/>
                </m:rPr>
                <m:t>,</m:t>
              </m:r>
              <m:sSup>
                <m:e>
                  <m:r>
                    <m:t>339</m:t>
                  </m:r>
                </m:e>
                <m:sup>
                  <m:r>
                    <m:rPr>
                      <m:sty m:val="p"/>
                    </m:rPr>
                    <m:t>*</m:t>
                  </m:r>
                  <m:r>
                    <m:rPr>
                      <m:sty m:val="p"/>
                    </m:rPr>
                    <m:t>*</m:t>
                  </m:r>
                  <m:r>
                    <m:rPr>
                      <m:sty m:val="p"/>
                    </m:rPr>
                    <m:t>*</m:t>
                  </m:r>
                </m:sup>
              </m:sSup>
            </m:oMath>
            <w:r>
              <w:t xml:space="preserve"> </w:t>
            </w:r>
            <w:r>
              <w:t xml:space="preserve">(M1, country+year FE) đến</w:t>
            </w:r>
            <w:r>
              <w:t xml:space="preserve"> </w:t>
            </w:r>
            <m:oMath>
              <m:r>
                <m:rPr>
                  <m:sty m:val="p"/>
                </m:rPr>
                <m:t>−</m:t>
              </m:r>
              <m:r>
                <m:t>3</m:t>
              </m:r>
              <m:r>
                <m:rPr>
                  <m:sty m:val="p"/>
                </m:rPr>
                <m:t>,</m:t>
              </m:r>
              <m:sSup>
                <m:e>
                  <m:r>
                    <m:t>351</m:t>
                  </m:r>
                </m:e>
                <m:sup>
                  <m:r>
                    <m:rPr>
                      <m:sty m:val="p"/>
                    </m:rPr>
                    <m:t>*</m:t>
                  </m:r>
                  <m:r>
                    <m:rPr>
                      <m:sty m:val="p"/>
                    </m:rPr>
                    <m:t>*</m:t>
                  </m:r>
                  <m:r>
                    <m:rPr>
                      <m:sty m:val="p"/>
                    </m:rPr>
                    <m:t>*</m:t>
                  </m:r>
                </m:sup>
              </m:sSup>
            </m:oMath>
            <w:r>
              <w:t xml:space="preserve"> </w:t>
            </w:r>
            <w:r>
              <w:t xml:space="preserve">(year-FE); exporters-only NS do mẫu nhỏ (N=26)</w:t>
            </w:r>
          </w:p>
        </w:tc>
      </w:tr>
      <w:tr>
        <w:tc>
          <w:tcPr/>
          <w:p>
            <w:pPr>
              <w:pStyle w:val="Compact"/>
              <w:jc w:val="left"/>
            </w:pPr>
            <w:r>
              <w:t xml:space="preserve">H1c (Tan biến ngưỡng tại Ấn Độ, P9)</w:t>
            </w:r>
          </w:p>
        </w:tc>
        <w:tc>
          <w:tcPr/>
          <w:p>
            <w:pPr>
              <w:pStyle w:val="Compact"/>
              <w:jc w:val="left"/>
            </w:pPr>
            <w:r>
              <w:t xml:space="preserve">Ngưỡng U ngược</w:t>
            </w:r>
            <w:r>
              <w:t xml:space="preserve"> </w:t>
            </w:r>
            <w:r>
              <w:rPr>
                <w:iCs/>
                <w:i/>
              </w:rPr>
              <w:t xml:space="preserve">tan biến</w:t>
            </w:r>
            <w:r>
              <w:t xml:space="preserve"> </w:t>
            </w:r>
            <w:r>
              <w:t xml:space="preserve">dưới biến động thể chế cực đoan 2014–2025</w:t>
            </w:r>
          </w:p>
        </w:tc>
        <w:tc>
          <w:tcPr/>
          <w:p>
            <w:pPr>
              <w:pStyle w:val="Compact"/>
              <w:jc w:val="left"/>
            </w:pPr>
            <w:r>
              <w:t xml:space="preserve">Xác nhận tại Ấn Độ: TP 61,8% (2014) → 40,7% (2022) → tan biến (2025,</w:t>
            </w:r>
            <w:r>
              <w:t xml:space="preserve"> </w:t>
            </w:r>
            <m:oMath>
              <m:sSub>
                <m:e>
                  <m:r>
                    <m:t>β</m:t>
                  </m:r>
                </m:e>
                <m:sub>
                  <m:r>
                    <m:t>2</m:t>
                  </m:r>
                </m:sub>
              </m:sSub>
            </m:oMath>
            <w:r>
              <w:t xml:space="preserve"> </w:t>
            </w:r>
            <w:r>
              <w:t xml:space="preserve">NS);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tương tác DAI Tier-2 (UPI) âm (</w:t>
            </w:r>
            <m:oMath>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w:t>
            </w:r>
          </w:p>
        </w:tc>
      </w:tr>
    </w:tbl>
    <w:p>
      <w:r>
        <w:pict>
          <v:rect style="width:0;height:1.5pt" o:hralign="center" o:hrstd="t" o:hr="t"/>
        </w:pict>
      </w:r>
    </w:p>
    <w:bookmarkEnd w:id="163"/>
    <w:bookmarkStart w:id="164" w:name="X1d7085913fe0d9bf449e1d01e72ec60c4109544"/>
    <w:p>
      <w:pPr>
        <w:pStyle w:val="Heading2"/>
      </w:pPr>
      <w:r>
        <w:t xml:space="preserve">Tài liệu tham khảo (trích dẫn trong Chương 4)</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World Bank Enterprise Surveys. (2025).</w:t>
      </w:r>
      <w:r>
        <w:t xml:space="preserve"> </w:t>
      </w:r>
      <w:r>
        <w:rPr>
          <w:iCs/>
          <w:i/>
        </w:rPr>
        <w:t xml:space="preserve">Enterprise surveys data</w:t>
      </w:r>
      <w:r>
        <w:t xml:space="preserve">. World Bank Group. https://www.enterprisesurveys.org</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r>
        <w:pict>
          <v:rect style="width:0;height:1.5pt" o:hralign="center" o:hrstd="t" o:hr="t"/>
        </w:pict>
      </w:r>
    </w:p>
    <w:p>
      <w:r>
        <w:br w:type="page"/>
      </w:r>
    </w:p>
    <w:bookmarkEnd w:id="164"/>
    <w:bookmarkStart w:id="165" w:name="chương-5-kết-luận-và-đề-xuất"/>
    <w:p>
      <w:pPr>
        <w:pStyle w:val="Heading1"/>
      </w:pPr>
      <w:r>
        <w:t xml:space="preserve">CHƯƠNG 5: KẾT LUẬN VÀ ĐỀ XUẤT</w:t>
      </w:r>
    </w:p>
    <w:bookmarkEnd w:id="165"/>
    <w:p>
      <w:r>
        <w:pict>
          <v:rect style="width:0;height:1.5pt" o:hralign="center" o:hrstd="t" o:hr="t"/>
        </w:pict>
      </w:r>
    </w:p>
    <w:bookmarkStart w:id="166" w:name="giới-thiệu-chương-1"/>
    <w:p>
      <w:pPr>
        <w:pStyle w:val="Heading2"/>
      </w:pPr>
      <w:r>
        <w:t xml:space="preserve">Giới thiệu chương</w:t>
      </w:r>
    </w:p>
    <w:p>
      <w:pPr>
        <w:pStyle w:val="FirstParagraph"/>
      </w:pPr>
      <w:r>
        <w:t xml:space="preserve">Chương 5 tổng hợp và diễn giải kết quả từ Chương 4 trong ánh sáng của khung lý thuyết CDCM và bốn lý thuyết nền (Uppsala, RBV, Institutional Theory, Upper Echelons Theory). Cấu trúc chương gồm sáu phần: (i) bàn luận kết quả theo khung lý thuyết; (ii) so sánh với nghiên cứu trước; (iii) đóng góp lý thuyết; (iv) đề xuất chính sách và quản trị; (v) hạn chế và hướng nghiên cứu tương lai; và (vi) kết luận tổng thể của luận án.</w:t>
      </w:r>
    </w:p>
    <w:p>
      <w:r>
        <w:pict>
          <v:rect style="width:0;height:1.5pt" o:hralign="center" o:hrstd="t" o:hr="t"/>
        </w:pict>
      </w:r>
    </w:p>
    <w:bookmarkEnd w:id="166"/>
    <w:bookmarkStart w:id="173" w:name="Xff8cef3ed320f9cf6f3fba4ff558bfed3af19c6"/>
    <w:p>
      <w:pPr>
        <w:pStyle w:val="Heading2"/>
      </w:pPr>
      <w:r>
        <w:t xml:space="preserve">5.1 Bàn luận kết quả theo khung lý thuyết CDCM</w:t>
      </w:r>
    </w:p>
    <w:bookmarkStart w:id="167" w:name="X87949b622680195c8f5649c31ec800d0d4afb82"/>
    <w:p>
      <w:pPr>
        <w:pStyle w:val="Heading3"/>
      </w:pPr>
      <w:r>
        <w:t xml:space="preserve">5.1.1 ICRV Gradient: Xác nhận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gradient ICRV (Biến thiên chế độ bối cảnh thể chế, Institutional Context Regime Variation)</w:t>
      </w:r>
      <w:r>
        <w:t xml:space="preserve">: cùng một mức độ quốc tế hóa (FSTS) mang lại hiệu quả rất khác nhau tùy thuộc vào chế độ thể chế mà doanh nghiệp hoạt động. Bằng chứng từ hai nguồn độc lập, phân tích tổng hợp (P6,</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ước lượng toàn mẫu trên khung 50 nền kinh tế (P7,</w:t>
      </w:r>
      <w:r>
        <w:t xml:space="preserve"> </w:t>
      </w:r>
      <m:oMath>
        <m:r>
          <m:t>N</m:t>
        </m:r>
        <m:r>
          <m:rPr>
            <m:sty m:val="p"/>
          </m:rPr>
          <m:t>=</m:t>
        </m:r>
        <m:r>
          <m:t>81.022</m:t>
        </m:r>
      </m:oMath>
      <w:r>
        <w:t xml:space="preserve"> </w:t>
      </w:r>
      <w:r>
        <w:t xml:space="preserve">quan sát), đều chỉ đến cùng một kết luận: chế độ thể chế quyết định</w:t>
      </w:r>
      <w:r>
        <w:t xml:space="preserve"> </w:t>
      </w:r>
      <w:r>
        <w:rPr>
          <w:bCs/>
          <w:b/>
        </w:rPr>
        <w:t xml:space="preserve">chính sự tồn tại và vị trí của dạng hàm chữ U ngược</w:t>
      </w:r>
      <w:r>
        <w:t xml:space="preserve">. Đường cong định hình rõ nét và tin cậy nhất ở vùng giữa của gradient thể chế (Nhóm IV, điểm uốn 43,0%, trùng khớp các ước lượng đơn quốc gia Việt Nam 39–46% và Ấn Độ 40,7%); duỗi thẳng thành quan hệ gần tuyến tính dương ở biên trên (Nhóm I, điểm uốn ngoài miền dữ liệu, trùng khớp Singapore); và mất cấu trúc ở biên dưới (Nhóm V không còn ý nghĩa thống kê; Nhóm VI không có chữ U ngược, chuyển sang gánh nặng quốc tế hóa bắt buộc theo P8). Hay nói cách khác, thể chế không chỉ dịch chuyển điểm tối ưu của quốc tế hóa mà quyết định liệu một điểm tối ưu như vậy có tồn tại hay không.</w:t>
      </w:r>
    </w:p>
    <w:p>
      <w:pPr>
        <w:pStyle w:val="BodyText"/>
      </w:pPr>
      <w:r>
        <w:t xml:space="preserve">Kết quả này xác nhận H5 và tầng thể chế của khung lý thuyết CDCM theo một cách thuyết phục nhất: không phải chỉ một biến điều tiết đơn lẻ mà là</w:t>
      </w:r>
      <w:r>
        <w:t xml:space="preserve"> </w:t>
      </w:r>
      <w:r>
        <w:rPr>
          <w:bCs/>
          <w:b/>
        </w:rPr>
        <w:t xml:space="preserve">cả một chế độ thể chế</w:t>
      </w:r>
      <w:r>
        <w:t xml:space="preserve">, được vận hành hóa thành sáu sub-regime ICRV, xác định điều kiện biên cho quan hệ I–P. Institutional Theory của North (1990) và Khanna và Palepu (2010) dự đoán rằng thể chế định hình chi phí giao dịch và cấu trúc khuyến khích; kết quả ICRV gradient là biểu hiện thực nghiệm của cơ chế này ở quy mô 50 nền kinh tế châu Á và Thái Bình Dương (P7).</w:t>
      </w:r>
    </w:p>
    <w:p>
      <w:pPr>
        <w:pStyle w:val="BodyText"/>
      </w:pPr>
      <w:r>
        <w:t xml:space="preserve">Về mặt lý thuyết, gradient ICRV có thể được hiểu qua hai cơ chế bổ sung cho nhau. Cơ chế thứ nhất là</w:t>
      </w:r>
      <w:r>
        <w:t xml:space="preserve"> </w:t>
      </w:r>
      <w:r>
        <w:rPr>
          <w:bCs/>
          <w:b/>
        </w:rPr>
        <w:t xml:space="preserve">giảm chi phí giao dịch</w:t>
      </w:r>
      <w:r>
        <w:t xml:space="preserve">: thể chế chất lượng cao (hệ thống pháp lý, bảo vệ quyền sở hữu trí tuệ, thực thi hợp đồng) làm giảm chi phí xuyên biên giới, cho phép doanh nghiệp duy trì đà tăng trưởng hiệu quả đến mức FSTS cao hơn. Cơ chế thứ hai là</w:t>
      </w:r>
      <w:r>
        <w:t xml:space="preserve"> </w:t>
      </w:r>
      <w:r>
        <w:rPr>
          <w:bCs/>
          <w:b/>
        </w:rPr>
        <w:t xml:space="preserve">khuếch đại năng lực</w:t>
      </w:r>
      <w:r>
        <w:t xml:space="preserve">: môi trường thể chế tốt cũng có nghĩa là hệ sinh thái dịch vụ hỗ trợ (logistics, tài chính thương mại, tư vấn pháp lý quốc tế) phát triển, làm giảm gánh nặng điều phối nội bộ của doanh nghiệp khi mở rộng quốc tế. Hai cơ chế này cùng giải thích vì sao đường cong duỗi thẳng ở biên trên của gradient: khi chi phí giao dịch xuyên biên giới đủ thấp và hệ sinh thái hỗ trợ đủ dày, nhánh đi xuống của chữ U ngược bị đẩy lùi ra ngoài miền quan sát; ngược lại ở biên dưới, sự thiếu vắng cả hai điều kiện khiến phần thưởng của quốc tế hóa trở nên nhỏ và bất định đến mức dạng hàm không còn định hình được.</w:t>
      </w:r>
    </w:p>
    <w:bookmarkEnd w:id="167"/>
    <w:bookmarkStart w:id="168" w:name="tci-là-năng-lực-nền-tảng-xác-nhận-h2"/>
    <w:p>
      <w:pPr>
        <w:pStyle w:val="Heading3"/>
      </w:pPr>
      <w:r>
        <w:t xml:space="preserve">5.1.2 TCI là Năng Lực Nền Tảng: Xác nhận H2</w:t>
      </w:r>
    </w:p>
    <w:p>
      <w:pPr>
        <w:pStyle w:val="FirstParagraph"/>
      </w:pPr>
      <w:r>
        <w:t xml:space="preserve">Technological Capability Index (TCI) nhất quán cho thấy</w:t>
      </w:r>
      <w:r>
        <w:t xml:space="preserve"> </w:t>
      </w:r>
      <w:r>
        <w:rPr>
          <w:bCs/>
          <w:b/>
        </w:rPr>
        <w:t xml:space="preserve">hiệu ứng nâng mặt bằng năng suất dương</w:t>
      </w:r>
      <w:r>
        <w:t xml:space="preserve"> </w:t>
      </w:r>
      <w:r>
        <w:t xml:space="preserve">trong tất cả các mẫu (Việt Nam P3, Trung Quốc P5, toàn mẫu P7: hệ số +0,141 độ lệch chuẩn năng suất chuẩn hóa cho mỗi độ lệch chuẩn TCI, p &lt; ,001). Tuy nhiên, TCI chỉ</w:t>
      </w:r>
      <w:r>
        <w:t xml:space="preserve"> </w:t>
      </w:r>
      <w:r>
        <w:rPr>
          <w:bCs/>
          <w:b/>
        </w:rPr>
        <w:t xml:space="preserve">điều tiết hình dạng đường cong I–P</w:t>
      </w:r>
      <w:r>
        <w:t xml:space="preserve"> </w:t>
      </w:r>
      <w:r>
        <w:t xml:space="preserve">tại bối cảnh quốc gia cụ thể (P3 Việt Nam, môi trường chuyển đổi với phân mảnh thể chế tạo điều kiện cho TCI reshaping hiệu ứng), không phổ quát trên toàn mẫu 50 nền kinh tế (P7: tương tác FSTS×TCI và FSTS²×TCI đều không ý nghĩa). H2 được</w:t>
      </w:r>
      <w:r>
        <w:t xml:space="preserve"> </w:t>
      </w:r>
      <w:r>
        <w:rPr>
          <w:bCs/>
          <w:b/>
        </w:rPr>
        <w:t xml:space="preserve">xác nhận một phần</w:t>
      </w:r>
      <w:r>
        <w:t xml:space="preserve">: TCI là năng lực nền tảng phổ quát, nhưng vai trò uốn đường cong I–P phụ thuộc bối cảnh thể chế. Điều này xác nhận vai trò của TCI là</w:t>
      </w:r>
      <w:r>
        <w:t xml:space="preserve"> </w:t>
      </w:r>
      <w:r>
        <w:rPr>
          <w:bCs/>
          <w:b/>
        </w:rPr>
        <w:t xml:space="preserve">năng lực nền tảng</w:t>
      </w:r>
      <w:r>
        <w:t xml:space="preserve"> </w:t>
      </w:r>
      <w:r>
        <w:t xml:space="preserve">(foundational capability) trong khung CDCM: doanh nghiệp có năng lực công nghệ sâu hơn, được đo bằng việc tiếp cận công nghệ nước ngoài, chi tiêu R&amp;D, đổi mới sản phẩm và chứng nhận chất lượng, tạo ra giá trị cao hơn từ cùng một mức độ quốc tế hóa.</w:t>
      </w:r>
    </w:p>
    <w:p>
      <w:pPr>
        <w:pStyle w:val="BodyText"/>
      </w:pPr>
      <w:r>
        <w:t xml:space="preserve">Cơ chế lý thuyết đằng sau kết quả này bắt nguồn từ Resource-Based View (Barney, 1991): TCI là nguồn lực VRIN (có giá trị, hiếm, khó sao chép, khó thay thế), do đó tạo ra lợi thế cạnh tranh bền vững ngay cả khi doanh nghiệp mở rộng ra thị trường nước ngoài với mức độ bất định cao. Năng lực công nghệ cũng tạo ra absorptive capacity (Cohen &amp; Levinthal, 1990), khả năng hấp thu và tích hợp tri thức từ thị trường nước ngoài, giúp doanh nghiệp học hỏi hiệu quả hơn trong quá trình quốc tế hóa, nhất quán với learning loop của Uppsala model (Johanson &amp; Vahlne, 1977).</w:t>
      </w:r>
    </w:p>
    <w:bookmarkEnd w:id="168"/>
    <w:bookmarkStart w:id="169" w:name="X27755afda27725d75d6cee82c01fb99e8279a05"/>
    <w:p>
      <w:pPr>
        <w:pStyle w:val="Heading3"/>
      </w:pPr>
      <w:r>
        <w:t xml:space="preserve">5.1.3 DAI là Nguồn Lực Tình Huống: Hỗ trợ một phần H3</w:t>
      </w:r>
    </w:p>
    <w:p>
      <w:pPr>
        <w:pStyle w:val="FirstParagraph"/>
      </w:pPr>
      <w:r>
        <w:t xml:space="preserve">Kết quả về Digital Adoption Index (DAI) phức tạp hơn và có nhiều sắc thái hơn so với TCI. Trên toàn mẫu P7 (khung 50 nền kinh tế), DAI có hiệu ứng nâng mặt bằng năng suất dương và có ý nghĩa cao (</w:t>
      </w:r>
      <m:oMath>
        <m:acc>
          <m:accPr>
            <m:chr m:val="̂"/>
          </m:accPr>
          <m:e>
            <m:r>
              <m:t>β</m:t>
            </m:r>
          </m:e>
        </m:acc>
        <m:r>
          <m:rPr>
            <m:sty m:val="p"/>
          </m:rPr>
          <m:t>=</m:t>
        </m:r>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doanh nghiệp có hiện diện số cơ bản đạt năng suất chuẩn hóa cao hơn một phần năm độ lệch chuẩn. Các tương tác điều tiết đường cong mang đúng chiều nén như khung CDCM dự đoán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271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252</m:t>
        </m:r>
      </m:oMath>
      <w:r>
        <w:t xml:space="preserve">) nhưng không đạt ý nghĩa thống kê ở cấp toàn mẫu (</w:t>
      </w:r>
      <m:oMath>
        <m:r>
          <m:t>p</m:t>
        </m:r>
        <m:r>
          <m:rPr>
            <m:sty m:val="p"/>
          </m:rPr>
          <m:t>=</m:t>
        </m:r>
        <m:r>
          <m:rPr>
            <m:sty m:val="p"/>
          </m:rPr>
          <m:t>,</m:t>
        </m:r>
        <m:r>
          <m:t>149</m:t>
        </m:r>
      </m:oMath>
      <w:r>
        <w:t xml:space="preserve"> </w:t>
      </w:r>
      <w:r>
        <w:t xml:space="preserve">và</w:t>
      </w:r>
      <w:r>
        <w:t xml:space="preserve"> </w:t>
      </w:r>
      <m:oMath>
        <m:r>
          <m:t>p</m:t>
        </m:r>
        <m:r>
          <m:rPr>
            <m:sty m:val="p"/>
          </m:rPr>
          <m:t>=</m:t>
        </m:r>
        <m:r>
          <m:rPr>
            <m:sty m:val="p"/>
          </m:rPr>
          <m:t>,</m:t>
        </m:r>
        <m:r>
          <m:t>367</m:t>
        </m:r>
      </m:oMath>
      <w:r>
        <w:t xml:space="preserve">), nghĩa là hiệu ứng uốn đường cong của DAI không phổ quát mà tập trung ở các bối cảnh đặc thù. Tại Singapore (P4, DAI Tier-1+2), DAI phát huy rõ nhất dưới dạng amplification effect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Tại Việt Nam (P3, Tier-1 only, IV-estimated), DAI null phản ánh hạn chế đo lường và selection bias hơn là bác bỏ H3.</w:t>
      </w:r>
    </w:p>
    <w:p>
      <w:pPr>
        <w:pStyle w:val="BodyText"/>
      </w:pPr>
      <w:r>
        <w:t xml:space="preserve">Kết quả tổng hợp hỗ trợ lập luận trong khung CDCM rằng DAI là</w:t>
      </w:r>
      <w:r>
        <w:t xml:space="preserve"> </w:t>
      </w:r>
      <w:r>
        <w:rPr>
          <w:bCs/>
          <w:b/>
        </w:rPr>
        <w:t xml:space="preserve">nguồn lực tình huống</w:t>
      </w:r>
      <w:r>
        <w:t xml:space="preserve"> </w:t>
      </w:r>
      <w:r>
        <w:t xml:space="preserve">(situational resource) chứ không phải năng lực nền tảng: cơ chế cụ thể của nó (compression vs amplification) phụ thuộc vào điều kiện môi trường (thể chế, cơ sở hạ tầng số), nhưng bản thân hiệu ứng DAI là</w:t>
      </w:r>
      <w:r>
        <w:t xml:space="preserve"> </w:t>
      </w:r>
      <w:r>
        <w:rPr>
          <w:bCs/>
          <w:b/>
        </w:rPr>
        <w:t xml:space="preserve">phổ quát</w:t>
      </w:r>
      <w:r>
        <w:t xml:space="preserve"> </w:t>
      </w:r>
      <w:r>
        <w:t xml:space="preserve">trên toàn mẫu đa bối cảnh. Đây là điểm phân biệt quan trọng giữa TCI và DAI trong đóng góp lý thuyết của luận án.</w:t>
      </w:r>
    </w:p>
    <w:p>
      <w:pPr>
        <w:pStyle w:val="BodyText"/>
      </w:pPr>
      <w:r>
        <w:t xml:space="preserve">Cần lưu ý rằng kết quả null về DAI tại Việt Nam (P3) và các bối cảnh thấp hơn không nhất thiết bác bỏ H3, mà còn phản ánh hạn chế đo lường: Tier-1 DAI (website, email, online sales) chưa nắm bắt được chiều sâu của năng lực số. Khi DAI được đo bằng Tier-1+2 (bổ sung e-payment, e-supplier) như tại Singapore, hiệu ứng điều tiết xuất hiện rõ ràng hơn. Quan trọng hơn, tất cả đo lường DAI trong luận án đều là</w:t>
      </w:r>
      <w:r>
        <w:t xml:space="preserve"> </w:t>
      </w:r>
      <w:r>
        <w:rPr>
          <w:bCs/>
          <w:b/>
        </w:rPr>
        <w:t xml:space="preserve">chỉ số chấp nhận số tĩnh</w:t>
      </w:r>
      <w:r>
        <w:t xml:space="preserve"> </w:t>
      </w:r>
      <w:r>
        <w:t xml:space="preserve">(static digital adoption index) dựa trên dữ liệu WBES tại một thời điểm, không phải</w:t>
      </w:r>
      <w:r>
        <w:t xml:space="preserve"> </w:t>
      </w:r>
      <w:r>
        <w:t xml:space="preserve">“</w:t>
      </w:r>
      <w:r>
        <w:t xml:space="preserve">dynamic digital capability</w:t>
      </w:r>
      <w:r>
        <w:t xml:space="preserve">”</w:t>
      </w:r>
      <w:r>
        <w:t xml:space="preserve"> </w:t>
      </w:r>
      <w:r>
        <w:t xml:space="preserve">theo nghĩa của dynamic capabilities theory (Teece et al., 1997) vì dữ liệu WBES không có đủ thang đo để đo lường tính động của năng lực số.</w:t>
      </w:r>
    </w:p>
    <w:p>
      <w:pPr>
        <w:pStyle w:val="BodyText"/>
      </w:pPr>
      <w:r>
        <w:t xml:space="preserve">Một giải thích bổ sung từ Lý thuyết thể chế: ở các bối cảnh ICRV thấp với nhiều khoảng trống thể chế (Khanna &amp; Palepu, 2010), doanh nghiệp xuất khẩu có thể phụ thuộc vào DAI nhiều hơn như một cơ chế bù đắp cho thiếu hụt hạ tầng thể chế (hiệu ứng lá chắn số đã ghi nhận ở nghiên cứu thành phần P1 trên 17 nền). Trên khung 50 nền, tương tác chế độ-yếu với độ dốc đường cong ở mức biên ý nghĩa (FSTS×chế độ yếu = −0,523, p = ,087), nhất quán về chiều với lập luận này nhưng cần kiểm định nhân quả chặt hơn trước khi khẳng định.</w:t>
      </w:r>
    </w:p>
    <w:bookmarkEnd w:id="169"/>
    <w:bookmarkStart w:id="170" w:name="Xba87836edee10cf1c931ef85c517d34e258cf83"/>
    <w:p>
      <w:pPr>
        <w:pStyle w:val="Heading3"/>
      </w:pPr>
      <w:r>
        <w:t xml:space="preserve">5.1.4 Đặc Điểm Nhà Quản Trị là Biến điều tiết Cá Nhân: Hỗ trợ có điều kiện H4</w:t>
      </w:r>
    </w:p>
    <w:p>
      <w:pPr>
        <w:pStyle w:val="FirstParagraph"/>
      </w:pPr>
      <w:r>
        <w:t xml:space="preserve">Kết quả về H4 trên khung 50 nền cho thấy đặc điểm nhà quản trị cấp cao</w:t>
      </w:r>
      <w:r>
        <w:t xml:space="preserve"> </w:t>
      </w:r>
      <w:r>
        <w:rPr>
          <w:bCs/>
          <w:b/>
        </w:rPr>
        <w:t xml:space="preserve">không tạo hiệu ứng điều tiết phổ quát</w:t>
      </w:r>
      <w:r>
        <w:t xml:space="preserve">. Hệ số mức của nữ quản lý cấp cao là âm nhẹ (</w:t>
      </w:r>
      <m:oMath>
        <m:acc>
          <m:accPr>
            <m:chr m:val="̂"/>
          </m:accPr>
          <m:e>
            <m:r>
              <m:t>β</m:t>
            </m:r>
          </m:e>
        </m:acc>
        <m:r>
          <m:rPr>
            <m:sty m:val="p"/>
          </m:rPr>
          <m:t>=</m:t>
        </m:r>
        <m:r>
          <m:rPr>
            <m:sty m:val="p"/>
          </m:rPr>
          <m:t>−</m:t>
        </m:r>
        <m:r>
          <m:t>0</m:t>
        </m:r>
        <m:r>
          <m:rPr>
            <m:sty m:val="p"/>
          </m:rPr>
          <m:t>,</m:t>
        </m:r>
        <m:r>
          <m:t>088</m:t>
        </m:r>
      </m:oMath>
      <w:r>
        <w:t xml:space="preserve">,</w:t>
      </w:r>
      <w:r>
        <w:t xml:space="preserve"> </w:t>
      </w:r>
      <m:oMath>
        <m:r>
          <m:t>p</m:t>
        </m:r>
        <m:r>
          <m:rPr>
            <m:sty m:val="p"/>
          </m:rPr>
          <m:t>=</m:t>
        </m:r>
        <m:r>
          <m:rPr>
            <m:sty m:val="p"/>
          </m:rPr>
          <m:t>,</m:t>
        </m:r>
        <m:r>
          <m:t>026</m:t>
        </m:r>
      </m:oMath>
      <w:r>
        <w:t xml:space="preserve">) sau khi kiểm soát hiệu ứng cố định nền kinh tế và năm, và tương tác với cường độ quốc tế hóa không có ý nghĩa thống kê (FSTS×nữ quản lý:</w:t>
      </w:r>
      <w:r>
        <w:t xml:space="preserve"> </w:t>
      </w:r>
      <m:oMath>
        <m:r>
          <m:t>p</m:t>
        </m:r>
        <m:r>
          <m:rPr>
            <m:sty m:val="p"/>
          </m:rPr>
          <m:t>=</m:t>
        </m:r>
        <m:r>
          <m:rPr>
            <m:sty m:val="p"/>
          </m:rPr>
          <m:t>,</m:t>
        </m:r>
        <m:r>
          <m:t>847</m:t>
        </m:r>
      </m:oMath>
      <w:r>
        <w:t xml:space="preserve">). Kết quả này nhất quán với lập luận của Lý thuyết thượng tầng quản trị (Hambrick &amp; Mason, 1984) ở dạng có điều kiện: tác động của đặc điểm lãnh đạo phụ thuộc mạnh vào bối cảnh thể chế và cấu trúc ngành mà doanh nghiệp hoạt động, thay vì là một hiệu ứng đồng nhất xuyên 50 nền kinh tế; hệ số mức âm nhẹ nhiều khả năng phản ánh sự phân bố không ngẫu nhiên của nữ quản lý vào các ngành thâm dụng lao động biên thấp, một dạng chọn lọc ngành cần thiết kế nhận dạng riêng để bóc tách.</w:t>
      </w:r>
    </w:p>
    <w:p>
      <w:pPr>
        <w:pStyle w:val="BodyText"/>
      </w:pPr>
      <w:r>
        <w:t xml:space="preserve">Cơ chế lý thuyết có thể qua hai kênh: thứ nhất,</w:t>
      </w:r>
      <w:r>
        <w:t xml:space="preserve"> </w:t>
      </w:r>
      <w:r>
        <w:rPr>
          <w:bCs/>
          <w:b/>
        </w:rPr>
        <w:t xml:space="preserve">đa dạng nhận thức</w:t>
      </w:r>
      <w:r>
        <w:t xml:space="preserve">, nhà quản trị nữ thường mang lại góc nhìn khác biệt trong ra quyết định quốc tế hóa, giúp nhận diện thị trường ngách và giảm thiểu rủi ro tập trung; thứ hai,</w:t>
      </w:r>
      <w:r>
        <w:t xml:space="preserve"> </w:t>
      </w:r>
      <w:r>
        <w:rPr>
          <w:bCs/>
          <w:b/>
        </w:rPr>
        <w:t xml:space="preserve">chuẩn mực quản trị</w:t>
      </w:r>
      <w:r>
        <w:t xml:space="preserve">, sự hiện diện của lãnh đạo nữ tương quan với thực hành quản trị doanh nghiệp tốt hơn và minh bạch hơn, đặc biệt quan trọng trong môi trường thể chế yếu.</w:t>
      </w:r>
    </w:p>
    <w:p>
      <w:pPr>
        <w:pStyle w:val="BodyText"/>
      </w:pPr>
      <w:r>
        <w:t xml:space="preserve">Tuy nhiên, cần lưu ý rằng tác động này được phát hiện ở cấp pooled toàn mẫu (P7) và cần kiểm định riêng biệt theo từng bối cảnh ICRV để hiểu đầy đủ điều kiện biên của biến điều tiết cấp quản trị. Kết quả null về kinh nghiệm nhà quản trị (mgr_experience) gợi ý rằng trong bối cảnh châu Á đa dạng, số năm kinh nghiệm đơn thuần không nắm bắt được</w:t>
      </w:r>
      <w:r>
        <w:t xml:space="preserve"> </w:t>
      </w:r>
      <w:r>
        <w:rPr>
          <w:bCs/>
          <w:b/>
        </w:rPr>
        <w:t xml:space="preserve">chất lượng</w:t>
      </w:r>
      <w:r>
        <w:t xml:space="preserve"> </w:t>
      </w:r>
      <w:r>
        <w:t xml:space="preserve">kinh nghiệm quốc tế (breadth vs. depth), một hạn chế đo lường trong WBES cần được khắc phục trong nghiên cứu tương lai.</w:t>
      </w:r>
    </w:p>
    <w:bookmarkEnd w:id="170"/>
    <w:bookmarkStart w:id="171" w:name="Xfdc4f05762204c1e9501761a1ebcb843f9171c3"/>
    <w:p>
      <w:pPr>
        <w:pStyle w:val="Heading3"/>
      </w:pPr>
      <w:r>
        <w:t xml:space="preserve">5.1.5 FIP là Điều Kiện Biên Cực Đoan: H1b cho SIDS</w:t>
      </w:r>
    </w:p>
    <w:p>
      <w:pPr>
        <w:pStyle w:val="FirstParagraph"/>
      </w:pPr>
      <w:r>
        <w:t xml:space="preserve">Gánh nặng quốc tế hóa bắt buộc (Forced Internationalization Penalty, FIP) tại các nền kinh tế SIDS (</w:t>
      </w:r>
      <m:oMath>
        <m:r>
          <m:t>β</m:t>
        </m:r>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M1 với hiệu ứng cố định quốc gia và năm; trong mẫu phụ chỉ gồm doanh nghiệp xuất khẩu, hệ số vẫn âm nhưng không ý nghĩa do N = 26) đại diện cho điều kiện biên mà CDCM không hoàn toàn dự báo trước trong phiên bản ban đầu của khung lý thuyết. FIP là biểu hiện của trường hợp khi</w:t>
      </w:r>
      <w:r>
        <w:t xml:space="preserve"> </w:t>
      </w:r>
      <w:r>
        <w:rPr>
          <w:bCs/>
          <w:b/>
        </w:rPr>
        <w:t xml:space="preserve">cả ba tầng của CDCM</w:t>
      </w:r>
      <w:r>
        <w:t xml:space="preserve"> </w:t>
      </w:r>
      <w:r>
        <w:t xml:space="preserve">(thể chế, năng lực, và quản trị) đều ở mức thấp: thể chế yếu, TCI thấp, DAI không phát huy tác dụng, thì quốc tế hóa không chỉ dừng ở mức không mang lại lợi ích mà còn gây tổn hại thực sự đến hiệu quả doanh nghiệp.</w:t>
      </w:r>
    </w:p>
    <w:p>
      <w:pPr>
        <w:pStyle w:val="BodyText"/>
      </w:pPr>
      <w:r>
        <w:t xml:space="preserve">Quan hệ âm đơn điệu này khác về bản chất với quan hệ phi tuyến chữ U ngược: không có điểm uốn trong phạm vi dữ liệu, nghĩa là không có mức FSTS nào mà doanh nghiệp SIDS có thể tận dụng để cải thiện hiệu quả thông qua xuất khẩu trong điều kiện hiện tại. Đây là ranh giới biên lý thuyết quan trọng cho models phi tuyến phổ quát trong văn liệu I–P.</w:t>
      </w:r>
    </w:p>
    <w:p>
      <w:r>
        <w:pict>
          <v:rect style="width:0;height:1.5pt" o:hralign="center" o:hrstd="t" o:hr="t"/>
        </w:pict>
      </w:r>
    </w:p>
    <w:bookmarkEnd w:id="171"/>
    <w:bookmarkStart w:id="172" w:name="Xb7548f07aa94b47fa4ac305672e1001cc1680aa"/>
    <w:p>
      <w:pPr>
        <w:pStyle w:val="Heading3"/>
      </w:pPr>
      <w:r>
        <w:t xml:space="preserve">5.1.6 Ấn Độ, Điều kiện biên phạm vi áp dụng của khung CDCM (P9)</w:t>
      </w:r>
    </w:p>
    <w:p>
      <w:pPr>
        <w:pStyle w:val="FirstParagraph"/>
      </w:pPr>
      <w:r>
        <w:rPr>
          <w:bCs/>
          <w:b/>
        </w:rPr>
        <w:t xml:space="preserve">Ấn Độ và điều kiện biên phạm vi áp dụng của khung CDCM.</w:t>
      </w:r>
      <w:r>
        <w:t xml:space="preserve"> </w:t>
      </w:r>
      <w:r>
        <w:t xml:space="preserve">Phát hiện ngưỡng phá vỡ tại Ấn Độ (P9 (Ấn Độ)) qua giai đoạn 2014–2025 bổ sung một điều kiện biên quan trọng cho khung CDCM. Trong khi quan hệ U ngược được khung dự đoán giả định môi trường thể chế ổn định, sự sụp đổ độ cong tại đợt 2025 dưới áp lực tích lũy của bãi bỏ tiền mặt, GST, IBC, UPI, PLI, COVID-19 và Atmanirbhar Bharat cho thấy bản thân khung CDCM cũng cần điều kiện ổn định thể chế làm tiền đề. Khung này không khẳng định U ngược là quan hệ phổ quát mà là quan hệ có điều kiện. Sự bác bỏ giả thuyết phổ quát của Tier-2 thay thế Tier-1 (qua tương tác âm</w:t>
      </w:r>
      <w:r>
        <w:t xml:space="preserve"> </w:t>
      </w:r>
      <m:oMath>
        <m:r>
          <m:t>β</m:t>
        </m:r>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w:t>
      </w:r>
      <w:r>
        <w:t xml:space="preserve">tại Ấn Độ) cũng tinh chỉnh đề xuất phụ trợ của khung: hạ tầng số công cộng chỉ thay thế năng lực số tư nhân khi hai loại hạ tầng có cùng định hướng mục đích. UPI hỗ trợ giao dịch nội địa hiệu quả nhưng không thay thế hạ tầng tài chính xuyên biên giới (SWIFT, ngân hàng đại lý, tài trợ thương mại) mà doanh nghiệp xuất khẩu yêu cầu.</w:t>
      </w:r>
    </w:p>
    <w:p>
      <w:r>
        <w:pict>
          <v:rect style="width:0;height:1.5pt" o:hralign="center" o:hrstd="t" o:hr="t"/>
        </w:pict>
      </w:r>
    </w:p>
    <w:bookmarkEnd w:id="172"/>
    <w:bookmarkEnd w:id="173"/>
    <w:bookmarkStart w:id="177" w:name="so-sánh-với-nghiên-cứu-trước-đây"/>
    <w:p>
      <w:pPr>
        <w:pStyle w:val="Heading2"/>
      </w:pPr>
      <w:r>
        <w:t xml:space="preserve">5.2 So sánh với nghiên cứu trước đây</w:t>
      </w:r>
    </w:p>
    <w:bookmarkStart w:id="174" w:name="nhất-quán-với-baseline-icbef-2024"/>
    <w:p>
      <w:pPr>
        <w:pStyle w:val="Heading3"/>
      </w:pPr>
      <w:r>
        <w:t xml:space="preserve">5.2.1 Nhất quán với baseline ICBEF 2024</w:t>
      </w:r>
    </w:p>
    <w:p>
      <w:pPr>
        <w:pStyle w:val="FirstParagraph"/>
      </w:pPr>
      <w:r>
        <w:t xml:space="preserve">Kết quả pooled effect</w:t>
      </w:r>
      <w:r>
        <w:t xml:space="preserve"> </w:t>
      </w:r>
      <m:oMath>
        <m:r>
          <m:t>r</m:t>
        </m:r>
        <m:r>
          <m:rPr>
            <m:sty m:val="p"/>
          </m:rPr>
          <m:t>=</m:t>
        </m:r>
        <m:r>
          <m:t>0</m:t>
        </m:r>
        <m:r>
          <m:rPr>
            <m:sty m:val="p"/>
          </m:rPr>
          <m:t>,</m:t>
        </m:r>
        <m:r>
          <m:t>074</m:t>
        </m:r>
      </m:oMath>
      <w:r>
        <w:t xml:space="preserve"> </w:t>
      </w:r>
      <w:r>
        <w:t xml:space="preserve">(P6) nhất quán hoàn toàn với</w:t>
      </w:r>
      <w:r>
        <w:t xml:space="preserve"> </w:t>
      </w:r>
      <m:oMath>
        <m:r>
          <m:t>r</m:t>
        </m:r>
        <m:r>
          <m:rPr>
            <m:sty m:val="p"/>
          </m:rPr>
          <m:t>=</m:t>
        </m:r>
        <m:r>
          <m:t>0</m:t>
        </m:r>
        <m:r>
          <m:rPr>
            <m:sty m:val="p"/>
          </m:rPr>
          <m:t>,</m:t>
        </m:r>
        <m:r>
          <m:t>07</m:t>
        </m:r>
      </m:oMath>
      <w:r>
        <w:t xml:space="preserve"> </w:t>
      </w:r>
      <w:r>
        <w:t xml:space="preserve">từ meta-analysis baseline đã công bố tại hội nghị ICBEF 2024 (nghiên cứu thành phần P1–P2 của luận án). Sự hội tụ này là đáng kể vì P6 mở rộng pool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đồng thời áp dụng cấu trúc ba tầng phức tạp hơn. Tính vững của pooled effect khi mở rộng pool nghiên cứu là bằng chứng về tính ổn định của baseline ước lượng.</w:t>
      </w:r>
    </w:p>
    <w:p>
      <w:pPr>
        <w:pStyle w:val="BodyText"/>
      </w:pPr>
      <w:r>
        <w:t xml:space="preserve">Tuy nhiên, đóng góp của P6 so với baseline không phải ở pooled</w:t>
      </w:r>
      <w:r>
        <w:t xml:space="preserve"> </w:t>
      </w:r>
      <m:oMath>
        <m:r>
          <m:t>r</m:t>
        </m:r>
      </m:oMath>
      <w:r>
        <w:t xml:space="preserve"> </w:t>
      </w:r>
      <w:r>
        <w:t xml:space="preserve">mà ở cấu trúc dị biệt: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tầng 2 và 8,4% tầng 3 là thông tin mới mà phân tích meta đơn tầng không cung cấp. Điều này thay đổi hiểu biết về nguồn gốc của heterogeneity trong văn liệu, vấn đề chủ yếu là</w:t>
      </w:r>
      <w:r>
        <w:t xml:space="preserve"> </w:t>
      </w:r>
      <w:r>
        <w:rPr>
          <w:bCs/>
          <w:b/>
        </w:rPr>
        <w:t xml:space="preserve">đo lường bên trong nghiên cứu</w:t>
      </w:r>
      <w:r>
        <w:t xml:space="preserve">, không phải sự bất đồng căn bản giữa các nghiên cứu.</w:t>
      </w:r>
    </w:p>
    <w:bookmarkEnd w:id="174"/>
    <w:bookmarkStart w:id="175" w:name="X7b8db85450aaa41ba255e0d181ebc5c5ae65c48"/>
    <w:p>
      <w:pPr>
        <w:pStyle w:val="Heading3"/>
      </w:pPr>
      <w:r>
        <w:t xml:space="preserve">5.2.2 Vượt qua Lu và Beamish (2004) và Contractor et al. (2003)</w:t>
      </w:r>
    </w:p>
    <w:p>
      <w:pPr>
        <w:pStyle w:val="FirstParagraph"/>
      </w:pPr>
      <w:r>
        <w:t xml:space="preserve">Lu và Beamish (2004) và Contractor et al. (2003) là hai công trình nền tảng về quan hệ phi tuyến I–P. Lu và Beamish (2004) tìm điểm uốn khoảng 60% FSTS trong mẫu doanh nghiệp Nhật Bản, trong khi Contractor et al. (2003) đề xuất S-curve ba giai đoạn. Luận án này vượt qua hai công trình đó theo ba hướng:</w:t>
      </w:r>
    </w:p>
    <w:p>
      <w:pPr>
        <w:pStyle w:val="BodyText"/>
      </w:pPr>
      <w:r>
        <w:rPr>
          <w:bCs/>
          <w:b/>
        </w:rPr>
        <w:t xml:space="preserve">Thứ nhất</w:t>
      </w:r>
      <w:r>
        <w:t xml:space="preserve">, luận án chứng minh rằng điểm uốn</w:t>
      </w:r>
      <w:r>
        <w:t xml:space="preserve"> </w:t>
      </w:r>
      <w:r>
        <w:rPr>
          <w:bCs/>
          <w:b/>
        </w:rPr>
        <w:t xml:space="preserve">không cố định</w:t>
      </w:r>
      <w:r>
        <w:t xml:space="preserve"> </w:t>
      </w:r>
      <w:r>
        <w:t xml:space="preserve">mà phụ thuộc vào bối cảnh ICRV: từ TP ≈ 88,6% (Singapore, Advanced Innovation; lưu ý điểm uốn này không định vị tin cậy do CI vượt ngưỡng khả thi, xem §4.3) đến TP ≈ 39,7% (Việt Nam pooled, Lower-mid Transition), với Trung Quốc ở mức trung gian (TP ≈ 48,78%). Không có một điểm uốn phổ quát cho tất cả bối cảnh.</w:t>
      </w:r>
    </w:p>
    <w:p>
      <w:pPr>
        <w:pStyle w:val="BodyText"/>
      </w:pPr>
      <w:r>
        <w:rPr>
          <w:bCs/>
          <w:b/>
        </w:rPr>
        <w:t xml:space="preserve">Thứ hai</w:t>
      </w:r>
      <w:r>
        <w:t xml:space="preserve">, luận án xác định trường hợp biên FIP tại SIDS, không phải là S-curve hay chữ U ngược mà là quan hệ âm đơn điệu, điều mà cả ba-stage theory lẫn S-curve không dự báo được.</w:t>
      </w:r>
    </w:p>
    <w:p>
      <w:pPr>
        <w:pStyle w:val="BodyText"/>
      </w:pPr>
      <w:r>
        <w:rPr>
          <w:bCs/>
          <w:b/>
        </w:rPr>
        <w:t xml:space="preserve">Thứ ba</w:t>
      </w:r>
      <w:r>
        <w:t xml:space="preserve">, luận án mở rộng khung phân tích từ dữ liệu doanh nghiệp Nhật Bản/đa quốc gia sang 50 nền kinh tế châu Á và Thái Bình Dương, bối cảnh underrepresented trong văn liệu Lu và Beamish.</w:t>
      </w:r>
    </w:p>
    <w:bookmarkEnd w:id="175"/>
    <w:bookmarkStart w:id="176" w:name="X7d417abcca377c053c807a61872538ebbcf35bb"/>
    <w:p>
      <w:pPr>
        <w:pStyle w:val="Heading3"/>
      </w:pPr>
      <w:r>
        <w:t xml:space="preserve">5.2.3 Mở rộng Marano et al. (2016): ICRV thay thế binary institutional quality</w:t>
      </w:r>
    </w:p>
    <w:p>
      <w:pPr>
        <w:pStyle w:val="FirstParagraph"/>
      </w:pPr>
      <w:r>
        <w:t xml:space="preserve">Marano et al. (2016) là meta-analysis quan trọng nhất trong văn liệu gần đây, cung cấp bằng chứng về vai trò điều tiết của home country institutions trong I–P relationship. Tuy nhiên, Marano et al. sử dụng phân loại binary (developed vs. emerging) hoặc continuous institutional quality scores.</w:t>
      </w:r>
    </w:p>
    <w:p>
      <w:pPr>
        <w:pStyle w:val="BodyText"/>
      </w:pPr>
      <w:r>
        <w:t xml:space="preserve">Luận án này mở rộng Marano et al. (2016) theo hướng</w:t>
      </w:r>
      <w:r>
        <w:t xml:space="preserve"> </w:t>
      </w:r>
      <w:r>
        <w:rPr>
          <w:bCs/>
          <w:b/>
        </w:rPr>
        <w:t xml:space="preserve">phân loại đa chiều</w:t>
      </w:r>
      <w:r>
        <w:t xml:space="preserve">: ICRV sáu sub-regime nắm bắt được sự đa dạng trong nội bộ nhóm</w:t>
      </w:r>
      <w:r>
        <w:t xml:space="preserve"> </w:t>
      </w:r>
      <w:r>
        <w:t xml:space="preserve">“</w:t>
      </w:r>
      <w:r>
        <w:t xml:space="preserve">emerging</w:t>
      </w:r>
      <w:r>
        <w:t xml:space="preserve">”</w:t>
      </w:r>
      <w:r>
        <w:t xml:space="preserve"> </w:t>
      </w:r>
      <w:r>
        <w:t xml:space="preserve">(phân biệt Upper-middle Trung Quốc với Lower-middle transition Việt Nam với Emerging Campuchia và SIDS) và nhóm</w:t>
      </w:r>
      <w:r>
        <w:t xml:space="preserve"> </w:t>
      </w:r>
      <w:r>
        <w:t xml:space="preserve">“</w:t>
      </w:r>
      <w:r>
        <w:t xml:space="preserve">advanced</w:t>
      </w:r>
      <w:r>
        <w:t xml:space="preserve">”</w:t>
      </w:r>
      <w:r>
        <w:t xml:space="preserve"> </w:t>
      </w:r>
      <w:r>
        <w:t xml:space="preserve">(phân biệt Advanced Innovation Singapore với Advanced Resource GCC). Phân loại nhị phân bỏ sót sự biến thiên quan trọng này, dẫn đến mất thông tin về gradient.</w:t>
      </w:r>
    </w:p>
    <w:p>
      <w:pPr>
        <w:pStyle w:val="BodyText"/>
      </w:pPr>
      <w:r>
        <w:t xml:space="preserve">Ngoài ra, luận án sử dụng phương pháp MARA ba tầng để phân tách cấu trúc dị biệt, một cải tiến phương pháp so với random-effects meta-analysis đơn tầng của Marano et al. (2016).</w:t>
      </w:r>
    </w:p>
    <w:p>
      <w:r>
        <w:pict>
          <v:rect style="width:0;height:1.5pt" o:hralign="center" o:hrstd="t" o:hr="t"/>
        </w:pict>
      </w:r>
    </w:p>
    <w:bookmarkEnd w:id="176"/>
    <w:bookmarkEnd w:id="177"/>
    <w:bookmarkStart w:id="181" w:name="đóng-góp-lý-thuyết-1"/>
    <w:p>
      <w:pPr>
        <w:pStyle w:val="Heading2"/>
      </w:pPr>
      <w:r>
        <w:t xml:space="preserve">5.3 Đóng góp lý thuyết</w:t>
      </w:r>
    </w:p>
    <w:bookmarkStart w:id="178" w:name="cdcm-làm-rõ-dai-là-nguồn-lực-tình-huống"/>
    <w:p>
      <w:pPr>
        <w:pStyle w:val="Heading3"/>
      </w:pPr>
      <w:r>
        <w:t xml:space="preserve">5.3.1 CDCM: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Phát hiện rằng DAI có hiệu ứng nâng mặt bằng phổ quát (β=+0,201, p&lt;,001, mẫu gộp N=79.080 từ 50 nền kinh tế) nhưng vai trò điều tiết đường cong I–P là</w:t>
      </w:r>
      <w:r>
        <w:t xml:space="preserve"> </w:t>
      </w:r>
      <w:r>
        <w:rPr>
          <w:bCs/>
          <w:b/>
        </w:rPr>
        <w:t xml:space="preserve">bối cảnh-phụ thuộc</w:t>
      </w:r>
      <w:r>
        <w:t xml:space="preserve"> </w:t>
      </w:r>
      <w:r>
        <w:t xml:space="preserve">(các tương tác đường cong cùng chiều nhưng không ý nghĩa toàn mẫu; bằng chứng rõ nhất ở bối cảnh đơn quốc gia P4) gợi ý rằng DAI không phải là foundational capability (như TCI) mà là</w:t>
      </w:r>
      <w:r>
        <w:t xml:space="preserve"> </w:t>
      </w:r>
      <w:r>
        <w:rPr>
          <w:bCs/>
          <w:b/>
        </w:rPr>
        <w:t xml:space="preserve">situational resource</w:t>
      </w:r>
      <w:r>
        <w:t xml:space="preserve">, tài nguyên có vai trò thay đổi theo bối cảnh thể chế. Quan trọng: tương tác chế độ-yếu (FSTS×Weak = −0,523, p = ,087, biên ý nghĩa) cho thấy hiệu ứng điều tiết của DAI</w:t>
      </w:r>
      <w:r>
        <w:t xml:space="preserve"> </w:t>
      </w:r>
      <w:r>
        <w:rPr>
          <w:bCs/>
          <w:b/>
        </w:rPr>
        <w:t xml:space="preserve">mạnh hơn</w:t>
      </w:r>
      <w:r>
        <w:t xml:space="preserve"> </w:t>
      </w:r>
      <w:r>
        <w:t xml:space="preserve">tại các nền kinh tế thể chế yếu hơn (Emerging, SIDS),</w:t>
      </w:r>
      <w:r>
        <w:t xml:space="preserve"> </w:t>
      </w:r>
      <w:r>
        <w:t xml:space="preserve">“</w:t>
      </w:r>
      <w:r>
        <w:t xml:space="preserve">digital shield</w:t>
      </w:r>
      <w:r>
        <w:t xml:space="preserve">”</w:t>
      </w:r>
      <w:r>
        <w:t xml:space="preserve"> </w:t>
      </w:r>
      <w:r>
        <w:t xml:space="preserve">bù đắp cho thiếu hụt thể chế.</w:t>
      </w:r>
    </w:p>
    <w:p>
      <w:pPr>
        <w:pStyle w:val="BodyText"/>
      </w:pPr>
      <w:r>
        <w:t xml:space="preserve">Điều này có hàm ý lý thuyết quan trọng cho RBV và digital capability văn liệu (Bhandari et al., 2023; Verhoef et al., 2021): không phải mọi nguồn lực số đều tạo ra lợi thế cạnh tranh theo cùng một cơ chế trong mọi bối cảnh. Giá trị của DAI là</w:t>
      </w:r>
      <w:r>
        <w:t xml:space="preserve"> </w:t>
      </w:r>
      <w:r>
        <w:rPr>
          <w:bCs/>
          <w:b/>
        </w:rPr>
        <w:t xml:space="preserve">complementary asset</w:t>
      </w:r>
      <w:r>
        <w:t xml:space="preserve"> </w:t>
      </w:r>
      <w:r>
        <w:t xml:space="preserve">(Teece, 1986) với bối cảnh thể chế, nhưng theo hướng</w:t>
      </w:r>
      <w:r>
        <w:t xml:space="preserve"> </w:t>
      </w:r>
      <w:r>
        <w:rPr>
          <w:bCs/>
          <w:b/>
        </w:rPr>
        <w:t xml:space="preserve">nghịch chiều</w:t>
      </w:r>
      <w:r>
        <w:t xml:space="preserve">: DAI hoạt động như lá chắn bù đắp (compensatory asset) trong bối cảnh thể chế yếu, nơi hạ tầng thể chế chưa đủ hỗ trợ cho doanh nghiệp xuất khẩu. Đây là bằng chứng thực nghiệm bổ sung cho lý thuyết về vai trò thay thế giữa thể chế và năng lực số.</w:t>
      </w:r>
    </w:p>
    <w:bookmarkEnd w:id="178"/>
    <w:bookmarkStart w:id="179" w:name="X2d492fa0307aa4991837f2d5dc38e247101178c"/>
    <w:p>
      <w:pPr>
        <w:pStyle w:val="Heading3"/>
      </w:pPr>
      <w:r>
        <w:t xml:space="preserve">5.3.2 FIP: Khái niệm mới về trường hợp biên cho SIDS</w:t>
      </w:r>
    </w:p>
    <w:p>
      <w:pPr>
        <w:pStyle w:val="FirstParagraph"/>
      </w:pPr>
      <w:r>
        <w:t xml:space="preserve">Đóng góp lý thuyết thứ hai là đề xuất và đặt tên cho</w:t>
      </w:r>
      <w:r>
        <w:t xml:space="preserve"> </w:t>
      </w:r>
      <w:r>
        <w:rPr>
          <w:bCs/>
          <w:b/>
        </w:rPr>
        <w:t xml:space="preserve">Forced Internationalization Penalty (FIP)</w:t>
      </w:r>
      <w:r>
        <w:t xml:space="preserve">, một construct lý thuyết mới chưa được định danh trong văn liệu kinh doanh quốc tế, như một hiện tượng lý thuyết độc lập, khác biệt về bản chất với</w:t>
      </w:r>
      <w:r>
        <w:t xml:space="preserve"> </w:t>
      </w:r>
      <w:r>
        <w:t xml:space="preserve">“</w:t>
      </w:r>
      <w:r>
        <w:t xml:space="preserve">phase 1 downward slope</w:t>
      </w:r>
      <w:r>
        <w:t xml:space="preserve">”</w:t>
      </w:r>
      <w:r>
        <w:t xml:space="preserve"> </w:t>
      </w:r>
      <w:r>
        <w:t xml:space="preserve">trong S-curve theory. FIP không phải là giai đoạn đầu của quá trình học hỏi (learning costs) như mô hình Uppsala dự đoán, mà là một trạng thái cấu trúc bất lợi dài hạn: doanh nghiệp SIDS phải xuất khẩu để tồn tại (do thị trường nội địa quá nhỏ) nhưng không có năng lực và môi trường để đạt lợi thế từ xuất khẩu.</w:t>
      </w:r>
    </w:p>
    <w:p>
      <w:pPr>
        <w:pStyle w:val="BodyText"/>
      </w:pPr>
      <w:r>
        <w:t xml:space="preserve">Khái niệm FIP mở ra hướng nghiên cứu mới về</w:t>
      </w:r>
      <w:r>
        <w:t xml:space="preserve"> </w:t>
      </w:r>
      <w:r>
        <w:rPr>
          <w:bCs/>
          <w:b/>
        </w:rPr>
        <w:t xml:space="preserve">điều kiện biên của lý thuyết quốc tế hóa</w:t>
      </w:r>
      <w:r>
        <w:t xml:space="preserve">: trong điều kiện nào thì</w:t>
      </w:r>
      <w:r>
        <w:t xml:space="preserve"> </w:t>
      </w:r>
      <w:r>
        <w:t xml:space="preserve">“</w:t>
      </w:r>
      <w:r>
        <w:t xml:space="preserve">more internationalization</w:t>
      </w:r>
      <w:r>
        <w:t xml:space="preserve">”</w:t>
      </w:r>
      <w:r>
        <w:t xml:space="preserve"> </w:t>
      </w:r>
      <w:r>
        <w:t xml:space="preserve">luôn là</w:t>
      </w:r>
      <w:r>
        <w:t xml:space="preserve"> </w:t>
      </w:r>
      <w:r>
        <w:t xml:space="preserve">“</w:t>
      </w:r>
      <w:r>
        <w:t xml:space="preserve">worse performance</w:t>
      </w:r>
      <w:r>
        <w:t xml:space="preserve">”</w:t>
      </w:r>
      <w:r>
        <w:t xml:space="preserve">? Luận án đề xuất rằng FIP xuất hiện khi ba điều kiện đồng thời: (i) thể chế ICRV ở mức thấp nhất, (ii) quy mô nền kinh tế quá nhỏ để tạo cơ sở nội địa, và (iii) thiếu hỗ trợ năng lực xuất khẩu từ chính sách. Kết hợp ba điều kiện này tạo ra</w:t>
      </w:r>
      <w:r>
        <w:t xml:space="preserve"> </w:t>
      </w:r>
      <w:r>
        <w:t xml:space="preserve">“</w:t>
      </w:r>
      <w:r>
        <w:t xml:space="preserve">trap</w:t>
      </w:r>
      <w:r>
        <w:t xml:space="preserve">”</w:t>
      </w:r>
      <w:r>
        <w:t xml:space="preserve">, bẫy quốc tế hóa bắt buộc, mà không có điểm uốn để thoát khỏi.</w:t>
      </w:r>
    </w:p>
    <w:bookmarkEnd w:id="179"/>
    <w:bookmarkStart w:id="180" w:name="Xc32e0c91761841c5d26867e9ff33e10da8db64c"/>
    <w:p>
      <w:pPr>
        <w:pStyle w:val="Heading3"/>
      </w:pPr>
      <w:r>
        <w:t xml:space="preserve">5.3.3 ICRV 6-Regime: Phân loại thể chế đặc thù cho khu vực châu Á: Thái Bình Dương</w:t>
      </w:r>
    </w:p>
    <w:p>
      <w:pPr>
        <w:pStyle w:val="FirstParagraph"/>
      </w:pPr>
      <w:r>
        <w:t xml:space="preserve">Đóng góp lý thuyết thứ ba là phát triển và kiểm định</w:t>
      </w:r>
      <w:r>
        <w:t xml:space="preserve"> </w:t>
      </w:r>
      <w:r>
        <w:rPr>
          <w:bCs/>
          <w:b/>
        </w:rPr>
        <w:t xml:space="preserve">khung ICRV sáu sub-regime</w:t>
      </w:r>
      <w:r>
        <w:t xml:space="preserve"> </w:t>
      </w:r>
      <w:r>
        <w:t xml:space="preserve">như một công cụ phân loại thể chế đặc thù cho khu vực châu Á, Thái Bình Dương, thay thế cho các phân loại binary (developed/emerging) hoặc continuous (WGI scores) trong văn liệu hiện tại.</w:t>
      </w:r>
    </w:p>
    <w:p>
      <w:pPr>
        <w:pStyle w:val="BodyText"/>
      </w:pPr>
      <w:r>
        <w:t xml:space="preserve">ICRV nắm bắt được sự đa dạng thể chế chưa từng được vận hành hóa đầy đủ: sự khác biệt giữa Singapore (Advanced Innovation, kết hợp pháp quyền mạnh và hệ sinh thái đổi mới) với GCC (Advanced Resource, kết hợp giàu tài nguyên nhưng hệ sinh thái đổi mới khác), và sự khác biệt giữa Trung Quốc (Upper-middle, chính phủ can thiệp mạnh) với Việt Nam (Lower-middle transition, đang trong quá trình cải cách) với Campuchia (Emerging, institutional voids cao). ICRV không chỉ là taxonomy mô tả mà còn là taxonomy</w:t>
      </w:r>
      <w:r>
        <w:t xml:space="preserve"> </w:t>
      </w:r>
      <w:r>
        <w:rPr>
          <w:bCs/>
          <w:b/>
        </w:rPr>
        <w:t xml:space="preserve">dự đoán</w:t>
      </w:r>
      <w:r>
        <w:t xml:space="preserve">: điểm uốn I–P</w:t>
      </w:r>
      <w:r>
        <w:t xml:space="preserve"> </w:t>
      </w:r>
      <w:r>
        <w:rPr>
          <w:bCs/>
          <w:b/>
        </w:rPr>
        <w:t xml:space="preserve">giảm</w:t>
      </w:r>
      <w:r>
        <w:t xml:space="preserve"> </w:t>
      </w:r>
      <w:r>
        <w:t xml:space="preserve">đơn điệu theo chiều ba vùng: chữ U ngược định hình ở vùng giữa gradient (Nhóm IV, 43,0%), duỗi thẳng ở biên trên, tan rã ở biên dưới; thể chế càng mạnh, doanh nghiệp đạt đỉnh hiệu quả ở mức quốc tế hóa thấp hơn, xác nhận giá trị dự đoán của phân loại.</w:t>
      </w:r>
    </w:p>
    <w:p>
      <w:r>
        <w:pict>
          <v:rect style="width:0;height:1.5pt" o:hralign="center" o:hrstd="t" o:hr="t"/>
        </w:pict>
      </w:r>
    </w:p>
    <w:bookmarkEnd w:id="180"/>
    <w:bookmarkEnd w:id="181"/>
    <w:bookmarkStart w:id="186" w:name="đề-xuất-chính-sách-và-quản-trị"/>
    <w:p>
      <w:pPr>
        <w:pStyle w:val="Heading2"/>
      </w:pPr>
      <w:r>
        <w:t xml:space="preserve">5.4 Đề xuất chính sách và quản trị</w:t>
      </w:r>
    </w:p>
    <w:bookmarkStart w:id="182" w:name="Xbc6d621fc32e0aca77269dff0917fe138aa2fc5"/>
    <w:p>
      <w:pPr>
        <w:pStyle w:val="Heading3"/>
      </w:pPr>
      <w:r>
        <w:t xml:space="preserve">5.4.1 Đề xuất cho nhà hoạch định chính sách: Nâng cao TCI và cải thiện thể chế</w:t>
      </w:r>
    </w:p>
    <w:p>
      <w:pPr>
        <w:pStyle w:val="FirstParagraph"/>
      </w:pPr>
      <w:r>
        <w:t xml:space="preserve">Kết quả về TCI có hàm ý chính sách rõ ràng:</w:t>
      </w:r>
      <w:r>
        <w:t xml:space="preserve"> </w:t>
      </w:r>
      <w:r>
        <w:rPr>
          <w:bCs/>
          <w:b/>
        </w:rPr>
        <w:t xml:space="preserve">đầu tư vào năng lực công nghệ của doanh nghiệp</w:t>
      </w:r>
      <w:r>
        <w:t xml:space="preserve"> </w:t>
      </w:r>
      <w:r>
        <w:t xml:space="preserve">là can thiệp chính sách có thể nâng cao lợi ích từ quốc tế hóa, đặc biệt trong các bối cảnh ICRV trung bình như Việt Nam và Trung Quốc. Chính sách hỗ trợ doanh nghiệp tiếp cận công nghệ nước ngoài (thông qua chương trình kết nối với MNCs, giảm thuế nhập khẩu công nghệ), khuyến khích R&amp;D, và hỗ trợ chứng nhận chất lượng quốc tế sẽ nâng cao TCI của toàn bộ doanh nghiệp trong nền kinh tế, từ đó dịch chuyển đường I–P lên trên và có thể mở rộng điểm uốn về phía phải.</w:t>
      </w:r>
    </w:p>
    <w:p>
      <w:pPr>
        <w:pStyle w:val="BodyText"/>
      </w:pPr>
      <w:r>
        <w:t xml:space="preserve">Gradient ICRV gợi ý rằng</w:t>
      </w:r>
      <w:r>
        <w:t xml:space="preserve"> </w:t>
      </w:r>
      <w:r>
        <w:rPr>
          <w:bCs/>
          <w:b/>
        </w:rPr>
        <w:t xml:space="preserve">cải thiện chất lượng thể chế</w:t>
      </w:r>
      <w:r>
        <w:t xml:space="preserve"> </w:t>
      </w:r>
      <w:r>
        <w:t xml:space="preserve">(pháp quyền, bảo vệ quyền sở hữu trí tuệ, giảm chi phí tuân thủ thương mại) là can thiệp dài hạn quan trọng nhất. Doanh nghiệp trong nền kinh tế thể chế tốt hơn có thể quốc tế hóa đến mức độ cao hơn trước khi chi phí vượt qua lợi ích, điều này có nghĩa là cải cách thể chế không chỉ có lợi về mặt kinh doanh nội địa mà còn mở rộng không gian lợi ích từ xuất khẩu.</w:t>
      </w:r>
    </w:p>
    <w:p>
      <w:pPr>
        <w:pStyle w:val="BodyText"/>
      </w:pPr>
      <w:r>
        <w:t xml:space="preserve">Đối với Việt Nam cụ thể: điểm uốn dịch chuyển từ 46,2% (2009) xuống 39,3% (2015) là tín hiệu đáng lo ngại. Nếu điểm uốn tiếp tục dịch trái, điều đó hàm ý rằng lợi ích từ xuất khẩu đạt đỉnh sớm hơn và suy giảm nhanh hơn, có thể do cấu trúc xuất khẩu tập trung vào gia công với biên lợi nhuận mỏng. Chính sách nâng cao giá trị gia tăng trong xuất khẩu (moving up the value chain) kết hợp với tăng cường TCI có thể giúp đảo ngược xu hướng này.</w:t>
      </w:r>
    </w:p>
    <w:bookmarkEnd w:id="182"/>
    <w:bookmarkStart w:id="183" w:name="X59d919466906d9a280d645023e1878e458893ad"/>
    <w:p>
      <w:pPr>
        <w:pStyle w:val="Heading3"/>
      </w:pPr>
      <w:r>
        <w:t xml:space="preserve">5.4.2 Đề xuất cho nhà quản trị doanh nghiệp: Điểm uốn theo ICRV</w:t>
      </w:r>
    </w:p>
    <w:p>
      <w:pPr>
        <w:pStyle w:val="FirstParagraph"/>
      </w:pPr>
      <w:r>
        <w:t xml:space="preserve">Kết quả thực nghiệm cung cấp</w:t>
      </w:r>
      <w:r>
        <w:t xml:space="preserve"> </w:t>
      </w:r>
      <w:r>
        <w:rPr>
          <w:bCs/>
          <w:b/>
        </w:rPr>
        <w:t xml:space="preserve">hướng dẫn thực tế</w:t>
      </w:r>
      <w:r>
        <w:t xml:space="preserve"> </w:t>
      </w:r>
      <w:r>
        <w:t xml:space="preserve">cho nhà quản trị về mức độ quốc tế hóa tối ưu theo bối cảnh:</w:t>
      </w:r>
    </w:p>
    <w:p>
      <w:pPr>
        <w:numPr>
          <w:ilvl w:val="0"/>
          <w:numId w:val="1016"/>
        </w:numPr>
      </w:pPr>
      <w:r>
        <w:rPr>
          <w:bCs/>
          <w:b/>
        </w:rPr>
        <w:t xml:space="preserve">Doanh nghiệp Singapore (Nhóm I)</w:t>
      </w:r>
      <w:r>
        <w:t xml:space="preserve">: không quan sát thấy ngưỡng bất lợi của quốc tế hóa trong miền dữ liệu (điểm uốn ước lượng ≈ 88,6% nhưng không định vị tin cậy) cho thấy không gian quốc tế hóa rất rộng. Chiến lược mở rộng quốc tế mạnh mẽ (high-commitment internationalization) phù hợp với bối cảnh này, đặc biệt khi kết hợp với DAI cao.</w:t>
      </w:r>
    </w:p>
    <w:p>
      <w:pPr>
        <w:numPr>
          <w:ilvl w:val="0"/>
          <w:numId w:val="1016"/>
        </w:numPr>
      </w:pPr>
      <w:r>
        <w:rPr>
          <w:bCs/>
          <w:b/>
        </w:rPr>
        <w:t xml:space="preserve">Doanh nghiệp Trung Quốc (Nhóm III)</w:t>
      </w:r>
      <w:r>
        <w:t xml:space="preserve">: điểm uốn TP ≈ 48,78% ổn định qua thập kỷ 2012–2024, gợi ý rằng chiến lược xuất khẩu tối ưu là duy trì tỷ lệ FSTS trong khoảng 40–50%, kết hợp giữa thị trường nội địa khổng lồ và hoạt động xuất khẩu có chọn lọc.</w:t>
      </w:r>
    </w:p>
    <w:p>
      <w:pPr>
        <w:numPr>
          <w:ilvl w:val="0"/>
          <w:numId w:val="1016"/>
        </w:numPr>
      </w:pPr>
      <w:r>
        <w:rPr>
          <w:bCs/>
          <w:b/>
        </w:rPr>
        <w:t xml:space="preserve">Doanh nghiệp Việt Nam (Nhóm IV)</w:t>
      </w:r>
      <w:r>
        <w:t xml:space="preserve">: điểm uốn thấp hơn (39,3–46,2%), hàm ý rằng nhà quản trị cần thận trọng hơn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tăng FSTS thuần túy.</w:t>
      </w:r>
    </w:p>
    <w:p>
      <w:pPr>
        <w:numPr>
          <w:ilvl w:val="0"/>
          <w:numId w:val="1016"/>
        </w:numPr>
      </w:pPr>
      <w:r>
        <w:rPr>
          <w:bCs/>
          <w:b/>
        </w:rPr>
        <w:t xml:space="preserve">Doanh nghiệp SIDS (Nhóm VI)</w:t>
      </w:r>
      <w:r>
        <w:t xml:space="preserve">: kết quả FIP là cảnh báo nghiêm túc, đẩy mạnh xuất khẩu trong bối cảnh thiếu năng lực và hỗ trợ thể chế không cải thiện mà còn có thể làm xấu đi hiệu quả hoạt động. Doanh nghiệp SIDS nên ưu tiên xây dựng năng lực nội địa và nâng cao TCI trước khi mở rộng xuất khẩu đáng kể.</w:t>
      </w:r>
    </w:p>
    <w:bookmarkEnd w:id="183"/>
    <w:bookmarkStart w:id="184" w:name="X3f7c356bbecb0845bc3ba35928bc46323a69176"/>
    <w:p>
      <w:pPr>
        <w:pStyle w:val="Heading3"/>
      </w:pPr>
      <w:r>
        <w:t xml:space="preserve">5.4.3 Đề xuất đặc biệt cho SIDS: Tránh Bẫy Quốc Tế Hóa Bắt Buộc</w:t>
      </w:r>
    </w:p>
    <w:p>
      <w:pPr>
        <w:pStyle w:val="FirstParagraph"/>
      </w:pPr>
      <w:r>
        <w:t xml:space="preserve">Phát hiện FIP tại bảy quốc gia Pacific SIDS có hàm ý chính sách cụ thể và cấp bách. Hiện tại, nhiều chương trình phát triển quốc tế và viện trợ thương mại cho SIDS tập trung vào khuyến khích xuất khẩu như một chiến lược tăng trưởng. Kết quả FIP đặt câu hỏi về hiệu quả của chiến lược này khi thiếu nền tảng năng lực tương ứng.</w:t>
      </w:r>
    </w:p>
    <w:p>
      <w:pPr>
        <w:pStyle w:val="BodyText"/>
      </w:pPr>
      <w:r>
        <w:t xml:space="preserve">Thay vào đó, hàm ý chính sách là:</w:t>
      </w:r>
      <w:r>
        <w:t xml:space="preserve"> </w:t>
      </w:r>
      <w:r>
        <w:rPr>
          <w:bCs/>
          <w:b/>
        </w:rPr>
        <w:t xml:space="preserve">không phải xuất khẩu nhiều hơn, mà phải xuất khẩu tốt hơn</w:t>
      </w:r>
      <w:r>
        <w:t xml:space="preserve">. Cụ thể, ưu tiên nên là: (i) xây dựng hạ tầng logistics và kết nối (giảm chi phí cố định của xuất khẩu); (ii) phát triển năng lực doanh nghiệp thông qua TCI (chứ không chỉ DAI bề mặt); (iii) thiết kế chương trình hỗ trợ xuất khẩu có chọn lọc tập trung vào doanh nghiệp đã có đủ năng lực để hưởng lợi, thay vì khuyến khích đại trà. Nói tóm lại, tránh</w:t>
      </w:r>
      <w:r>
        <w:t xml:space="preserve"> </w:t>
      </w:r>
      <w:r>
        <w:t xml:space="preserve">“</w:t>
      </w:r>
      <w:r>
        <w:t xml:space="preserve">bẫy quốc tế hóa bắt buộc</w:t>
      </w:r>
      <w:r>
        <w:t xml:space="preserve">”</w:t>
      </w:r>
      <w:r>
        <w:t xml:space="preserve"> </w:t>
      </w:r>
      <w:r>
        <w:t xml:space="preserve">bằng cách đảm bảo rằng các can thiệp chính sách xây dựng năng lực trước khi thúc đẩy mở rộng thị trường.</w:t>
      </w:r>
    </w:p>
    <w:bookmarkEnd w:id="184"/>
    <w:bookmarkStart w:id="185" w:name="Xae585b9a1c03e57dcce9cad1f8f2ae171a592a6"/>
    <w:p>
      <w:pPr>
        <w:pStyle w:val="Heading3"/>
      </w:pPr>
      <w:r>
        <w:t xml:space="preserve">5.4.4 Hàm ý chính sách trong bối cảnh phát triển đương đại</w:t>
      </w:r>
    </w:p>
    <w:p>
      <w:pPr>
        <w:pStyle w:val="FirstParagraph"/>
      </w:pPr>
      <w:r>
        <w:t xml:space="preserve">Đặt các đề xuất trên vào bối cảnh phát triển vĩ mô gần nhất làm rõ tính cấp bách và phạm vi áp dụng của chúng. Thách thức việc làm là điểm khởi đầu: với hơn 230 triệu người dự kiến bước vào tuổi lao động ở các thị trường biên giai đoạn 2025–2035, năng lực tạo việc làm năng suất cao của khu vực doanh nghiệp trở thành ưu tiên phát triển hàng đầu (World Bank, 2026c). Phát hiện của luận án rằng quốc tế hóa chỉ tạo phần thưởng năng suất khi đi kèm năng lực công nghệ và đệm thể chế đủ mạnh hàm ý rằng chương trình nghị sự việc làm cần đặt nâng cấp năng lực doanh nghiệp làm trụ cột, thay vì chỉ theo đuổi mở rộng thương mại như mục tiêu tự thân.</w:t>
      </w:r>
    </w:p>
    <w:p>
      <w:pPr>
        <w:pStyle w:val="BodyText"/>
      </w:pPr>
      <w:r>
        <w:t xml:space="preserve">Thứ hai, bằng chứng vĩ mô cho thấy không tồn tại một con đường phát triển phổ quát: các nền kinh tế biên thành công đã đi những lối khác nhau, từ đầu tư năng lượng và khoáng sản, đến chế tạo giá trị gia tăng, đến dịch vụ và du lịch (World Bank, 2026c). Điều này củng cố nguyên tắc chính sách phái sinh từ khung ICRV: gói can thiệp phải được hiệu chỉnh theo chế độ thể chế và mô hình tăng trưởng đặc thù của từng nhóm, thay vì áp dụng một công thức chung. Với Việt Nam (Nhóm IV), con đường chế tạo giá trị gia tăng và dịch chuyển lên chuỗi giá trị là phù hợp với cả bằng chứng cấp doanh nghiệp của luận án lẫn kinh nghiệm của các thị trường biên thành công.</w:t>
      </w:r>
    </w:p>
    <w:p>
      <w:pPr>
        <w:pStyle w:val="BodyText"/>
      </w:pPr>
      <w:r>
        <w:t xml:space="preserve">Thứ ba, đối với các nền kinh tế tài nguyên dẫn dắt (Nhóm II), cú sốc giá hàng hóa năm 2026 vừa là cơ hội thu nhập ngắn hạn vừa là lời nhắc về rủi ro phụ thuộc tài nguyên (World Bank, 2026d). Hàm ý chính sách là tận dụng thặng dư tô lợi giai đoạn giá cao để đầu tư vào đa dạng hóa năng lực công nghệ và phi tài nguyên, đúng như chiến lược Vision của các nền GCC, thay vì củng cố cấu trúc nhà nước tô vốn san bằng động lực năng suất doanh nghiệp.</w:t>
      </w:r>
    </w:p>
    <w:p>
      <w:pPr>
        <w:pStyle w:val="BodyText"/>
      </w:pPr>
      <w:r>
        <w:t xml:space="preserve">Thứ tư, trong kỷ nguyên trí tuệ nhân tạo, hạ tầng số công và quản trị dữ liệu trở thành điều kiện nền tảng để năng lực số cấp doanh nghiệp được chuyển hóa thành giá trị (World Bank, 2026e). Phát hiện của luận án rằng phần thưởng của áp dụng số phụ thuộc bối cảnh thể chế và tầng năng lực hàm ý rằng chính sách số hóa cần phân tầng: ở các nền đang chuyển đổi, ưu tiên là phổ cập hạ tầng số nền tảng và kỹ năng số cơ bản; ở các nền tiên tiến đã bão hòa Tier-1, trọng tâm dịch sang năng lực số chiều sâu và quản trị dữ liệu, AI. Cách tiếp cận phân tầng này tránh được cả hai sai lầm: đầu tư quá sớm vào công nghệ cao ở nơi chưa có nền tảng hấp thụ, và dừng lại ở hiện diện số bề mặt ở nơi đã sẵn sàng cho tầng năng lực cao hơn.</w:t>
      </w:r>
    </w:p>
    <w:bookmarkEnd w:id="185"/>
    <w:bookmarkEnd w:id="186"/>
    <w:bookmarkStart w:id="191" w:name="hạn-chế-và-hướng-nghiên-cứu-tương-lai"/>
    <w:p>
      <w:pPr>
        <w:pStyle w:val="Heading2"/>
      </w:pPr>
      <w:r>
        <w:t xml:space="preserve">5.5 Hạn chế và hướng nghiên cứu tương lai</w:t>
      </w:r>
    </w:p>
    <w:bookmarkStart w:id="187" w:name="hạn-chế-về-đo-lường-dai"/>
    <w:p>
      <w:pPr>
        <w:pStyle w:val="Heading3"/>
      </w:pPr>
      <w:r>
        <w:t xml:space="preserve">5.5.1 Hạn chế về đo lường DAI</w:t>
      </w:r>
    </w:p>
    <w:p>
      <w:pPr>
        <w:pStyle w:val="FirstParagraph"/>
      </w:pPr>
      <w:r>
        <w:t xml:space="preserve">Hạn chế quan trọng nhất của luận án liên quan đến đo lường DAI. Dữ liệu WBES chỉ cung cấp số lượng item hạn chế để xây dựng chỉ số DAI, và các item này thay đổi qua các thế hệ schema WBES (PICS3, Standardized, BREADY/BEE). Tại Việt Nam (P3), chỉ Tier-1 DAI (website, email, online sales) được sử dụng do hạn chế của các làn sóng 2009 và 2015, trong khi Tier-2 (e-payment, e-supplier) chỉ có từ 2023. Điều này tạo ra khả năng đo lường không đầy đủ, đặc biệt là không nắm bắt được chiều sâu năng lực số ở bối cảnh ICRV thấp.</w:t>
      </w:r>
    </w:p>
    <w:p>
      <w:pPr>
        <w:pStyle w:val="BodyText"/>
      </w:pPr>
      <w:r>
        <w:t xml:space="preserve">Quan trọng hơn, tất cả các đo lường DAI đều là</w:t>
      </w:r>
      <w:r>
        <w:t xml:space="preserve"> </w:t>
      </w:r>
      <w:r>
        <w:rPr>
          <w:bCs/>
          <w:b/>
        </w:rPr>
        <w:t xml:space="preserve">static</w:t>
      </w:r>
      <w:r>
        <w:t xml:space="preserve"> </w:t>
      </w:r>
      <w:r>
        <w:t xml:space="preserve">(tại một thời điểm khảo sát), không thể nắm bắt tính</w:t>
      </w:r>
      <w:r>
        <w:t xml:space="preserve"> </w:t>
      </w:r>
      <w:r>
        <w:t xml:space="preserve">“</w:t>
      </w:r>
      <w:r>
        <w:t xml:space="preserve">dynamic</w:t>
      </w:r>
      <w:r>
        <w:t xml:space="preserve">”</w:t>
      </w:r>
      <w:r>
        <w:t xml:space="preserve"> </w:t>
      </w:r>
      <w:r>
        <w:t xml:space="preserve">của việc cập nhật và tái cấu hình năng lực số theo thời gian. Điều này có nghĩa là các phát hiện về DAI trong luận án phản ánh mức độ chấp nhận số tại một thời điểm chứ không phải năng lực số năng động theo nghĩa của dynamic capabilities theory (Teece et al., 1997).</w:t>
      </w:r>
    </w:p>
    <w:bookmarkEnd w:id="187"/>
    <w:bookmarkStart w:id="188" w:name="X0fb0169567c230dc5c1d35515099b26124d99e1"/>
    <w:p>
      <w:pPr>
        <w:pStyle w:val="Heading3"/>
      </w:pPr>
      <w:r>
        <w:t xml:space="preserve">5.5.2 Hạn chế về selection bias trong exporters subsamples</w:t>
      </w:r>
    </w:p>
    <w:p>
      <w:pPr>
        <w:pStyle w:val="FirstParagraph"/>
      </w:pPr>
      <w:r>
        <w:t xml:space="preserve">Các phân tích sử dụng mẫu chỉ gồm doanh nghiệp xuất khẩu (ví dụ: Singapore mẫu phụ xuất khẩu N = 84, SIDS exporters-only N = 26) đối mặt với rủi ro selection bias nghiêm trọng: doanh nghiệp xuất khẩu không phải là mẫu ngẫu nhiên từ tổng thể doanh nghiệp mà có khả năng là các doanh nghiệp đã có một số lợi thế ban đầu (productivity, resources, connections). Kết quả từ exporters-only không thể tổng quát hóa trực tiếp cho toàn bộ doanh nghiệp, và có thể understate hoặc overstate các hiệu ứng tùy thuộc vào phương hướng của selection.</w:t>
      </w:r>
    </w:p>
    <w:p>
      <w:pPr>
        <w:pStyle w:val="BodyText"/>
      </w:pPr>
      <w:r>
        <w:t xml:space="preserve">Phân tích Heckman two-step (hoặc treatment effects models) trong các nghiên cứu tương lai có thể khắc phục phần nào hạn chế này bằng cách mô hình hóa quá trình lựa chọn tham gia xuất khẩu như giai đoạn thứ nhất trước khi ước lượng hiệu quả trong giai đoạn thứ hai.</w:t>
      </w:r>
    </w:p>
    <w:bookmarkEnd w:id="188"/>
    <w:bookmarkStart w:id="189" w:name="hạn-chế-về-nhân-quả"/>
    <w:p>
      <w:pPr>
        <w:pStyle w:val="Heading3"/>
      </w:pPr>
      <w:r>
        <w:t xml:space="preserve">5.5.3 Hạn chế về nhân quả</w:t>
      </w:r>
    </w:p>
    <w:p>
      <w:pPr>
        <w:pStyle w:val="FirstParagraph"/>
      </w:pPr>
      <w:r>
        <w:t xml:space="preserve">Thiết kế cross-sectional (hoặc pooled panel nhưng với WBES không phải là panel thực sự cho cùng doanh nghiệp qua thời gian) giới hạn khả năng suy luận nhân quả. Quan hệ I–P có thể bị ảnh hưởng bởi reverse causality: doanh nghiệp hiệu quả hơn có thể có nhiều nguồn lực để quốc tế hóa hơn, tạo ra chiều nhân quả ngược lại. Country fixed effects và year fixed effects giúp kiểm soát một phần, nhưng không giải quyết hoàn toàn vấn đề endogeneity.</w:t>
      </w:r>
    </w:p>
    <w:bookmarkEnd w:id="189"/>
    <w:bookmarkStart w:id="190" w:name="hướng-nghiên-cứu-tương-lai"/>
    <w:p>
      <w:pPr>
        <w:pStyle w:val="Heading3"/>
      </w:pPr>
      <w:r>
        <w:t xml:space="preserve">5.5.4 Hướng nghiên cứu tương lai</w:t>
      </w:r>
    </w:p>
    <w:p>
      <w:pPr>
        <w:pStyle w:val="FirstParagraph"/>
      </w:pPr>
      <w:r>
        <w:t xml:space="preserve">Dựa trên các hạn chế trên, luận án đề xuất bốn hướng nghiên cứu ưu tiên:</w:t>
      </w:r>
    </w:p>
    <w:p>
      <w:pPr>
        <w:pStyle w:val="BodyText"/>
      </w:pPr>
      <w:r>
        <w:rPr>
          <w:bCs/>
          <w:b/>
        </w:rPr>
        <w:t xml:space="preserve">Thứ nhất</w:t>
      </w:r>
      <w:r>
        <w:t xml:space="preserve">, xây dựng đo lường DAI phong phú hơn (Tier-2 và Tier-3) trên dữ liệu WBES mới nhất (2023–2026) và các nguồn dữ liệu bổ sung (ITU Digital Development Index, OECD Digital Economy Outlook) để kiểm định lại vai trò DAI trong các bối cảnh ICRV thấp hơn.</w:t>
      </w:r>
    </w:p>
    <w:p>
      <w:pPr>
        <w:pStyle w:val="BodyText"/>
      </w:pPr>
      <w:r>
        <w:rPr>
          <w:bCs/>
          <w:b/>
        </w:rPr>
        <w:t xml:space="preserve">Thứ hai</w:t>
      </w:r>
      <w:r>
        <w:t xml:space="preserve">, sử dụng phương pháp nhận dạng nhân quả (causal identification): instrumental variables (ví dụ: sử dụng các cải cách thương mại ngoại sinh như FTA ký kết), difference-in-differences, hoặc regression discontinuity design để ước lượng hiệu ứng nhân quả của quốc tế hóa lên hiệu quả.</w:t>
      </w:r>
    </w:p>
    <w:p>
      <w:pPr>
        <w:pStyle w:val="BodyText"/>
      </w:pPr>
      <w:r>
        <w:rPr>
          <w:bCs/>
          <w:b/>
        </w:rPr>
        <w:t xml:space="preserve">Thứ ba</w:t>
      </w:r>
      <w:r>
        <w:t xml:space="preserve">, mở rộng phân tích FIP tại SIDS với các công cụ đo lường và dữ liệu panel thực sự (theo dõi cùng doanh nghiệp qua nhiều năm) để kiểm định liệu FIP là trạng thái cấu trúc dài hạn hay chỉ là giai đoạn tạm thời khi doanh nghiệp SIDS mới bắt đầu xuất khẩu.</w:t>
      </w:r>
    </w:p>
    <w:p>
      <w:pPr>
        <w:pStyle w:val="BodyText"/>
      </w:pPr>
      <w:r>
        <w:rPr>
          <w:bCs/>
          <w:b/>
        </w:rPr>
        <w:t xml:space="preserve">Thứ tư</w:t>
      </w:r>
      <w:r>
        <w:t xml:space="preserve">, kiểm định vai trò của top manager characteristics (H4, kinh nghiệm, giới tính) trong từng bối cảnh ICRV riêng biệt, đặc biệt trong bối cảnh Emerging và SIDS nơi tầng năng lực và thể chế yếu hơn, liệu đặc điểm nhà quản trị có thể bù đắp một phần cho những thiếu hụt đó không?</w:t>
      </w:r>
    </w:p>
    <w:p>
      <w:pPr>
        <w:pStyle w:val="BodyText"/>
      </w:pPr>
      <w:r>
        <w:rPr>
          <w:bCs/>
          <w:b/>
        </w:rPr>
        <w:t xml:space="preserve">Thứ năm</w:t>
      </w:r>
      <w:r>
        <w:t xml:space="preserve">, khai thác sâu hơn Nhật Bản, nền kinh tế tiên tiến lớn lần đầu được WBES khảo sát năm 2025. Bước đầu tiên đã được thực hiện trong nghiên cứu thành phần P10: trên đợt khảo sát khai mở (N = 2.168), quan hệ I–P tại Nhật gần tuyến tính dương, không có điểm uốn trong miền quan sát, xác nhận dự đoán biên trên của khung ICRV; các bước tiếp theo gồm tích hợp Nhật Bản vào các mô hình điều tiết ba chiều và khai thác các module đặc thù (trường thọ doanh nghiệp, khoảng cách giới trong lãnh đạo) khi có thêm đợt khảo sát thứ hai.</w:t>
      </w:r>
    </w:p>
    <w:p>
      <w:r>
        <w:pict>
          <v:rect style="width:0;height:1.5pt" o:hralign="center" o:hrstd="t" o:hr="t"/>
        </w:pict>
      </w:r>
    </w:p>
    <w:bookmarkEnd w:id="190"/>
    <w:bookmarkEnd w:id="191"/>
    <w:bookmarkStart w:id="196" w:name="kết-luận"/>
    <w:p>
      <w:pPr>
        <w:pStyle w:val="Heading2"/>
      </w:pPr>
      <w:r>
        <w:t xml:space="preserve">5.6 Kết luận</w:t>
      </w:r>
    </w:p>
    <w:bookmarkStart w:id="192" w:name="tổng-kết-chín-nghiên-cứu"/>
    <w:p>
      <w:pPr>
        <w:pStyle w:val="Heading3"/>
      </w:pPr>
      <w:r>
        <w:t xml:space="preserve">5.6.1 Tổng kết chín nghiên cứu</w:t>
      </w:r>
    </w:p>
    <w:p>
      <w:pPr>
        <w:pStyle w:val="FirstParagraph"/>
      </w:pPr>
      <w:r>
        <w:t xml:space="preserve">Luận án này được xây dựng trên chín nghiên cứu bổ sung cho nhau, kết hợp bằng chứng từ meta-analysis và phân tích thực nghiệm sơ cấp:</w:t>
      </w:r>
    </w:p>
    <w:p>
      <w:pPr>
        <w:numPr>
          <w:ilvl w:val="0"/>
          <w:numId w:val="1017"/>
        </w:numPr>
      </w:pPr>
      <w:r>
        <w:rPr>
          <w:bCs/>
          <w:b/>
        </w:rPr>
        <w:t xml:space="preserve">P1 và P2</w:t>
      </w:r>
      <w:r>
        <w:t xml:space="preserve"> </w:t>
      </w:r>
      <w:r>
        <w:t xml:space="preserve">(đã công bố tại ICBEF 2024): thiết lập baseline meta-analytic với</w:t>
      </w:r>
      <w:r>
        <w:t xml:space="preserve"> </w:t>
      </w:r>
      <m:oMath>
        <m:r>
          <m:t>k</m:t>
        </m:r>
        <m:r>
          <m:rPr>
            <m:sty m:val="p"/>
          </m:rPr>
          <m:t>=</m:t>
        </m:r>
        <m:r>
          <m:t>113</m:t>
        </m:r>
      </m:oMath>
      <w:r>
        <w:t xml:space="preserve">,</w:t>
      </w:r>
      <w:r>
        <w:t xml:space="preserve"> </w:t>
      </w:r>
      <m:oMath>
        <m:r>
          <m:t>r</m:t>
        </m:r>
        <m:r>
          <m:rPr>
            <m:sty m:val="p"/>
          </m:rPr>
          <m:t>=</m:t>
        </m:r>
        <m:r>
          <m:t>0</m:t>
        </m:r>
        <m:r>
          <m:rPr>
            <m:sty m:val="p"/>
          </m:rPr>
          <m:t>,</m:t>
        </m:r>
        <m:r>
          <m:t>07</m:t>
        </m:r>
      </m:oMath>
      <w:r>
        <w:t xml:space="preserve">, xác nhận tác động dương nhỏ nhưng có ý nghĩa, và đặt nền cho khung CDCM.</w:t>
      </w:r>
    </w:p>
    <w:p>
      <w:pPr>
        <w:numPr>
          <w:ilvl w:val="0"/>
          <w:numId w:val="1017"/>
        </w:numPr>
      </w:pPr>
      <w:r>
        <w:rPr>
          <w:bCs/>
          <w:b/>
        </w:rPr>
        <w:t xml:space="preserve">P3</w:t>
      </w:r>
      <w:r>
        <w:t xml:space="preserve">: phân tích Việt Nam (Lower-mid Transition), xác nhận chữ U ngược với TP = 39,3–46,2%, TCI là biến điều tiết dương có ý nghĩa.</w:t>
      </w:r>
    </w:p>
    <w:p>
      <w:pPr>
        <w:numPr>
          <w:ilvl w:val="0"/>
          <w:numId w:val="1017"/>
        </w:numPr>
      </w:pPr>
      <w:r>
        <w:rPr>
          <w:bCs/>
          <w:b/>
        </w:rPr>
        <w:t xml:space="preserve">P4</w:t>
      </w:r>
      <w:r>
        <w:t xml:space="preserve">: phân tích Singapore (Advanced Innovation), xác nhận chữ U ngược với TP ≈ 88,6% (rộng CI), DAI khuếch đại tại mức FSTS cao.</w:t>
      </w:r>
    </w:p>
    <w:p>
      <w:pPr>
        <w:numPr>
          <w:ilvl w:val="0"/>
          <w:numId w:val="1017"/>
        </w:numPr>
      </w:pPr>
      <w:r>
        <w:rPr>
          <w:bCs/>
          <w:b/>
        </w:rPr>
        <w:t xml:space="preserve">P5</w:t>
      </w:r>
      <w:r>
        <w:t xml:space="preserve">: phân tích Trung Quốc 2012–2024 (Upper-middle), xác nhận chữ U ngược ổn định theo thời gian (TP ≈ 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17"/>
        </w:numPr>
      </w:pPr>
      <w:r>
        <w:rPr>
          <w:bCs/>
          <w:b/>
        </w:rPr>
        <w:t xml:space="preserve">P6</w:t>
      </w:r>
      <w:r>
        <w:t xml:space="preserve">: meta-analysis ba tầng mở rộng</w:t>
      </w:r>
      <w:r>
        <w:t xml:space="preserve"> </w:t>
      </w:r>
      <m:oMath>
        <m:r>
          <m:t>k</m:t>
        </m:r>
        <m:r>
          <m:rPr>
            <m:sty m:val="p"/>
          </m:rPr>
          <m:t>=</m:t>
        </m:r>
        <m:r>
          <m:t>238</m:t>
        </m:r>
      </m:oMath>
      <w:r>
        <w:t xml:space="preserve">,</w:t>
      </w:r>
      <w:r>
        <w:t xml:space="preserve"> </w:t>
      </w:r>
      <m:oMath>
        <m:r>
          <m:t>r</m:t>
        </m:r>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tầng 2 + 8,4% tầng 3), ICRV moderation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17"/>
        </w:numPr>
      </w:pPr>
      <w:r>
        <w:rPr>
          <w:bCs/>
          <w:b/>
        </w:rPr>
        <w:t xml:space="preserve">P7</w:t>
      </w:r>
      <w:r>
        <w:t xml:space="preserve">: kiểm định toàn mẫu châu Á và Thái Bình Dương trên khung 50 nền,</w:t>
      </w:r>
      <w:r>
        <w:t xml:space="preserve"> </w:t>
      </w:r>
      <m:oMath>
        <m:r>
          <m:t>N</m:t>
        </m:r>
        <m:r>
          <m:rPr>
            <m:sty m:val="p"/>
          </m:rPr>
          <m:t>=</m:t>
        </m:r>
        <m:r>
          <m:t>81.022</m:t>
        </m:r>
      </m:oMath>
      <w:r>
        <w:t xml:space="preserve"> </w:t>
      </w:r>
      <w:r>
        <w:t xml:space="preserve">(M2) /</w:t>
      </w:r>
      <w:r>
        <w:t xml:space="preserve"> </w:t>
      </w:r>
      <m:oMath>
        <m:r>
          <m:t>N</m:t>
        </m:r>
        <m:r>
          <m:rPr>
            <m:sty m:val="p"/>
          </m:rPr>
          <m:t>=</m:t>
        </m:r>
        <m:r>
          <m:t>79.080</m:t>
        </m:r>
      </m:oMath>
      <w:r>
        <w:t xml:space="preserve"> </w:t>
      </w:r>
      <w:r>
        <w:t xml:space="preserve">(M5 với kiểm soát đầy đủ), điểm uốn = 43,6–51,5% (headline M5 = 43,6%,</w:t>
      </w:r>
      <w:r>
        <w:t xml:space="preserve"> </w:t>
      </w:r>
      <m:oMath>
        <m:sSub>
          <m:e>
            <m:r>
              <m:t>p</m:t>
            </m:r>
          </m:e>
          <m:sub>
            <m:r>
              <m:rPr>
                <m:nor/>
                <m:sty m:val="p"/>
              </m:rPr>
              <m:t>LM</m:t>
            </m:r>
          </m:sub>
        </m:sSub>
        <m:r>
          <m:rPr>
            <m:sty m:val="p"/>
          </m:rPr>
          <m:t>&lt;</m:t>
        </m:r>
        <m:r>
          <m:rPr>
            <m:sty m:val="p"/>
          </m:rPr>
          <m:t>,</m:t>
        </m:r>
        <m:r>
          <m:t>001</m:t>
        </m:r>
      </m:oMath>
      <w:r>
        <w:t xml:space="preserve">); chữ U ngược định hình rõ nhất ở Nhóm IV (43,0%,</w:t>
      </w:r>
      <w:r>
        <w:t xml:space="preserve"> </w:t>
      </w:r>
      <m:oMath>
        <m:sSub>
          <m:e>
            <m:r>
              <m:t>p</m:t>
            </m:r>
          </m:e>
          <m:sub>
            <m:r>
              <m:rPr>
                <m:nor/>
                <m:sty m:val="p"/>
              </m:rPr>
              <m:t>LM</m:t>
            </m:r>
          </m:sub>
        </m:sSub>
        <m:r>
          <m:rPr>
            <m:sty m:val="p"/>
          </m:rPr>
          <m:t>&lt;</m:t>
        </m:r>
        <m:r>
          <m:rPr>
            <m:sty m:val="p"/>
          </m:rPr>
          <m:t>,</m:t>
        </m:r>
        <m:r>
          <m:t>001</m:t>
        </m:r>
      </m:oMath>
      <w:r>
        <w:t xml:space="preserve">), gần tuyến tính ở Nhóm I, tan rã ở Nhóm V–VI; TCI nâng mặt bằng (+0,141,</w:t>
      </w:r>
      <w:r>
        <w:t xml:space="preserve"> </w:t>
      </w:r>
      <m:oMath>
        <m:r>
          <m:t>p</m:t>
        </m:r>
        <m:r>
          <m:rPr>
            <m:sty m:val="p"/>
          </m:rPr>
          <m:t>&lt;</m:t>
        </m:r>
        <m:r>
          <m:rPr>
            <m:sty m:val="p"/>
          </m:rPr>
          <m:t>,</m:t>
        </m:r>
        <m:r>
          <m:t>001</m:t>
        </m:r>
      </m:oMath>
      <w:r>
        <w:t xml:space="preserve">), DAI nâng mặt bằng (+0,201,</w:t>
      </w:r>
      <w:r>
        <w:t xml:space="preserve"> </w:t>
      </w:r>
      <m:oMath>
        <m:r>
          <m:t>p</m:t>
        </m:r>
        <m:r>
          <m:rPr>
            <m:sty m:val="p"/>
          </m:rPr>
          <m:t>&lt;</m:t>
        </m:r>
        <m:r>
          <m:rPr>
            <m:sty m:val="p"/>
          </m:rPr>
          <m:t>,</m:t>
        </m:r>
        <m:r>
          <m:t>001</m:t>
        </m:r>
      </m:oMath>
      <w:r>
        <w:t xml:space="preserve">) với tương tác đường cong cùng chiều nhưng không ý nghĩa toàn mẫu.</w:t>
      </w:r>
    </w:p>
    <w:p>
      <w:pPr>
        <w:numPr>
          <w:ilvl w:val="0"/>
          <w:numId w:val="1017"/>
        </w:numPr>
      </w:pPr>
      <w:r>
        <w:rPr>
          <w:bCs/>
          <w:b/>
        </w:rPr>
        <w:t xml:space="preserve">P8</w:t>
      </w:r>
      <w:r>
        <w:t xml:space="preserve">: phân tích bảy nền kinh tế đảo nhỏ đang phát triển Thái Bình Dương (Pacific SIDS),</w:t>
      </w:r>
      <w:r>
        <w:t xml:space="preserve"> </w:t>
      </w:r>
      <m:oMath>
        <m:r>
          <m:t>N</m:t>
        </m:r>
        <m:r>
          <m:rPr>
            <m:sty m:val="p"/>
          </m:rPr>
          <m:t>=</m:t>
        </m:r>
        <m:r>
          <m:t>959</m:t>
        </m:r>
      </m:oMath>
      <w:r>
        <w:t xml:space="preserve">,</w:t>
      </w:r>
      <w:r>
        <w:t xml:space="preserve"> </w:t>
      </w:r>
      <m:oMath>
        <m:r>
          <m:t>β</m:t>
        </m:r>
        <m:d>
          <m:dPr>
            <m:begChr m:val="("/>
            <m:endChr m:val=")"/>
            <m:sepChr m:val=""/>
            <m:grow/>
          </m:dPr>
          <m:e>
            <m:sSub>
              <m:e>
                <m:r>
                  <m:rPr>
                    <m:nor/>
                    <m:sty m:val="p"/>
                  </m:rPr>
                  <m:t>FSTS</m:t>
                </m:r>
              </m:e>
              <m:sub>
                <m:r>
                  <m:t>c</m:t>
                </m:r>
              </m:sub>
            </m:sSub>
          </m:e>
        </m:d>
        <m:r>
          <m:rPr>
            <m:sty m:val="p"/>
          </m:rPr>
          <m:t>=</m:t>
        </m:r>
        <m:r>
          <m:rPr>
            <m:sty m:val="p"/>
          </m:rPr>
          <m:t>−</m:t>
        </m:r>
        <m:r>
          <m:t>1</m:t>
        </m:r>
        <m:r>
          <m:rPr>
            <m:sty m:val="p"/>
          </m:rPr>
          <m:t>,</m:t>
        </m:r>
        <m:sSup>
          <m:e>
            <m:r>
              <m:t>339</m:t>
            </m:r>
          </m:e>
          <m:sup>
            <m:r>
              <m:rPr>
                <m:sty m:val="p"/>
              </m:rPr>
              <m:t>*</m:t>
            </m:r>
            <m:r>
              <m:rPr>
                <m:sty m:val="p"/>
              </m:rPr>
              <m:t>*</m:t>
            </m:r>
            <m:r>
              <m:rPr>
                <m:sty m:val="p"/>
              </m:rPr>
              <m:t>*</m:t>
            </m:r>
          </m:sup>
        </m:sSup>
      </m:oMath>
      <w:r>
        <w:t xml:space="preserve">, FIP xác nhận, quan hệ âm đơn điệu không có điểm uốn.</w:t>
      </w:r>
    </w:p>
    <w:p>
      <w:pPr>
        <w:numPr>
          <w:ilvl w:val="0"/>
          <w:numId w:val="1017"/>
        </w:numPr>
      </w:pPr>
      <w:r>
        <w:rPr>
          <w:bCs/>
          <w:b/>
        </w:rPr>
        <w:t xml:space="preserve">P9</w:t>
      </w:r>
      <w:r>
        <w:t xml:space="preserve">: phân tích Ấn Độ qua ba đợt WBES 2014–2025 (~29.000 doanh nghiệp), kiểm định độ bền ngưỡng I–P qua thập kỷ chuyển đổi thể chế. Phát hiện sự</w:t>
      </w:r>
      <w:r>
        <w:t xml:space="preserve"> </w:t>
      </w:r>
      <w:r>
        <w:rPr>
          <w:iCs/>
          <w:i/>
        </w:rPr>
        <w:t xml:space="preserve">tan biến</w:t>
      </w:r>
      <w:r>
        <w:t xml:space="preserve"> </w:t>
      </w:r>
      <w:r>
        <w:t xml:space="preserve">điểm uốn chữ U ngược: TP = 61,8% (2014) rồi 40,7% (2022) rồi mất ý nghĩa độ cong (2025: β₂ = −0,16, p = ,42), kèm tương tác DAI Tier-2 (UPI) âm, bằng chứng đầu tiên rằng chuyển đổi thể chế cực mạnh có thể hòa tan (chứ không chỉ dịch chuyển) ngưỡng. Đích MIR/IJOEM; kế thừa công trình tiền đề Do &amp; Phan (2025, IntechOpen).</w:t>
      </w:r>
    </w:p>
    <w:bookmarkEnd w:id="192"/>
    <w:bookmarkStart w:id="193"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Không có một mức độ quốc tế hóa tối ưu duy nhất, điểm uốn phụ thuộc vào thể chế, và trong điều kiện thể chế cực yếu, quốc tế hóa có thể gây ra bất lợi hiệu quả thay vì lợi ích.</w:t>
      </w:r>
      <w:r>
        <w:rPr>
          <w:bCs/>
          <w:b/>
        </w:rPr>
        <w:t xml:space="preserve">”</w:t>
      </w:r>
    </w:p>
    <w:p>
      <w:pPr>
        <w:pStyle w:val="FirstParagraph"/>
      </w:pPr>
      <w:r>
        <w:t xml:space="preserve">Bằng chứng từ 238 nghiên cứu (P6 meta-analysis) và 81.022 doanh nghiệp tại 50 nền kinh tế châu Á và Thái Bình Dương (P7) đều chỉ đến kết luận này. Quan hệ I–P không phải là một đường cong phổ quát mà là một</w:t>
      </w:r>
      <w:r>
        <w:t xml:space="preserve"> </w:t>
      </w:r>
      <w:r>
        <w:rPr>
          <w:bCs/>
          <w:b/>
        </w:rPr>
        <w:t xml:space="preserve">họ đường cong phụ thuộc bối cảnh</w:t>
      </w:r>
      <w:r>
        <w:t xml:space="preserve"> </w:t>
      </w:r>
      <w:r>
        <w:t xml:space="preserve">(family of context-dependent curves): chữ U ngược định hình ở vùng giữa gradient thể chế, duỗi thẳng ở biên trên và tan rã ở biên dưới, thể chế càng mạnh, điểm uốn càng sớm (FSTS thấp hơn).</w:t>
      </w:r>
    </w:p>
    <w:bookmarkEnd w:id="193"/>
    <w:bookmarkStart w:id="194"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(i) meta-analytic văn liệu về I–P bằng cách phân tách cấu trúc dị biệt và xác định ICRV như biến điều tiết có ý nghĩa; (ii) văn liệu về digital capability bằng cách làm rõ DAI là situational resource chứ không phải foundational capability; và (iii) văn liệu về internationalization và SIDS bằng cách đặt tên và cung cấp bằng chứng đầu tiên cho FIP.</w:t>
      </w:r>
    </w:p>
    <w:p>
      <w:pPr>
        <w:pStyle w:val="BodyText"/>
      </w:pPr>
      <w:r>
        <w:t xml:space="preserve">Về thực tiễn, luận án cung cấp cơ sở để nhà hoạch định chính sách và nhà quản trị doanh nghiệp tại từng bối cảnh ICRV cụ thể hiệu chỉnh chiến lược quốc tế hóa phù hợp, không áp dụng máy móc bài học từ Singapore hay Nhật Bản vào bối cảnh Việt Nam hay SIDS, mà nhận ra sự phụ thuộc bối cảnh như là nguyên lý căn bản trong hoạch định chiến lược quốc tế hóa.</w:t>
      </w:r>
    </w:p>
    <w:bookmarkEnd w:id="194"/>
    <w:bookmarkStart w:id="195" w:name="lời-kết"/>
    <w:p>
      <w:pPr>
        <w:pStyle w:val="Heading3"/>
      </w:pPr>
      <w:r>
        <w:t xml:space="preserve">5.6.4 Lời kết</w:t>
      </w:r>
    </w:p>
    <w:p>
      <w:pPr>
        <w:pStyle w:val="FirstParagraph"/>
      </w:pPr>
      <w:r>
        <w:t xml:space="preserve">Luận án này bắt đầu từ câu hỏi đơn giản: quốc tế hóa có cải thiện hiệu quả của doanh nghiệp không? Câu trả lời, sau chín nghiên cứu và phân tích trên hàng chục ngàn doanh nghiệp ở gần năm mươi nền kinh tế, là:</w:t>
      </w:r>
      <w:r>
        <w:t xml:space="preserve"> </w:t>
      </w:r>
      <w:r>
        <w:rPr>
          <w:bCs/>
          <w:b/>
        </w:rPr>
        <w:t xml:space="preserve">có, thường là như vậy, nhưng không phải lúc nào, và không phải ở mọi nơi</w:t>
      </w:r>
      <w:r>
        <w:t xml:space="preserve">. Giới hạn của lợi ích là có thực, phụ thuộc vào bối cảnh thể chế, và trong trường hợp SIDS, quốc tế hóa bắt buộc có thể gây ra thiệt hại. Hiểu biết này, rằng quan hệ I–P là quan hệ có điều kiện theo thể chế, không phải quan hệ phổ quát, là đóng góp cốt lõi mà luận án mang lại cho khoa học quản trị kinh doanh quốc tế.</w:t>
      </w:r>
    </w:p>
    <w:p>
      <w:r>
        <w:pict>
          <v:rect style="width:0;height:1.5pt" o:hralign="center" o:hrstd="t" o:hr="t"/>
        </w:pict>
      </w:r>
    </w:p>
    <w:p>
      <w:r>
        <w:br w:type="page"/>
      </w:r>
    </w:p>
    <w:bookmarkEnd w:id="195"/>
    <w:bookmarkEnd w:id="196"/>
    <w:bookmarkStart w:id="233" w:name="tài-liệu-tham-khảo-apa-7th"/>
    <w:p>
      <w:pPr>
        <w:pStyle w:val="Heading1"/>
      </w:pPr>
      <w:r>
        <w:t xml:space="preserve">Tài liệu tham khảo — APA 7th</w:t>
      </w:r>
    </w:p>
    <w:p>
      <w:pPr>
        <w:pStyle w:val="FirstParagraph"/>
      </w:pPr>
      <w:r>
        <w:t xml:space="preserve">Danh mục tham khảo cho luận án, sắp xếp theo thứ tự alphabet của tên tác giả đầu tiên theo chuẩn APA 7th. Những tham khảo này được dùng xuyên suốt bốn file</w:t>
      </w:r>
      <w:r>
        <w:t xml:space="preserve"> </w:t>
      </w:r>
      <w:r>
        <w:rPr>
          <w:rStyle w:val="VerbatimChar"/>
        </w:rPr>
        <w:t xml:space="preserve">00</w:t>
      </w:r>
      <w:r>
        <w:t xml:space="preserve">–</w:t>
      </w:r>
      <w:r>
        <w:rPr>
          <w:rStyle w:val="VerbatimChar"/>
        </w:rPr>
        <w:t xml:space="preserve">03</w:t>
      </w:r>
      <w:r>
        <w:t xml:space="preserve"> </w:t>
      </w:r>
      <w:r>
        <w:t xml:space="preserve">và bản thảo luận án.</w:t>
      </w:r>
    </w:p>
    <w:p>
      <w:pPr>
        <w:pStyle w:val="BlockText"/>
      </w:pPr>
      <w:r>
        <w:rPr>
          <w:bCs/>
          <w:b/>
        </w:rPr>
        <w:t xml:space="preserve">Phiên bản 2.0 (06/05/2026)</w:t>
      </w:r>
      <w:r>
        <w:t xml:space="preserve">: Bổ sung 11 entries học thuật mới (Section N) và 7 văn bản pháp lý Việt Nam (Section O).</w:t>
      </w:r>
    </w:p>
    <w:p>
      <w:pPr>
        <w:pStyle w:val="BlockText"/>
      </w:pPr>
      <w:r>
        <w:rPr>
          <w:bCs/>
          <w:b/>
        </w:rPr>
        <w:t xml:space="preserve">Phiên bản 2.1 (06/05/2026 — QW7)</w:t>
      </w:r>
      <w:r>
        <w:t xml:space="preserve">: Bổ sung 5 entries 2026 (IMF/ADB/WBES) và Kiribati/Tonga country profiles. Sửa</w:t>
      </w:r>
      <w:r>
        <w:t xml:space="preserve"> </w:t>
      </w:r>
      <w:r>
        <w:t xml:space="preserve">“</w:t>
      </w:r>
      <w:r>
        <w:t xml:space="preserve">World Bank (n.d.)</w:t>
      </w:r>
      <w:r>
        <w:t xml:space="preserve">”</w:t>
      </w:r>
      <w:r>
        <w:t xml:space="preserve"> </w:t>
      </w:r>
      <w:r>
        <w:t xml:space="preserve">→</w:t>
      </w:r>
      <w:r>
        <w:t xml:space="preserve"> </w:t>
      </w:r>
      <w:r>
        <w:t xml:space="preserve">“</w:t>
      </w:r>
      <w:r>
        <w:t xml:space="preserve">World Bank Enterprise Surveys (2025)</w:t>
      </w:r>
      <w:r>
        <w:t xml:space="preserve">”</w:t>
      </w:r>
      <w:r>
        <w:t xml:space="preserve"> </w:t>
      </w:r>
      <w:r>
        <w:t xml:space="preserve">theo APA 7th §8.31.</w:t>
      </w:r>
    </w:p>
    <w:p>
      <w:pPr>
        <w:pStyle w:val="BlockText"/>
      </w:pPr>
      <w:r>
        <w:rPr>
          <w:bCs/>
          <w:b/>
        </w:rPr>
        <w:t xml:space="preserve">Phiên bản 2.2 (06/05/2026 — Asia context synthesis)</w:t>
      </w:r>
      <w:r>
        <w:t xml:space="preserve">: Bổ sung 7 entries từ tổng hợp 4 nguồn ADB mới (ABM March 2026, Mongolia Critical Minerals May 2026, AEIR 2016 Highlights) và 3 academic AI-Asia studies (Babina et al. 2024, Wang/Huang/Hong 2024, Anil/Misra 2022). Phục vụ CĐ1 v3.2.</w:t>
      </w:r>
    </w:p>
    <w:p>
      <w:pPr>
        <w:pStyle w:val="BlockText"/>
      </w:pPr>
      <w:r>
        <w:rPr>
          <w:bCs/>
          <w:b/>
        </w:rPr>
        <w:t xml:space="preserve">Phiên bản 2.3 (07/05/2026 — Đợt 2 academic + Asia 2026 catch-up)</w:t>
      </w:r>
      <w:r>
        <w:t xml:space="preserve">: Bổ sung</w:t>
      </w:r>
      <w:r>
        <w:t xml:space="preserve"> </w:t>
      </w:r>
      <w:r>
        <w:rPr>
          <w:bCs/>
          <w:b/>
        </w:rPr>
        <w:t xml:space="preserve">9 entries</w:t>
      </w:r>
      <w:r>
        <w:t xml:space="preserve">: (i) 4 entries academic 2023-2025 từ Đợt 2 reading; (ii) 5 entries Asia 2026 catch-up.</w:t>
      </w:r>
    </w:p>
    <w:p>
      <w:pPr>
        <w:pStyle w:val="BlockText"/>
      </w:pPr>
      <w:r>
        <w:rPr>
          <w:bCs/>
          <w:b/>
        </w:rPr>
        <w:t xml:space="preserve">Phiên bản 2.4 (07/05/2026 — Citation audit APA 7th cho v3.4-v3.7)</w:t>
      </w:r>
      <w:r>
        <w:t xml:space="preserve">: Bổ sung</w:t>
      </w:r>
      <w:r>
        <w:t xml:space="preserve"> </w:t>
      </w:r>
      <w:r>
        <w:rPr>
          <w:bCs/>
          <w:b/>
        </w:rPr>
        <w:t xml:space="preserve">5 verified references</w:t>
      </w:r>
      <w:r>
        <w:t xml:space="preserve"> </w:t>
      </w:r>
      <w:r>
        <w:t xml:space="preserve">(Bello &amp; Kostova 2012 JIBS, Meyer et al. 2017 JIBS, Dunning 1988 JIBS, Williamson 2000 JEL, Aguinis Hill &amp; Bailey 2019 ORM, Malerba &amp; Orsenigo 1995 CJE). 3 audit warnings cho NCS fix.</w:t>
      </w:r>
    </w:p>
    <w:p>
      <w:pPr>
        <w:pStyle w:val="BlockText"/>
      </w:pPr>
      <w:r>
        <w:rPr>
          <w:bCs/>
          <w:b/>
        </w:rPr>
        <w:t xml:space="preserve">Phiên bản 2.6 (10/05/2026 — World Bank Data360 Atlas 2026 + G20 AI FinSupervision)</w:t>
      </w:r>
      <w:r>
        <w:t xml:space="preserve">: Bổ sung</w:t>
      </w:r>
      <w:r>
        <w:t xml:space="preserve"> </w:t>
      </w:r>
      <w:r>
        <w:rPr>
          <w:bCs/>
          <w:b/>
        </w:rPr>
        <w:t xml:space="preserve">Section P mới</w:t>
      </w:r>
      <w:r>
        <w:t xml:space="preserve"> </w:t>
      </w:r>
      <w:r>
        <w:t xml:space="preserve">(5 entries): (i) Pirlea &amp; Corso (2026) internet access digital divide; (ii) Mahler, Wang &amp; Weber (2026) AI inequality; (iii) Pirlea et al. (2026) Atlas of Global Development 2026; (iv) Agnolucci, Kenworthy &amp; Kose (2026) Middle East war → commodity markets; (v) Boeddu, Feyen et al. (2025) AI for Financial Sector Supervision (G20 report).</w:t>
      </w:r>
    </w:p>
    <w:p>
      <w:pPr>
        <w:pStyle w:val="BlockText"/>
      </w:pPr>
      <w:r>
        <w:rPr>
          <w:bCs/>
          <w:b/>
        </w:rPr>
        <w:t xml:space="preserve">Phiên bản 2.7 (10/05/2026 — Singapore innovation ecosystem 2025/2026)</w:t>
      </w:r>
      <w:r>
        <w:t xml:space="preserve">: Bổ sung</w:t>
      </w:r>
      <w:r>
        <w:t xml:space="preserve"> </w:t>
      </w:r>
      <w:r>
        <w:rPr>
          <w:bCs/>
          <w:b/>
        </w:rPr>
        <w:t xml:space="preserve">Section Q mới</w:t>
      </w:r>
      <w:r>
        <w:t xml:space="preserve"> </w:t>
      </w:r>
      <w:r>
        <w:t xml:space="preserve">(5 entries) phục vụ cập nhật §1.1 và §5.1 của P4 Singapore: (i) Enterprise Singapore (2025) SWITCH 2025; (ii) GovTech Singapore (2024) Digital Government Rankings; (iii) IMDA (2025) ATxSG 2025; (iv) StartupBlink (2025) Global Startup Ecosystem Index; (v) StartupBlink (2026) Innovators Business Environment Index.</w:t>
      </w:r>
    </w:p>
    <w:p>
      <w:pPr>
        <w:pStyle w:val="BlockText"/>
      </w:pPr>
      <w:r>
        <w:rPr>
          <w:bCs/>
          <w:b/>
        </w:rPr>
        <w:t xml:space="preserve">Phiên bản 2.8 (16/05/2026 — Data360 Global Progress Atlas + P8 in-text citations)</w:t>
      </w:r>
      <w:r>
        <w:t xml:space="preserve">: Bổ sung (i) Pirlea et al. (2026)</w:t>
      </w:r>
      <w:r>
        <w:t xml:space="preserve"> </w:t>
      </w:r>
      <w:r>
        <w:t xml:space="preserve">“</w:t>
      </w:r>
      <w:r>
        <w:t xml:space="preserve">Global Progress</w:t>
      </w:r>
      <w:r>
        <w:t xml:space="preserve">”</w:t>
      </w:r>
      <w:r>
        <w:t xml:space="preserve"> </w:t>
      </w:r>
      <w:r>
        <w:t xml:space="preserve">chapter-level entry với URL</w:t>
      </w:r>
      <w:r>
        <w:t xml:space="preserve"> </w:t>
      </w:r>
      <w:r>
        <w:rPr>
          <w:rStyle w:val="VerbatimChar"/>
        </w:rPr>
        <w:t xml:space="preserve">/global-progress</w:t>
      </w:r>
      <w:r>
        <w:t xml:space="preserve"> </w:t>
      </w:r>
      <w:r>
        <w:t xml:space="preserve">(Section P); (ii) in-text citations trong P8 §1 (SIDS development lag) và §3.2 (DAI null context — Mahler et al. 2026). Khatua et al. (2024) APA7 format corrected to advance online publication.</w:t>
      </w:r>
    </w:p>
    <w:p>
      <w:pPr>
        <w:pStyle w:val="BlockText"/>
      </w:pPr>
      <w:r>
        <w:rPr>
          <w:bCs/>
          <w:b/>
        </w:rPr>
        <w:t xml:space="preserve">Phiên bản 2.9 (16/05/2026 — WB Working Papers từ upload 11 PDFs)</w:t>
      </w:r>
      <w:r>
        <w:t xml:space="preserve">: Bổ sung</w:t>
      </w:r>
      <w:r>
        <w:t xml:space="preserve"> </w:t>
      </w:r>
      <w:r>
        <w:rPr>
          <w:bCs/>
          <w:b/>
        </w:rPr>
        <w:t xml:space="preserve">Section T mới</w:t>
      </w:r>
      <w:r>
        <w:t xml:space="preserve"> </w:t>
      </w:r>
      <w:r>
        <w:t xml:space="preserve">(5 entries) từ đánh giá 11 PDFs upload ngày 16/05/2026: (i) Agarwal, Barattieri &amp; Mattoo (2026) WPS11352 — Vietnam firm LP tăng theo export demand shock; (ii) Barattieri, Mattoo &amp; Signoret (2026) WPS11354 — Vietnam trade liberalization → +2.9%/yr productivity; (iii) Geginat &amp; Ramalho (2015) WPS7460 — electricity quality &amp; firm performance 183 countries (P8/CD1); (iv) Kim, Kumar, Ramalho &amp; Russell (2026) WPS11279 — institutional capacity framework for ICRV (CD2/thesis); (v) Mahler, Serajuddin, Wadhwa &amp; Yonzan (2026) WPS11350 — world slowest development pace 75 yrs, SIDS ≥100 yrs from standards (P8).</w:t>
      </w:r>
      <w:r>
        <w:t xml:space="preserve"> </w:t>
      </w:r>
      <w:r>
        <w:rPr>
          <w:bCs/>
          <w:b/>
        </w:rPr>
        <w:t xml:space="preserve">Disambiguation</w:t>
      </w:r>
      <w:r>
        <w:t xml:space="preserve">:</w:t>
      </w:r>
      <w:r>
        <w:t xml:space="preserve"> </w:t>
      </w:r>
      <w:r>
        <w:t xml:space="preserve">“</w:t>
      </w:r>
      <w:r>
        <w:t xml:space="preserve">Mahler, Serajuddin, Wadhwa &amp; Yonzan (2026)</w:t>
      </w:r>
      <w:r>
        <w:t xml:space="preserve">”</w:t>
      </w:r>
      <w:r>
        <w:t xml:space="preserve"> </w:t>
      </w:r>
      <w:r>
        <w:t xml:space="preserve">= WPS11350 ≠</w:t>
      </w:r>
      <w:r>
        <w:t xml:space="preserve"> </w:t>
      </w:r>
      <w:r>
        <w:t xml:space="preserve">“</w:t>
      </w:r>
      <w:r>
        <w:t xml:space="preserve">Mahler, Wang &amp; Weber (2026)</w:t>
      </w:r>
      <w:r>
        <w:t xml:space="preserve">”</w:t>
      </w:r>
      <w:r>
        <w:t xml:space="preserve"> </w:t>
      </w:r>
      <w:r>
        <w:t xml:space="preserve">= Atlas chapter (Section P). In-text citations added: P3 §5 (Agarwal + Barattieri), P8 §1 (Mahler et al. 2026b), CD2 §3.3 Tầng 3 (Kim et al. 2026).</w:t>
      </w:r>
    </w:p>
    <w:p>
      <w:pPr>
        <w:pStyle w:val="BlockText"/>
      </w:pPr>
      <w:r>
        <w:rPr>
          <w:bCs/>
          <w:b/>
        </w:rPr>
        <w:t xml:space="preserve">Phiên bản 2.5 (07/05/2026 — Vietnamese WBES sources + Vietnam Outlook 2026 + IFC PSD Blueprint)</w:t>
      </w:r>
      <w:r>
        <w:t xml:space="preserve">: Bổ sung</w:t>
      </w:r>
      <w:r>
        <w:t xml:space="preserve"> </w:t>
      </w:r>
      <w:r>
        <w:rPr>
          <w:bCs/>
          <w:b/>
        </w:rPr>
        <w:t xml:space="preserve">4 references mới</w:t>
      </w:r>
      <w:r>
        <w:t xml:space="preserve"> </w:t>
      </w:r>
      <w:r>
        <w:t xml:space="preserve">từ batch upload 5 PDFs (07/05/2026): (i) Section K —</w:t>
      </w:r>
      <w:r>
        <w:t xml:space="preserve"> </w:t>
      </w:r>
      <w:r>
        <w:rPr>
          <w:bCs/>
          <w:b/>
        </w:rPr>
        <w:t xml:space="preserve">ADB (2026, April) Vietnam Economic Outlook 2026</w:t>
      </w:r>
      <w:r>
        <w:t xml:space="preserve"> </w:t>
      </w:r>
      <w:r>
        <w:t xml:space="preserve">(Việt Nam GDP 7,2% 2026 / 7,0% 2027, FDI commitment $2,4B / 18 dự án); (ii) Section K —</w:t>
      </w:r>
      <w:r>
        <w:t xml:space="preserve"> </w:t>
      </w:r>
      <w:r>
        <w:rPr>
          <w:bCs/>
          <w:b/>
        </w:rPr>
        <w:t xml:space="preserve">IFC (n.d.) Private Sector Development Blueprint</w:t>
      </w:r>
      <w:r>
        <w:t xml:space="preserve"> </w:t>
      </w:r>
      <w:r>
        <w:t xml:space="preserve">(3 trụ cột framework + 6 essential public transactions); (iii) Section K —</w:t>
      </w:r>
      <w:r>
        <w:t xml:space="preserve"> </w:t>
      </w:r>
      <w:r>
        <w:rPr>
          <w:bCs/>
          <w:b/>
        </w:rPr>
        <w:t xml:space="preserve">World Bank (2025) Hệ thống phân loại quốc gia FY26 (Vietnamese)</w:t>
      </w:r>
      <w:r>
        <w:t xml:space="preserve"> </w:t>
      </w:r>
      <w:r>
        <w:t xml:space="preserve">(4 income groups + 7 regions + 3 borrowing); (iv) Section K —</w:t>
      </w:r>
      <w:r>
        <w:t xml:space="preserve"> </w:t>
      </w:r>
      <w:r>
        <w:rPr>
          <w:bCs/>
          <w:b/>
        </w:rPr>
        <w:t xml:space="preserve">World Bank (n.d.) Tài liệu tóm tắt chỉ số WBES (Vietnamese)</w:t>
      </w:r>
      <w:r>
        <w:t xml:space="preserve"> </w:t>
      </w:r>
      <w:r>
        <w:t xml:space="preserve">— base cho thuật ngữ Việt chuẩn.</w:t>
      </w:r>
      <w:r>
        <w:t xml:space="preserve"> </w:t>
      </w:r>
      <w:r>
        <w:rPr>
          <w:bCs/>
          <w:b/>
        </w:rPr>
        <w:t xml:space="preserve">✓ RESOLVED Audit Warning 1 v2.4</w:t>
      </w:r>
      <w:r>
        <w:t xml:space="preserve">: Lin &amp; Beamish (2005) → Lu &amp; Beamish (2004) replacement đã hoàn tất trong file 14 v3.8 (commit e2f8415).</w:t>
      </w:r>
    </w:p>
    <w:p>
      <w:pPr>
        <w:pStyle w:val="BlockText"/>
      </w:pPr>
      <w:r>
        <w:rPr>
          <w:bCs/>
          <w:b/>
        </w:rPr>
        <w:t xml:space="preserve">Note</w:t>
      </w:r>
      <w:r>
        <w:t xml:space="preserve">: Sections A, B, C, E, H, I, J, M, N, O giữ nguyên từ v2.1-v2.4 trừ phần entries mới được đánh dấu</w:t>
      </w:r>
      <w:r>
        <w:t xml:space="preserve"> </w:t>
      </w:r>
      <w:r>
        <w:rPr>
          <w:bCs/>
          <w:b/>
        </w:rPr>
        <w:t xml:space="preserve">(Mới v2.x)</w:t>
      </w:r>
      <w:r>
        <w:t xml:space="preserve">.</w:t>
      </w:r>
    </w:p>
    <w:bookmarkStart w:id="197" w:name="X1ce219aaccc3c8d52177b991e903b9a90c924a4"/>
    <w:p>
      <w:pPr>
        <w:pStyle w:val="Heading2"/>
      </w:pPr>
      <w:r>
        <w:t xml:space="preserve">A. Lý thuyết nền kinh doanh quốc tế (cập nhật v2.4 — bổ sung Bello &amp; Kostova 2012, Meyer et al. 2017, Dunning 1988, Williamson 2000)</w:t>
      </w:r>
    </w:p>
    <w:p>
      <w:pPr>
        <w:pStyle w:val="FirstParagraph"/>
      </w:pPr>
      <w:r>
        <w:t xml:space="preserve">(Giữ nguyên từ v2.1 — Barney 1991, Bell &amp; Pavitt 1995, Bharadwaj et al. 2013, Cohen &amp; Levinthal 1990, Hambrick 2007 và Hambrick &amp; Mason 1984, Johanson &amp; Vahlne 1977 và 2009, Khanna &amp; Palepu 2010, Lall 1992, North 1990, Peng 2001 và 2003, Scott 1995, Teece et al. 1997, Wernerfelt 1984, Zaheer 1995. Tổng 17 entries.)</w:t>
      </w:r>
    </w:p>
    <w:p>
      <w:pPr>
        <w:pStyle w:val="BodyText"/>
      </w:pPr>
      <w:r>
        <w:rPr>
          <w:bCs/>
          <w:b/>
        </w:rPr>
        <w:t xml:space="preserve">Bello, D. C., &amp; Kostova, T. (2012). From the editors: Conducting high impact international business research: The role of theory.</w:t>
      </w:r>
      <w:r>
        <w:rPr>
          <w:bCs/>
          <w:b/>
        </w:rPr>
        <w:t xml:space="preserve"> </w:t>
      </w:r>
      <w:r>
        <w:rPr>
          <w:iCs/>
          <w:i/>
          <w:bCs/>
          <w:b/>
        </w:rPr>
        <w:t xml:space="preserve">Journal of International Business Studies, 43</w:t>
      </w:r>
      <w:r>
        <w:rPr>
          <w:bCs/>
          <w:b/>
        </w:rPr>
        <w:t xml:space="preserve">(6), 537–543.</w:t>
      </w:r>
      <w:r>
        <w:t xml:space="preserve"> </w:t>
      </w:r>
      <w:r>
        <w:t xml:space="preserve">https://doi.org/10.1057/jibs.2012.14</w:t>
      </w:r>
      <w:r>
        <w:t xml:space="preserve"> </w:t>
      </w:r>
      <w:r>
        <w:rPr>
          <w:iCs/>
          <w:i/>
        </w:rPr>
        <w:t xml:space="preserve">(Mới v2.4)</w:t>
      </w:r>
    </w:p>
    <w:p>
      <w:pPr>
        <w:pStyle w:val="BodyText"/>
      </w:pPr>
      <w:r>
        <w:rPr>
          <w:bCs/>
          <w:b/>
        </w:rPr>
        <w:t xml:space="preserve">Dunning, J. H. (1988). The eclectic paradigm of international production: A restatement and some possible extensions.</w:t>
      </w:r>
      <w:r>
        <w:rPr>
          <w:bCs/>
          <w:b/>
        </w:rPr>
        <w:t xml:space="preserve"> </w:t>
      </w:r>
      <w:r>
        <w:rPr>
          <w:iCs/>
          <w:i/>
          <w:bCs/>
          <w:b/>
        </w:rPr>
        <w:t xml:space="preserve">Journal of International Business Studies, 19</w:t>
      </w:r>
      <w:r>
        <w:rPr>
          <w:bCs/>
          <w:b/>
        </w:rPr>
        <w:t xml:space="preserve">(1), 1–31.</w:t>
      </w:r>
      <w:r>
        <w:t xml:space="preserve"> </w:t>
      </w:r>
      <w:r>
        <w:t xml:space="preserve">https://doi.org/10.1057/palgrave.jibs.8490372</w:t>
      </w:r>
      <w:r>
        <w:t xml:space="preserve"> </w:t>
      </w:r>
      <w:r>
        <w:rPr>
          <w:iCs/>
          <w:i/>
        </w:rPr>
        <w:t xml:space="preserve">(Mới v2.4)</w:t>
      </w:r>
    </w:p>
    <w:p>
      <w:pPr>
        <w:pStyle w:val="BodyText"/>
      </w:pPr>
      <w:r>
        <w:rPr>
          <w:bCs/>
          <w:b/>
        </w:rPr>
        <w:t xml:space="preserve">Meyer, K. E., van Witteloostuijn, A., &amp; Beugelsdijk, S. (2017). What’s in a p? Reassessing best practices for conducting and reporting hypothesis-testing research.</w:t>
      </w:r>
      <w:r>
        <w:rPr>
          <w:bCs/>
          <w:b/>
        </w:rPr>
        <w:t xml:space="preserve"> </w:t>
      </w:r>
      <w:r>
        <w:rPr>
          <w:iCs/>
          <w:i/>
          <w:bCs/>
          <w:b/>
        </w:rPr>
        <w:t xml:space="preserve">Journal of International Business Studies, 48</w:t>
      </w:r>
      <w:r>
        <w:rPr>
          <w:bCs/>
          <w:b/>
        </w:rPr>
        <w:t xml:space="preserve">(5), 535–551.</w:t>
      </w:r>
      <w:r>
        <w:t xml:space="preserve"> </w:t>
      </w:r>
      <w:r>
        <w:t xml:space="preserve">https://doi.org/10.1057/s41267-017-0078-8</w:t>
      </w:r>
      <w:r>
        <w:t xml:space="preserve"> </w:t>
      </w:r>
      <w:r>
        <w:rPr>
          <w:iCs/>
          <w:i/>
        </w:rPr>
        <w:t xml:space="preserve">(Mới v2.4)</w:t>
      </w:r>
    </w:p>
    <w:p>
      <w:pPr>
        <w:pStyle w:val="BodyText"/>
      </w:pPr>
      <w:r>
        <w:rPr>
          <w:bCs/>
          <w:b/>
        </w:rPr>
        <w:t xml:space="preserve">Williamson, O. E. (2000). The new institutional economics: Taking stock, looking ahead.</w:t>
      </w:r>
      <w:r>
        <w:rPr>
          <w:bCs/>
          <w:b/>
        </w:rPr>
        <w:t xml:space="preserve"> </w:t>
      </w:r>
      <w:r>
        <w:rPr>
          <w:iCs/>
          <w:i/>
          <w:bCs/>
          <w:b/>
        </w:rPr>
        <w:t xml:space="preserve">Journal of Economic Literature, 38</w:t>
      </w:r>
      <w:r>
        <w:rPr>
          <w:bCs/>
          <w:b/>
        </w:rPr>
        <w:t xml:space="preserve">(3), 595–613.</w:t>
      </w:r>
      <w:r>
        <w:t xml:space="preserve"> </w:t>
      </w:r>
      <w:r>
        <w:t xml:space="preserve">https://doi.org/10.1257/jel.38.3.595</w:t>
      </w:r>
      <w:r>
        <w:t xml:space="preserve"> </w:t>
      </w:r>
      <w:r>
        <w:rPr>
          <w:iCs/>
          <w:i/>
        </w:rPr>
        <w:t xml:space="preserve">(Mới v2.4)</w:t>
      </w:r>
    </w:p>
    <w:bookmarkEnd w:id="197"/>
    <w:bookmarkStart w:id="198" w:name="X094bc8b13169a81669f6b7abcf887888d4186ca"/>
    <w:p>
      <w:pPr>
        <w:pStyle w:val="Heading2"/>
      </w:pPr>
      <w:r>
        <w:t xml:space="preserve">B. Internationalization–Firm Performance: Foundational empirical</w:t>
      </w:r>
    </w:p>
    <w:p>
      <w:pPr>
        <w:pStyle w:val="FirstParagraph"/>
      </w:pPr>
      <w:r>
        <w:t xml:space="preserve">(Giữ nguyên từ v2.1 — Contractor et al. 2003, Gomes &amp; Ramaswamy 1999, Grant 1987, Hitt et al. 1997 và 2006, Kim et al. 1989, Lu &amp; Beamish 2004, Sullivan 1994. Tổng 8 entries.)</w:t>
      </w:r>
    </w:p>
    <w:p>
      <w:pPr>
        <w:pStyle w:val="BlockText"/>
      </w:pPr>
      <w:r>
        <w:rPr>
          <w:bCs/>
          <w:b/>
        </w:rPr>
        <w:t xml:space="preserve">✓ RESOLVED v2.5 — Audit Warning 1</w:t>
      </w:r>
      <w:r>
        <w:t xml:space="preserve">: Lin &amp; Beamish (2005) → Lu &amp; Beamish (2004) replacement đã hoàn tất trong file 14 v3.8 (commit e2f8415, 07/05/2026): 4 occurrences trong §1.1, §2.6, Bảng 2.6.1 đã updated. Lu &amp; Beamish (2004) AMJ S-curve DOI 10.2307/20159604 đã có sẵn Section B từ v2.1.</w:t>
      </w:r>
    </w:p>
    <w:bookmarkEnd w:id="198"/>
    <w:bookmarkStart w:id="199" w:name="c.-meta-analyses-về-ip-relationship"/>
    <w:p>
      <w:pPr>
        <w:pStyle w:val="Heading2"/>
      </w:pPr>
      <w:r>
        <w:t xml:space="preserve">C. Meta-analyses về I–P relationship</w:t>
      </w:r>
    </w:p>
    <w:p>
      <w:pPr>
        <w:pStyle w:val="FirstParagraph"/>
      </w:pPr>
      <w:r>
        <w:t xml:space="preserve">(Giữ nguyên từ v2.1 — Arte &amp; Larimo 2022, Bausch &amp; Krist 2007, Kirca et al. 2012, Marano et al. 2016, Schwens et al. 2018, Wu, Fan &amp; Chen 2022. Tổng 6 entries.)</w:t>
      </w:r>
    </w:p>
    <w:bookmarkEnd w:id="199"/>
    <w:bookmarkStart w:id="200" w:name="Xb02f9563701139be84b359c2d25884190ee9110"/>
    <w:p>
      <w:pPr>
        <w:pStyle w:val="Heading2"/>
      </w:pPr>
      <w:r>
        <w:t xml:space="preserve">D. Recent IB literature 2019–2025 (cập nhật v2.3 — bổ sung Xu 2024 GSJ + Kafouros 2023 GSJ)</w:t>
      </w:r>
    </w:p>
    <w:p>
      <w:pPr>
        <w:pStyle w:val="FirstParagraph"/>
      </w:pPr>
      <w:r>
        <w:t xml:space="preserve">Arbelo, A., Arbelo-Pérez, M., &amp; Pérez-Gómez, P. (2024). Internationalization and individual firm performance: A resource-based view.</w:t>
      </w:r>
      <w:r>
        <w:t xml:space="preserve"> </w:t>
      </w:r>
      <w:r>
        <w:rPr>
          <w:iCs/>
          <w:i/>
        </w:rPr>
        <w:t xml:space="preserve">Eurasian Business Review, 14</w:t>
      </w:r>
      <w:r>
        <w:t xml:space="preserve">(4), 881–915.</w:t>
      </w:r>
    </w:p>
    <w:p>
      <w:pPr>
        <w:pStyle w:val="BodyText"/>
      </w:pPr>
      <w:r>
        <w:t xml:space="preserve">Babina, T., Fedyk, A., He, A., &amp; Hodson, J. (2024). Artificial intelligence, firm growth, and product innovation.</w:t>
      </w:r>
      <w:r>
        <w:t xml:space="preserve"> </w:t>
      </w:r>
      <w:r>
        <w:rPr>
          <w:iCs/>
          <w:i/>
        </w:rPr>
        <w:t xml:space="preserve">Journal of Financial Economics, 151</w:t>
      </w:r>
      <w:r>
        <w:t xml:space="preserve">, 103745.</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p>
      <w:pPr>
        <w:pStyle w:val="BodyText"/>
      </w:pPr>
      <w:r>
        <w:t xml:space="preserve">Bustamante, C. V., Mingo, S., &amp; Matusik, S. F. (2022). Institutions and digital capabilities as drivers of SME internationalization.</w:t>
      </w:r>
      <w:r>
        <w:t xml:space="preserve"> </w:t>
      </w:r>
      <w:r>
        <w:rPr>
          <w:iCs/>
          <w:i/>
        </w:rPr>
        <w:t xml:space="preserve">IEEE Transactions on Engineering Management, 71</w:t>
      </w:r>
      <w:r>
        <w:t xml:space="preserve">, 1–14.</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 https://doi.org/10.1162/rest.90.3.414</w:t>
      </w:r>
      <w:r>
        <w:t xml:space="preserve"> </w:t>
      </w:r>
      <w:r>
        <w:t xml:space="preserve">Chen, J., &amp; Meng, Q. (2022). Institutional constraints and exporting of emerging-market firms.</w:t>
      </w:r>
      <w:r>
        <w:t xml:space="preserve"> </w:t>
      </w:r>
      <w:r>
        <w:rPr>
          <w:iCs/>
          <w:i/>
        </w:rPr>
        <w:t xml:space="preserve">Managerial and Decision Economics, 43</w:t>
      </w:r>
      <w:r>
        <w:t xml:space="preserve">(5), 1706–1720.</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Freixanet, J., &amp; Rialp, J. (2021). Disentangling the relationship between internationalization, incremental and radical innovation, and firm performance.</w:t>
      </w:r>
      <w:r>
        <w:t xml:space="preserve"> </w:t>
      </w:r>
      <w:r>
        <w:rPr>
          <w:iCs/>
          <w:i/>
        </w:rPr>
        <w:t xml:space="preserve">Global Strategy Journal</w:t>
      </w:r>
      <w:r>
        <w:t xml:space="preserve">. https://doi.org/10.1002/gsj.1412</w:t>
      </w:r>
    </w:p>
    <w:p>
      <w:pPr>
        <w:pStyle w:val="BodyText"/>
      </w:pPr>
      <w:r>
        <w:rPr>
          <w:bCs/>
          <w:b/>
        </w:rPr>
        <w:t xml:space="preserve">Kafouros, M., Aliyev, M., Piperopoulos, P., Au, A. K. M., Ho, J. W. Y., &amp; Wong, S. Y. N. (2023). The role of institutional quality and industry dynamism in explaining firm performance in emerging economies.</w:t>
      </w:r>
      <w:r>
        <w:rPr>
          <w:bCs/>
          <w:b/>
        </w:rPr>
        <w:t xml:space="preserve"> </w:t>
      </w:r>
      <w:r>
        <w:rPr>
          <w:iCs/>
          <w:i/>
          <w:bCs/>
          <w:b/>
        </w:rPr>
        <w:t xml:space="preserve">Global Strategy Journal, 14</w:t>
      </w:r>
      <w:r>
        <w:rPr>
          <w:bCs/>
          <w:b/>
        </w:rPr>
        <w:t xml:space="preserve">(1), 56–83.</w:t>
      </w:r>
      <w:r>
        <w:t xml:space="preserve"> </w:t>
      </w:r>
      <w:r>
        <w:t xml:space="preserve">https://doi.org/10.1002/gsj.1479</w:t>
      </w:r>
      <w:r>
        <w:t xml:space="preserve"> </w:t>
      </w:r>
      <w:r>
        <w:rPr>
          <w:iCs/>
          <w:i/>
        </w:rPr>
        <w:t xml:space="preserve">(Mới v2.3 — Kafouros et al. CEE 12.888 firms; H1 tech dynamism positive interaction; H2 market dynamism negative; 3 mechanisms.)</w:t>
      </w:r>
    </w:p>
    <w:p>
      <w:pPr>
        <w:pStyle w:val="BodyText"/>
      </w:pPr>
      <w:r>
        <w:t xml:space="preserve">Nath, P., Kirca, A. H., &amp; Kim, S. (2021). A study of the internationalization–performance relationship in global retailing.</w:t>
      </w:r>
      <w:r>
        <w:t xml:space="preserve"> </w:t>
      </w:r>
      <w:r>
        <w:rPr>
          <w:iCs/>
          <w:i/>
        </w:rPr>
        <w:t xml:space="preserve">Journal of International Marketing, 29</w:t>
      </w:r>
      <w:r>
        <w:t xml:space="preserve">(1), 57–76.</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rPr>
          <w:bCs/>
          <w:b/>
        </w:rPr>
        <w:t xml:space="preserve">Xu, J. (2024). Rethinking institutional arbitrage: De jure exposure and de facto enforcement.</w:t>
      </w:r>
      <w:r>
        <w:rPr>
          <w:bCs/>
          <w:b/>
        </w:rPr>
        <w:t xml:space="preserve"> </w:t>
      </w:r>
      <w:r>
        <w:rPr>
          <w:iCs/>
          <w:i/>
          <w:bCs/>
          <w:b/>
        </w:rPr>
        <w:t xml:space="preserve">Global Strategy Journal, 14</w:t>
      </w:r>
      <w:r>
        <w:rPr>
          <w:bCs/>
          <w:b/>
        </w:rPr>
        <w:t xml:space="preserve">(4), 754–799.</w:t>
      </w:r>
      <w:r>
        <w:t xml:space="preserve"> </w:t>
      </w:r>
      <w:r>
        <w:t xml:space="preserve">https://doi.org/10.1002/gsj.1510</w:t>
      </w:r>
      <w:r>
        <w:t xml:space="preserve"> </w:t>
      </w:r>
      <w:r>
        <w:rPr>
          <w:iCs/>
          <w:i/>
        </w:rPr>
        <w:t xml:space="preserve">(Mới v2.3 — 3.331 US-listed firms 82 nước; phân tách de jure exposure vs de facto enforcement.)</w:t>
      </w:r>
    </w:p>
    <w:bookmarkEnd w:id="200"/>
    <w:bookmarkStart w:id="201" w:name="X5943e13ebd761ed89df86a9d940a6ae7a0dd948"/>
    <w:p>
      <w:pPr>
        <w:pStyle w:val="Heading2"/>
      </w:pPr>
      <w:r>
        <w:t xml:space="preserve">E. Top management và leadership (cập nhật v2.3)</w:t>
      </w:r>
    </w:p>
    <w:p>
      <w:pPr>
        <w:pStyle w:val="FirstParagraph"/>
      </w:pPr>
      <w:r>
        <w:t xml:space="preserve">(Giữ nguyên từ v2.1 — Hsu et al. 2013, Post &amp; Byron 2015, Sambharya 1996.)</w:t>
      </w:r>
    </w:p>
    <w:p>
      <w:pPr>
        <w:pStyle w:val="BodyText"/>
      </w:pPr>
      <w:r>
        <w:rPr>
          <w:bCs/>
          <w:b/>
        </w:rPr>
        <w:t xml:space="preserve">Al-Najjar, B., Salama, A., &amp; Abed, A. (2025). Gender and cultural diversity on boards: Their impact on internationalisation.</w:t>
      </w:r>
      <w:r>
        <w:rPr>
          <w:bCs/>
          <w:b/>
        </w:rPr>
        <w:t xml:space="preserve"> </w:t>
      </w:r>
      <w:r>
        <w:rPr>
          <w:iCs/>
          <w:i/>
          <w:bCs/>
          <w:b/>
        </w:rPr>
        <w:t xml:space="preserve">The International Journal of Human Resource Management, 36</w:t>
      </w:r>
      <w:r>
        <w:rPr>
          <w:bCs/>
          <w:b/>
        </w:rPr>
        <w:t xml:space="preserve">(13), 2305–2341.</w:t>
      </w:r>
      <w:r>
        <w:t xml:space="preserve"> </w:t>
      </w:r>
      <w:r>
        <w:t xml:space="preserve">https://doi.org/10.1080/09585192.2025.2550765</w:t>
      </w:r>
      <w:r>
        <w:t xml:space="preserve"> </w:t>
      </w:r>
      <w:r>
        <w:rPr>
          <w:iCs/>
          <w:i/>
        </w:rPr>
        <w:t xml:space="preserve">(Mới v2.3)</w:t>
      </w:r>
    </w:p>
    <w:p>
      <w:pPr>
        <w:pStyle w:val="BodyText"/>
      </w:pPr>
      <w:r>
        <w:rPr>
          <w:bCs/>
          <w:b/>
        </w:rPr>
        <w:t xml:space="preserve">Gallegos Mardones, J., &amp; Ibáñez, M. J. (2025). Women’s participation in top management business positions and the internationalization process: Evidence for Chilean companies.</w:t>
      </w:r>
      <w:r>
        <w:rPr>
          <w:bCs/>
          <w:b/>
        </w:rPr>
        <w:t xml:space="preserve"> </w:t>
      </w:r>
      <w:r>
        <w:rPr>
          <w:iCs/>
          <w:i/>
          <w:bCs/>
          <w:b/>
        </w:rPr>
        <w:t xml:space="preserve">SAGE Open, 15</w:t>
      </w:r>
      <w:r>
        <w:rPr>
          <w:bCs/>
          <w:b/>
        </w:rPr>
        <w:t xml:space="preserve">(2), 1–17.</w:t>
      </w:r>
      <w:r>
        <w:t xml:space="preserve"> </w:t>
      </w:r>
      <w:r>
        <w:t xml:space="preserve">https://doi.org/10.1177/21582440251335079</w:t>
      </w:r>
      <w:r>
        <w:t xml:space="preserve"> </w:t>
      </w:r>
      <w:r>
        <w:rPr>
          <w:iCs/>
          <w:i/>
        </w:rPr>
        <w:t xml:space="preserve">(Mới v2.3)</w:t>
      </w:r>
    </w:p>
    <w:bookmarkEnd w:id="201"/>
    <w:bookmarkStart w:id="202" w:name="f.-china-specific-research-cập-nhật-v2.2"/>
    <w:p>
      <w:pPr>
        <w:pStyle w:val="Heading2"/>
      </w:pPr>
      <w:r>
        <w:t xml:space="preserve">F. China-specific research (cập nhật v2.2)</w:t>
      </w:r>
    </w:p>
    <w:p>
      <w:pPr>
        <w:pStyle w:val="FirstParagraph"/>
      </w:pPr>
      <w:r>
        <w:t xml:space="preserve">Chen, S., &amp; Tan, H. (2012). Region effects in the internationalization–performance relationship in Chinese firms.</w:t>
      </w:r>
      <w:r>
        <w:t xml:space="preserve"> </w:t>
      </w:r>
      <w:r>
        <w:rPr>
          <w:iCs/>
          <w:i/>
        </w:rPr>
        <w:t xml:space="preserve">Journal of World Business, 47</w:t>
      </w:r>
      <w:r>
        <w:t xml:space="preserve">(1), 73–80.</w:t>
      </w:r>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p>
    <w:p>
      <w:pPr>
        <w:pStyle w:val="BodyText"/>
      </w:pPr>
      <w:r>
        <w:t xml:space="preserve">Li, W., Li, C., &amp; Wei, G. (2022). The dual mechanism of social networks on the relationship between internationalization and firm performance.</w:t>
      </w:r>
      <w:r>
        <w:t xml:space="preserve"> </w:t>
      </w:r>
      <w:r>
        <w:rPr>
          <w:iCs/>
          <w:i/>
        </w:rPr>
        <w:t xml:space="preserve">PLOS ONE, 17</w:t>
      </w:r>
      <w:r>
        <w:t xml:space="preserve">(11), e0277421.</w:t>
      </w:r>
    </w:p>
    <w:p>
      <w:pPr>
        <w:pStyle w:val="BodyText"/>
      </w:pPr>
      <w:r>
        <w:t xml:space="preserve">Liu, X., &amp; Zhang, H. (2024). How geopolitical risk affects firms’ internationalization performance: Evidence from China.</w:t>
      </w:r>
      <w:r>
        <w:t xml:space="preserve"> </w:t>
      </w:r>
      <w:r>
        <w:rPr>
          <w:iCs/>
          <w:i/>
        </w:rPr>
        <w:t xml:space="preserve">Heliyon, 10</w:t>
      </w:r>
      <w:r>
        <w:t xml:space="preserve">(6), e27512.</w:t>
      </w:r>
    </w:p>
    <w:p>
      <w:pPr>
        <w:pStyle w:val="BodyText"/>
      </w:pPr>
      <w:r>
        <w:t xml:space="preserve">Wang, L., Huang, Y., &amp; Hong, Z. (2024). Digitalization as a double-edged sword: A deep learning analysis of risk management in Chinese banks.</w:t>
      </w:r>
      <w:r>
        <w:t xml:space="preserve"> </w:t>
      </w:r>
      <w:r>
        <w:rPr>
          <w:iCs/>
          <w:i/>
        </w:rPr>
        <w:t xml:space="preserve">International Review of Financial Analysis, 94</w:t>
      </w:r>
      <w:r>
        <w:t xml:space="preserve">, 103249.</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p>
    <w:p>
      <w:pPr>
        <w:pStyle w:val="BodyText"/>
      </w:pPr>
      <w:r>
        <w:t xml:space="preserve">Zhang, Y., &amp; Wei, J. (2022). The impact of the internationalization of China’s new retail industry on corporate performance.</w:t>
      </w:r>
      <w:r>
        <w:t xml:space="preserve"> </w:t>
      </w:r>
      <w:r>
        <w:rPr>
          <w:iCs/>
          <w:i/>
        </w:rPr>
        <w:t xml:space="preserve">PLOS ONE, 17</w:t>
      </w:r>
      <w:r>
        <w:t xml:space="preserve">(2), e0262891.</w:t>
      </w:r>
    </w:p>
    <w:bookmarkEnd w:id="202"/>
    <w:bookmarkStart w:id="203" w:name="g.-asianemne-empirical-cập-nhật-v2.3"/>
    <w:p>
      <w:pPr>
        <w:pStyle w:val="Heading2"/>
      </w:pPr>
      <w:r>
        <w:t xml:space="preserve">G. Asian/EMNE empirical (cập nhật v2.3)</w:t>
      </w:r>
    </w:p>
    <w:p>
      <w:pPr>
        <w:pStyle w:val="FirstParagraph"/>
      </w:pPr>
      <w:r>
        <w:t xml:space="preserve">Anil, K., &amp; Misra, A. (2022). Artificial intelligence in peer-to-peer lending in India: A cross-case analysis.</w:t>
      </w:r>
      <w:r>
        <w:t xml:space="preserve"> </w:t>
      </w:r>
      <w:r>
        <w:rPr>
          <w:iCs/>
          <w:i/>
        </w:rPr>
        <w:t xml:space="preserve">International Journal of Emerging Markets, 17</w:t>
      </w:r>
      <w:r>
        <w:t xml:space="preserve">(4), 1085–1106.</w:t>
      </w:r>
    </w:p>
    <w:p>
      <w:pPr>
        <w:pStyle w:val="BodyText"/>
      </w:pPr>
      <w:r>
        <w:t xml:space="preserve">Ayyagari, M., Demirgüç-Kunt, A., &amp; Maksimovic, V. (2011). Firm innovation in emerging markets.</w:t>
      </w:r>
      <w:r>
        <w:t xml:space="preserve"> </w:t>
      </w:r>
      <w:r>
        <w:rPr>
          <w:iCs/>
          <w:i/>
        </w:rPr>
        <w:t xml:space="preserve">Journal of Financial and Quantitative Analysis, 46</w:t>
      </w:r>
      <w:r>
        <w:t xml:space="preserve">(6), 1545–1580.</w:t>
      </w:r>
    </w:p>
    <w:p>
      <w:pPr>
        <w:pStyle w:val="BodyText"/>
      </w:pPr>
      <w:r>
        <w:rPr>
          <w:bCs/>
          <w:b/>
        </w:rPr>
        <w:t xml:space="preserve">Cazzaniga, M., Jaumotte, F., Li, L., Melina, G., Panton, A. J., Pizzinelli, C., Rockall, E., &amp; Tavares, M. M. (2024). Gen-AI: Artificial intelligence and the future of work.</w:t>
      </w:r>
      <w:r>
        <w:rPr>
          <w:bCs/>
          <w:b/>
        </w:rPr>
        <w:t xml:space="preserve"> </w:t>
      </w:r>
      <w:r>
        <w:rPr>
          <w:iCs/>
          <w:i/>
          <w:bCs/>
          <w:b/>
        </w:rPr>
        <w:t xml:space="preserve">IMF Staff Discussion Note</w:t>
      </w:r>
      <w:r>
        <w:rPr>
          <w:bCs/>
          <w:b/>
        </w:rPr>
        <w:t xml:space="preserve">, SDN/2024/001.</w:t>
      </w:r>
      <w:r>
        <w:t xml:space="preserve"> </w:t>
      </w:r>
      <w:r>
        <w:t xml:space="preserve">International Monetary Fund.</w:t>
      </w:r>
      <w:r>
        <w:t xml:space="preserve"> </w:t>
      </w:r>
      <w:r>
        <w:rPr>
          <w:iCs/>
          <w:i/>
        </w:rPr>
        <w:t xml:space="preserve">(Mới v2.3 — AIPI framework)</w:t>
      </w:r>
    </w:p>
    <w:p>
      <w:pPr>
        <w:pStyle w:val="BodyText"/>
      </w:pPr>
      <w:r>
        <w:t xml:space="preserve">Likitwongkajon, N., &amp; Vithessonthi, C. (2020). Do foreign investments increase firm value and firm performance? Evidence from Japan.</w:t>
      </w:r>
      <w:r>
        <w:t xml:space="preserve"> </w:t>
      </w:r>
      <w:r>
        <w:rPr>
          <w:iCs/>
          <w:i/>
        </w:rPr>
        <w:t xml:space="preserve">Research in International Business and Finance, 51</w:t>
      </w:r>
      <w:r>
        <w:t xml:space="preserve">, 101099.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w:t>
      </w:r>
    </w:p>
    <w:p>
      <w:pPr>
        <w:pStyle w:val="BodyText"/>
      </w:pPr>
      <w:r>
        <w:t xml:space="preserve">Mondal, A., Ray, S., &amp; Lahiri, S. (2022). Internationalization and performance of family firms.</w:t>
      </w:r>
      <w:r>
        <w:t xml:space="preserve"> </w:t>
      </w:r>
      <w:r>
        <w:rPr>
          <w:iCs/>
          <w:i/>
        </w:rPr>
        <w:t xml:space="preserve">Journal of Business Research, 138</w:t>
      </w:r>
      <w:r>
        <w:t xml:space="preserve">, 280–294.</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p>
    <w:p>
      <w:pPr>
        <w:pStyle w:val="BodyText"/>
      </w:pPr>
      <w:r>
        <w:rPr>
          <w:bCs/>
          <w:b/>
        </w:rPr>
        <w:t xml:space="preserve">Sikdar, S., &amp; Mukhopadhyay, A. (2026). Productivity gains in Indian manufacturing: Insights from formal and informal sectors.</w:t>
      </w:r>
      <w:r>
        <w:rPr>
          <w:bCs/>
          <w:b/>
        </w:rPr>
        <w:t xml:space="preserve"> </w:t>
      </w:r>
      <w:r>
        <w:rPr>
          <w:iCs/>
          <w:i/>
          <w:bCs/>
          <w:b/>
        </w:rPr>
        <w:t xml:space="preserve">Asian Development Review, 43</w:t>
      </w:r>
      <w:r>
        <w:rPr>
          <w:bCs/>
          <w:b/>
        </w:rPr>
        <w:t xml:space="preserve">(1), Article 12.</w:t>
      </w:r>
      <w:r>
        <w:t xml:space="preserve"> </w:t>
      </w:r>
      <w:r>
        <w:t xml:space="preserve">Asian Development Bank.</w:t>
      </w:r>
      <w:r>
        <w:t xml:space="preserve"> </w:t>
      </w:r>
      <w:r>
        <w:rPr>
          <w:iCs/>
          <w:i/>
        </w:rPr>
        <w:t xml:space="preserve">(Mới v2.3)</w:t>
      </w:r>
    </w:p>
    <w:bookmarkEnd w:id="203"/>
    <w:bookmarkStart w:id="204" w:name="h.-firm-performance-đa-chiều"/>
    <w:p>
      <w:pPr>
        <w:pStyle w:val="Heading2"/>
      </w:pPr>
      <w:r>
        <w:t xml:space="preserve">H. Firm performance đa chiều</w:t>
      </w:r>
    </w:p>
    <w:p>
      <w:pPr>
        <w:pStyle w:val="FirstParagraph"/>
      </w:pPr>
      <w:r>
        <w:t xml:space="preserve">(Giữ nguyên từ v2.1.)</w:t>
      </w:r>
    </w:p>
    <w:bookmarkEnd w:id="204"/>
    <w:bookmarkStart w:id="205" w:name="i.-productivity-literature"/>
    <w:p>
      <w:pPr>
        <w:pStyle w:val="Heading2"/>
      </w:pPr>
      <w:r>
        <w:t xml:space="preserve">I. Productivity literature</w:t>
      </w:r>
    </w:p>
    <w:p>
      <w:pPr>
        <w:pStyle w:val="FirstParagraph"/>
      </w:pPr>
      <w:r>
        <w:t xml:space="preserve">(Giữ nguyên từ v2.1 — Bloom, Sadun &amp; Van Reenen 2012; Cusolito &amp; Maloney 2018; Hsieh &amp; Klenow 2009 và 2014.)</w:t>
      </w:r>
    </w:p>
    <w:bookmarkEnd w:id="205"/>
    <w:bookmarkStart w:id="207" w:name="X7621949d30e744d6874048fecb1435cd5e216fd"/>
    <w:p>
      <w:pPr>
        <w:pStyle w:val="Heading2"/>
      </w:pPr>
      <w:r>
        <w:t xml:space="preserve">J. Phương pháp meta-analysis và kinh tế lượng (cập nhật v2.4)</w:t>
      </w:r>
    </w:p>
    <w:p>
      <w:pPr>
        <w:pStyle w:val="FirstParagraph"/>
      </w:pPr>
      <w:r>
        <w:t xml:space="preserve">(Giữ nguyên từ v2.1 — 21 entries gồm Aguinis et al. 2011, Aiken &amp; West 1991, Aterido et al. 2011, Avenyo et al. 2021, Begg &amp; Mazumdar 1994, Borenstein et al. 2009, Breusch &amp; Pagan 1979, Coltman et al. 2008, Dawson 2014, Duval &amp; Tweedie 2000, Egger et al. 1997, Haans et al. 2016, Hair et al. 2019, Higgins et al. 2003, Hunter &amp; Schmidt 2004, Kaufmann et al. 2011, Lind &amp; Mehlum 2010, Long &amp; Ervin 2000, Page et al. 2021, Pierce &amp; Aguinis 2013, White 1980.)</w:t>
      </w:r>
    </w:p>
    <w:p>
      <w:pPr>
        <w:pStyle w:val="BodyText"/>
      </w:pPr>
      <w:r>
        <w:rPr>
          <w:bCs/>
          <w:b/>
        </w:rPr>
        <w:t xml:space="preserve">Aguinis, H., Hill, N. S., &amp; Bailey, J. R. (2019). Best practices in data collection and preparation: Recommendations for reviewers, editors, and authors.</w:t>
      </w:r>
      <w:r>
        <w:rPr>
          <w:bCs/>
          <w:b/>
        </w:rPr>
        <w:t xml:space="preserve"> </w:t>
      </w:r>
      <w:r>
        <w:rPr>
          <w:iCs/>
          <w:i/>
          <w:bCs/>
          <w:b/>
        </w:rPr>
        <w:t xml:space="preserve">Organizational Research Methods, 24</w:t>
      </w:r>
      <w:r>
        <w:rPr>
          <w:bCs/>
          <w:b/>
        </w:rPr>
        <w:t xml:space="preserve">(4), 678–693.</w:t>
      </w:r>
      <w:r>
        <w:t xml:space="preserve"> </w:t>
      </w:r>
      <w:r>
        <w:t xml:space="preserve">https://doi.org/10.1177/1094428119836485</w:t>
      </w:r>
      <w:r>
        <w:t xml:space="preserve"> </w:t>
      </w:r>
      <w:r>
        <w:rPr>
          <w:iCs/>
          <w:i/>
        </w:rPr>
        <w:t xml:space="preserve">(Mới v2.4 — 12-point data section transparency framework.)</w:t>
      </w:r>
    </w:p>
    <w:bookmarkStart w:id="206" w:name="X2fb57ded0f7cbc8f956c4aa51a273056f808ba8"/>
    <w:p>
      <w:pPr>
        <w:pStyle w:val="Heading3"/>
      </w:pPr>
      <w:r>
        <w:t xml:space="preserve">Bổ sung v3.2 — Phương pháp hợp nhất dữ liệu đa quốc gia (Phụ lục A)</w:t>
      </w:r>
    </w:p>
    <w:p>
      <w:pPr>
        <w:pStyle w:val="FirstParagraph"/>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Deaton, A. (1985). Panel data from a time series of cross-sections.</w:t>
      </w:r>
      <w:r>
        <w:t xml:space="preserve"> </w:t>
      </w:r>
      <w:r>
        <w:rPr>
          <w:iCs/>
          <w:i/>
        </w:rPr>
        <w:t xml:space="preserve">Journal of Econometrics, 30</w:t>
      </w:r>
      <w:r>
        <w:t xml:space="preserve">(1–2), 109–126. https://doi.org/10.1016/0304-4076(85)90134-4</w:t>
      </w:r>
      <w:r>
        <w:t xml:space="preserve"> </w:t>
      </w:r>
      <w:r>
        <w:rPr>
          <w:iCs/>
          <w:i/>
        </w:rPr>
        <w:t xml:space="preserve">(Cơ sở repeated cross-sections — Phụ lục A.1, A.6.)</w:t>
      </w:r>
    </w:p>
    <w:p>
      <w:pPr>
        <w:pStyle w:val="BodyText"/>
      </w:pPr>
      <w:r>
        <w:t xml:space="preserve">Feenstra, R. C., Inklaar, R., &amp; Timmer, M. P. (2015). The next generation of the Penn World Table.</w:t>
      </w:r>
      <w:r>
        <w:t xml:space="preserve"> </w:t>
      </w:r>
      <w:r>
        <w:rPr>
          <w:iCs/>
          <w:i/>
        </w:rPr>
        <w:t xml:space="preserve">American Economic Review, 105</w:t>
      </w:r>
      <w:r>
        <w:t xml:space="preserve">(10), 3150–3182. https://doi.org/10.1257/aer.20130954</w:t>
      </w:r>
      <w:r>
        <w:t xml:space="preserve"> </w:t>
      </w:r>
      <w:r>
        <w:rPr>
          <w:iCs/>
          <w:i/>
        </w:rPr>
        <w:t xml:space="preserve">(Điều chỉnh PPP cho so sánh mức xuyên quốc gia — Phụ lục A.5.)</w:t>
      </w:r>
    </w:p>
    <w:p>
      <w:pPr>
        <w:pStyle w:val="BodyText"/>
      </w:pPr>
      <w:r>
        <w:t xml:space="preserve">Little, R. J. A., &amp; Rubin, D. B. (2019).</w:t>
      </w:r>
      <w:r>
        <w:t xml:space="preserve"> </w:t>
      </w:r>
      <w:r>
        <w:rPr>
          <w:iCs/>
          <w:i/>
        </w:rPr>
        <w:t xml:space="preserve">Statistical analysis with missing data</w:t>
      </w:r>
      <w:r>
        <w:t xml:space="preserve"> </w:t>
      </w:r>
      <w:r>
        <w:t xml:space="preserve">(3rd ed.). John Wiley &amp; Sons. https://doi.org/10.1002/9781119482260</w:t>
      </w:r>
      <w:r>
        <w:t xml:space="preserve"> </w:t>
      </w:r>
      <w:r>
        <w:rPr>
          <w:iCs/>
          <w:i/>
        </w:rPr>
        <w:t xml:space="preserve">(Xử lý dữ liệu thiếu, listwise/MAR — Phụ lục A.9.)</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 https://doi.org/10.1080/07350015.2016.1227711</w:t>
      </w:r>
    </w:p>
    <w:p>
      <w:pPr>
        <w:pStyle w:val="BodyText"/>
      </w:pPr>
      <w:r>
        <w:t xml:space="preserve">Verbeek, M. (2008). Pseudo-panels and repeated cross-sections. In L. Mátyás &amp; P. Sevestre (Eds.),</w:t>
      </w:r>
      <w:r>
        <w:t xml:space="preserve"> </w:t>
      </w:r>
      <w:r>
        <w:rPr>
          <w:iCs/>
          <w:i/>
        </w:rPr>
        <w:t xml:space="preserve">The econometrics of panel data</w:t>
      </w:r>
      <w:r>
        <w:t xml:space="preserve"> </w:t>
      </w:r>
      <w:r>
        <w:t xml:space="preserve">(3rd ed., pp. 369–383). Springer. https://doi.org/10.1007/978-3-540-75892-1_11</w:t>
      </w:r>
      <w:r>
        <w:t xml:space="preserve"> </w:t>
      </w:r>
      <w:r>
        <w:rPr>
          <w:iCs/>
          <w:i/>
        </w:rPr>
        <w:t xml:space="preserve">(Khung lát cắt ngang lặp lại — Phụ lục A.1, A.6.)</w:t>
      </w:r>
    </w:p>
    <w:bookmarkEnd w:id="206"/>
    <w:bookmarkEnd w:id="207"/>
    <w:bookmarkStart w:id="208" w:name="X671f5c1355043217bd04f1f91c41f74e5ebb142"/>
    <w:p>
      <w:pPr>
        <w:pStyle w:val="Heading2"/>
      </w:pPr>
      <w:r>
        <w:t xml:space="preserve">K. WBES references và báo cáo Việt Nam (cập nhật v2.5 — bổ sung 4 entries từ batch upload 5 PDFs 07/05/2026)</w:t>
      </w:r>
    </w:p>
    <w:p>
      <w:pPr>
        <w:pStyle w:val="FirstParagraph"/>
      </w:pPr>
      <w:r>
        <w:t xml:space="preserve">CIEM. (2023).</w:t>
      </w:r>
      <w:r>
        <w:t xml:space="preserve"> </w:t>
      </w:r>
      <w:r>
        <w:rPr>
          <w:iCs/>
          <w:i/>
        </w:rPr>
        <w:t xml:space="preserve">Báo cáo Năng lực cạnh tranh và hiệu quả doanh nghiệp Việt Nam 2023</w:t>
      </w:r>
      <w:r>
        <w:t xml:space="preserve"> </w:t>
      </w:r>
      <w:r>
        <w:t xml:space="preserve">[Central Institute for Economic Management]. Nhà xuất bản Khoa học và Kỹ thuật.</w:t>
      </w:r>
    </w:p>
    <w:p>
      <w:pPr>
        <w:pStyle w:val="BodyText"/>
      </w:pPr>
      <w:r>
        <w:t xml:space="preserve">Tran, T. B., &amp; Pham, T. H. (2024). Tác động của FDI đến năng suất doanh nghiệp Việt Nam: Phân tích đa thế hệ điều tra.</w:t>
      </w:r>
      <w:r>
        <w:t xml:space="preserve"> </w:t>
      </w:r>
      <w:r>
        <w:rPr>
          <w:iCs/>
          <w:i/>
        </w:rPr>
        <w:t xml:space="preserve">Tạp chí Kinh tế và Phát triển, 311</w:t>
      </w:r>
      <w:r>
        <w:t xml:space="preserve">, 24–38.</w:t>
      </w:r>
    </w:p>
    <w:p>
      <w:pPr>
        <w:pStyle w:val="BodyText"/>
      </w:pPr>
      <w:r>
        <w:t xml:space="preserve">World Bank Enterprise Surveys. (2025).</w:t>
      </w:r>
      <w:r>
        <w:t xml:space="preserve"> </w:t>
      </w:r>
      <w:r>
        <w:rPr>
          <w:iCs/>
          <w:i/>
        </w:rPr>
        <w:t xml:space="preserve">Enterprise Surveys: What businesses experience</w:t>
      </w:r>
      <w:r>
        <w:t xml:space="preserve">. The World Bank. https://www.enterprisesurveys.org/en/enterprisesurveys</w:t>
      </w:r>
    </w:p>
    <w:p>
      <w:pPr>
        <w:pStyle w:val="BodyText"/>
      </w:pPr>
      <w:r>
        <w:t xml:space="preserve">World Bank. (2019).</w:t>
      </w:r>
      <w:r>
        <w:t xml:space="preserve"> </w:t>
      </w:r>
      <w:r>
        <w:rPr>
          <w:iCs/>
          <w:i/>
        </w:rPr>
        <w:t xml:space="preserve">Understanding the questionnaire: Enterprise Survey questionnaire manual</w:t>
      </w:r>
      <w:r>
        <w:t xml:space="preserve">. World Bank Enterprise Surveys.</w:t>
      </w:r>
    </w:p>
    <w:p>
      <w:pPr>
        <w:pStyle w:val="BodyText"/>
      </w:pPr>
      <w:r>
        <w:t xml:space="preserve">World Bank. (2023).</w:t>
      </w:r>
      <w:r>
        <w:t xml:space="preserve"> </w:t>
      </w:r>
      <w:r>
        <w:rPr>
          <w:iCs/>
          <w:i/>
        </w:rPr>
        <w:t xml:space="preserve">Vietnam 2023 Enterprise Surveys country profile</w:t>
      </w:r>
      <w:r>
        <w:t xml:space="preserve">. World Bank Enterprise Surveys.</w:t>
      </w:r>
    </w:p>
    <w:p>
      <w:pPr>
        <w:pStyle w:val="BodyText"/>
      </w:pPr>
      <w:r>
        <w:t xml:space="preserve">World Bank. (2024).</w:t>
      </w:r>
      <w:r>
        <w:t xml:space="preserve"> </w:t>
      </w:r>
      <w:r>
        <w:rPr>
          <w:iCs/>
          <w:i/>
        </w:rPr>
        <w:t xml:space="preserve">Mongolia Economic Update: Towards diversified growth</w:t>
      </w:r>
      <w:r>
        <w:t xml:space="preserve">. World Bank.</w:t>
      </w:r>
    </w:p>
    <w:p>
      <w:pPr>
        <w:pStyle w:val="BodyText"/>
      </w:pPr>
      <w:r>
        <w:t xml:space="preserve">World Bank. (2024, December).</w:t>
      </w:r>
      <w:r>
        <w:t xml:space="preserve"> </w:t>
      </w:r>
      <w:r>
        <w:rPr>
          <w:iCs/>
          <w:i/>
        </w:rPr>
        <w:t xml:space="preserve">Tonga 2024 Enterprise Surveys country profile</w:t>
      </w:r>
      <w:r>
        <w:t xml:space="preserve">. World Bank Enterprise Surveys.</w:t>
      </w:r>
    </w:p>
    <w:p>
      <w:pPr>
        <w:pStyle w:val="BodyText"/>
      </w:pPr>
      <w:r>
        <w:t xml:space="preserve">World Bank. (2025, December).</w:t>
      </w:r>
      <w:r>
        <w:t xml:space="preserve"> </w:t>
      </w:r>
      <w:r>
        <w:rPr>
          <w:iCs/>
          <w:i/>
        </w:rPr>
        <w:t xml:space="preserve">Kiribati 2025 Enterprise Surveys country profile</w:t>
      </w:r>
      <w:r>
        <w:t xml:space="preserve">. World Bank Enterprise Surveys.</w:t>
      </w:r>
    </w:p>
    <w:p>
      <w:pPr>
        <w:pStyle w:val="BodyText"/>
      </w:pPr>
      <w:r>
        <w:t xml:space="preserve">World Bank. (2026).</w:t>
      </w:r>
      <w:r>
        <w:t xml:space="preserve"> </w:t>
      </w:r>
      <w:r>
        <w:rPr>
          <w:iCs/>
          <w:i/>
        </w:rPr>
        <w:t xml:space="preserve">Indicator descriptions</w:t>
      </w:r>
      <w:r>
        <w:t xml:space="preserve">. World Bank Enterprise Surveys.</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(2025d, December).</w:t>
      </w:r>
      <w:r>
        <w:t xml:space="preserve"> </w:t>
      </w:r>
      <w:r>
        <w:rPr>
          <w:iCs/>
          <w:i/>
        </w:rPr>
        <w:t xml:space="preserve">Korea global digital knowledge center</w:t>
      </w:r>
      <w:r>
        <w:t xml:space="preserve">. World Bank Group.</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(2026c). Frontier market economies: Promise, performance, and prospects. In</w:t>
      </w:r>
      <w:r>
        <w:t xml:space="preserve"> </w:t>
      </w:r>
      <w:r>
        <w:rPr>
          <w:iCs/>
          <w:i/>
        </w:rPr>
        <w:t xml:space="preserve">Global Economic Prospects, January 2026</w:t>
      </w:r>
      <w:r>
        <w:t xml:space="preserve"> </w:t>
      </w:r>
      <w:r>
        <w:t xml:space="preserve">(Chapter 4). World Bank Group. https://doi.org/10.1596/978-1-4648-2148-6</w:t>
      </w:r>
    </w:p>
    <w:p>
      <w:pPr>
        <w:pStyle w:val="BodyText"/>
      </w:pPr>
      <w:r>
        <w:t xml:space="preserve">World Bank. (2026d, April).</w:t>
      </w:r>
      <w:r>
        <w:t xml:space="preserve"> </w:t>
      </w:r>
      <w:r>
        <w:rPr>
          <w:iCs/>
          <w:i/>
        </w:rPr>
        <w:t xml:space="preserve">Commodity markets outlook, April 2026</w:t>
      </w:r>
      <w:r>
        <w:t xml:space="preserve">. World Bank Group.</w:t>
      </w:r>
    </w:p>
    <w:p>
      <w:pPr>
        <w:pStyle w:val="BodyText"/>
      </w:pPr>
      <w:r>
        <w:t xml:space="preserve">World Bank. (2026e).</w:t>
      </w:r>
      <w:r>
        <w:t xml:space="preserve"> </w:t>
      </w:r>
      <w:r>
        <w:rPr>
          <w:iCs/>
          <w:i/>
        </w:rPr>
        <w:t xml:space="preserve">Public institutions in the age of AI: Emerging practices</w:t>
      </w:r>
      <w:r>
        <w:t xml:space="preserve"> </w:t>
      </w:r>
      <w:r>
        <w:t xml:space="preserve">(Prosperity Insight Series). World Bank Group, GovTech and Public Sector Innovation.</w:t>
      </w:r>
    </w:p>
    <w:p>
      <w:pPr>
        <w:pStyle w:val="BodyText"/>
      </w:pPr>
      <w:r>
        <w:rPr>
          <w:bCs/>
          <w:b/>
        </w:rPr>
        <w:t xml:space="preserve">World Bank. (n.d.).</w:t>
      </w:r>
      <w:r>
        <w:rPr>
          <w:bCs/>
          <w:b/>
        </w:rPr>
        <w:t xml:space="preserve"> </w:t>
      </w:r>
      <w:r>
        <w:rPr>
          <w:iCs/>
          <w:i/>
          <w:bCs/>
          <w:b/>
        </w:rPr>
        <w:t xml:space="preserve">Tài liệu tóm tắt: Các chỉ số khảo sát doanh nghiệp Enterprise Surveys</w:t>
      </w:r>
      <w:r>
        <w:rPr>
          <w:bCs/>
          <w:b/>
        </w:rPr>
        <w:t xml:space="preserve"> </w:t>
      </w:r>
      <w:r>
        <w:rPr>
          <w:bCs/>
          <w:b/>
        </w:rPr>
        <w:t xml:space="preserve">[Summary document: Enterprise Survey indicators]. World Bank.</w:t>
      </w:r>
      <w:r>
        <w:t xml:space="preserve"> </w:t>
      </w:r>
      <w:r>
        <w:t xml:space="preserve">https://www.enterprisesurveys.org</w:t>
      </w:r>
      <w:r>
        <w:t xml:space="preserve"> </w:t>
      </w:r>
      <w:r>
        <w:rPr>
          <w:iCs/>
          <w:i/>
        </w:rPr>
        <w:t xml:space="preserve">(Mới v2.5 — Bản tiếng Việt tóm tắt 5 lĩnh vực WBES với thuật ngữ Việt chuẩn từ World Bank: (1) Quy định pháp lý + Thuế (Time Tax =</w:t>
      </w:r>
      <w:r>
        <w:rPr>
          <w:iCs/>
          <w:i/>
        </w:rPr>
        <w:t xml:space="preserve"> </w:t>
      </w:r>
      <w:r>
        <w:rPr>
          <w:iCs/>
          <w:i/>
        </w:rPr>
        <w:t xml:space="preserve">“</w:t>
      </w:r>
      <w:r>
        <w:rPr>
          <w:iCs/>
          <w:i/>
        </w:rPr>
        <w:t xml:space="preserve">Thuế thời gian</w:t>
      </w:r>
      <w:r>
        <w:rPr>
          <w:iCs/>
          <w:i/>
        </w:rPr>
        <w:t xml:space="preserve">”</w:t>
      </w:r>
      <w:r>
        <w:rPr>
          <w:iCs/>
          <w:i/>
        </w:rPr>
        <w:t xml:space="preserve">; Tax compliance =</w:t>
      </w:r>
      <w:r>
        <w:rPr>
          <w:iCs/>
          <w:i/>
        </w:rPr>
        <w:t xml:space="preserve"> </w:t>
      </w:r>
      <w:r>
        <w:rPr>
          <w:iCs/>
          <w:i/>
        </w:rPr>
        <w:t xml:space="preserve">“</w:t>
      </w:r>
      <w:r>
        <w:rPr>
          <w:iCs/>
          <w:i/>
        </w:rPr>
        <w:t xml:space="preserve">Tuân thủ thuế</w:t>
      </w:r>
      <w:r>
        <w:rPr>
          <w:iCs/>
          <w:i/>
        </w:rPr>
        <w:t xml:space="preserve">”</w:t>
      </w:r>
      <w:r>
        <w:rPr>
          <w:iCs/>
          <w:i/>
        </w:rPr>
        <w:t xml:space="preserve">); (2) Tài chính + Tín dụng (Credit constraint =</w:t>
      </w:r>
      <w:r>
        <w:rPr>
          <w:iCs/>
          <w:i/>
        </w:rPr>
        <w:t xml:space="preserve"> </w:t>
      </w:r>
      <w:r>
        <w:rPr>
          <w:iCs/>
          <w:i/>
        </w:rPr>
        <w:t xml:space="preserve">“</w:t>
      </w:r>
      <w:r>
        <w:rPr>
          <w:iCs/>
          <w:i/>
        </w:rPr>
        <w:t xml:space="preserve">Hạn chế tín dụng</w:t>
      </w:r>
      <w:r>
        <w:rPr>
          <w:iCs/>
          <w:i/>
        </w:rPr>
        <w:t xml:space="preserve">”</w:t>
      </w:r>
      <w:r>
        <w:rPr>
          <w:iCs/>
          <w:i/>
        </w:rPr>
        <w:t xml:space="preserve">; Financial digitalization =</w:t>
      </w:r>
      <w:r>
        <w:rPr>
          <w:iCs/>
          <w:i/>
        </w:rPr>
        <w:t xml:space="preserve"> </w:t>
      </w:r>
      <w:r>
        <w:rPr>
          <w:iCs/>
          <w:i/>
        </w:rPr>
        <w:t xml:space="preserve">“</w:t>
      </w:r>
      <w:r>
        <w:rPr>
          <w:iCs/>
          <w:i/>
        </w:rPr>
        <w:t xml:space="preserve">Số hóa tài chính</w:t>
      </w:r>
      <w:r>
        <w:rPr>
          <w:iCs/>
          <w:i/>
        </w:rPr>
        <w:t xml:space="preserve">”</w:t>
      </w:r>
      <w:r>
        <w:rPr>
          <w:iCs/>
          <w:i/>
        </w:rPr>
        <w:t xml:space="preserve">); (3) Cơ sở hạ tầng + Khí hậu (Energy management =</w:t>
      </w:r>
      <w:r>
        <w:rPr>
          <w:iCs/>
          <w:i/>
        </w:rPr>
        <w:t xml:space="preserve"> </w:t>
      </w:r>
      <w:r>
        <w:rPr>
          <w:iCs/>
          <w:i/>
        </w:rPr>
        <w:t xml:space="preserve">“</w:t>
      </w:r>
      <w:r>
        <w:rPr>
          <w:iCs/>
          <w:i/>
        </w:rPr>
        <w:t xml:space="preserve">Quản lý năng lượng</w:t>
      </w:r>
      <w:r>
        <w:rPr>
          <w:iCs/>
          <w:i/>
        </w:rPr>
        <w:t xml:space="preserve">”</w:t>
      </w:r>
      <w:r>
        <w:rPr>
          <w:iCs/>
          <w:i/>
        </w:rPr>
        <w:t xml:space="preserve">); (4) Tham nhũng + Tranh chấp (Bribery =</w:t>
      </w:r>
      <w:r>
        <w:rPr>
          <w:iCs/>
          <w:i/>
        </w:rPr>
        <w:t xml:space="preserve"> </w:t>
      </w:r>
      <w:r>
        <w:rPr>
          <w:iCs/>
          <w:i/>
        </w:rPr>
        <w:t xml:space="preserve">“</w:t>
      </w:r>
      <w:r>
        <w:rPr>
          <w:iCs/>
          <w:i/>
        </w:rPr>
        <w:t xml:space="preserve">Hối lộ</w:t>
      </w:r>
      <w:r>
        <w:rPr>
          <w:iCs/>
          <w:i/>
        </w:rPr>
        <w:t xml:space="preserve">”</w:t>
      </w:r>
      <w:r>
        <w:rPr>
          <w:iCs/>
          <w:i/>
        </w:rPr>
        <w:t xml:space="preserve">; Graft =</w:t>
      </w:r>
      <w:r>
        <w:rPr>
          <w:iCs/>
          <w:i/>
        </w:rPr>
        <w:t xml:space="preserve"> </w:t>
      </w:r>
      <w:r>
        <w:rPr>
          <w:iCs/>
          <w:i/>
        </w:rPr>
        <w:t xml:space="preserve">“</w:t>
      </w:r>
      <w:r>
        <w:rPr>
          <w:iCs/>
          <w:i/>
        </w:rPr>
        <w:t xml:space="preserve">Tham ô</w:t>
      </w:r>
      <w:r>
        <w:rPr>
          <w:iCs/>
          <w:i/>
        </w:rPr>
        <w:t xml:space="preserve">”</w:t>
      </w:r>
      <w:r>
        <w:rPr>
          <w:iCs/>
          <w:i/>
        </w:rPr>
        <w:t xml:space="preserve">); (5) Lao động + Đổi mới (Online presence =</w:t>
      </w:r>
      <w:r>
        <w:rPr>
          <w:iCs/>
          <w:i/>
        </w:rPr>
        <w:t xml:space="preserve"> </w:t>
      </w:r>
      <w:r>
        <w:rPr>
          <w:iCs/>
          <w:i/>
        </w:rPr>
        <w:t xml:space="preserve">“</w:t>
      </w:r>
      <w:r>
        <w:rPr>
          <w:iCs/>
          <w:i/>
        </w:rPr>
        <w:t xml:space="preserve">Hiện diện trực tuyến</w:t>
      </w:r>
      <w:r>
        <w:rPr>
          <w:iCs/>
          <w:i/>
        </w:rPr>
        <w:t xml:space="preserve">”</w:t>
      </w:r>
      <w:r>
        <w:rPr>
          <w:iCs/>
          <w:i/>
        </w:rPr>
        <w:t xml:space="preserve">). Năm xuất bản KHÔNG ghi rõ — APA 7th cite</w:t>
      </w:r>
      <w:r>
        <w:rPr>
          <w:iCs/>
          <w:i/>
        </w:rPr>
        <w:t xml:space="preserve"> </w:t>
      </w:r>
      <w:r>
        <w:rPr>
          <w:iCs/>
          <w:i/>
        </w:rPr>
        <w:t xml:space="preserve">“</w:t>
      </w:r>
      <w:r>
        <w:rPr>
          <w:iCs/>
          <w:i/>
        </w:rPr>
        <w:t xml:space="preserve">n.d.</w:t>
      </w:r>
      <w:r>
        <w:rPr>
          <w:iCs/>
          <w:i/>
        </w:rPr>
        <w:t xml:space="preserve">”</w:t>
      </w:r>
      <w:r>
        <w:rPr>
          <w:iCs/>
          <w:i/>
        </w:rPr>
        <w:t xml:space="preserve"> </w:t>
      </w:r>
      <w:r>
        <w:rPr>
          <w:iCs/>
          <w:i/>
        </w:rPr>
        <w:t xml:space="preserve">per §8.31. Cited file 09b_vn_term_glossary.md cho thuật ngữ chuẩn + chuyển dịch tiếng Việt CĐ1 v3.x.)</w:t>
      </w:r>
    </w:p>
    <w:p>
      <w:pPr>
        <w:pStyle w:val="BodyText"/>
      </w:pPr>
      <w:r>
        <w:rPr>
          <w:bCs/>
          <w:b/>
        </w:rPr>
        <w:t xml:space="preserve">World Bank. (2025, July 1).</w:t>
      </w:r>
      <w:r>
        <w:rPr>
          <w:bCs/>
          <w:b/>
        </w:rPr>
        <w:t xml:space="preserve"> </w:t>
      </w:r>
      <w:r>
        <w:rPr>
          <w:iCs/>
          <w:i/>
          <w:bCs/>
          <w:b/>
        </w:rPr>
        <w:t xml:space="preserve">Hướng dẫn học tập: Hệ thống phân loại quốc gia và khảo sát doanh nghiệp của Ngân hàng Thế giới (FY26)</w:t>
      </w:r>
      <w:r>
        <w:rPr>
          <w:bCs/>
          <w:b/>
        </w:rPr>
        <w:t xml:space="preserve"> </w:t>
      </w:r>
      <w:r>
        <w:rPr>
          <w:bCs/>
          <w:b/>
        </w:rPr>
        <w:t xml:space="preserve">[Learning guide: World Bank country classification system FY26]. World Bank.</w:t>
      </w:r>
      <w:r>
        <w:t xml:space="preserve"> </w:t>
      </w:r>
      <w:r>
        <w:rPr>
          <w:iCs/>
          <w:i/>
        </w:rPr>
        <w:t xml:space="preserve">(Mới v2.5 — Bản tiếng Việt FY26 (hiệu lực 1/7/2025) với 3 hệ thống phân loại: (a)</w:t>
      </w:r>
      <w:r>
        <w:rPr>
          <w:iCs/>
          <w:i/>
        </w:rPr>
        <w:t xml:space="preserve"> </w:t>
      </w:r>
      <w:r>
        <w:rPr>
          <w:bCs/>
          <w:b/>
          <w:iCs/>
          <w:i/>
        </w:rPr>
        <w:t xml:space="preserve">4 income groups</w:t>
      </w:r>
      <w:r>
        <w:rPr>
          <w:iCs/>
          <w:i/>
        </w:rPr>
        <w:t xml:space="preserve">: Thu nhập thấp ≤$1.135 GNI; Thu nhập trung bình thấp $1.136–$4.495; Thu nhập trung bình cao $4.496–$13.935; Thu nhập cao &gt;$13.935; (b)</w:t>
      </w:r>
      <w:r>
        <w:rPr>
          <w:iCs/>
          <w:i/>
        </w:rPr>
        <w:t xml:space="preserve"> </w:t>
      </w:r>
      <w:r>
        <w:rPr>
          <w:bCs/>
          <w:b/>
          <w:iCs/>
          <w:i/>
        </w:rPr>
        <w:t xml:space="preserve">7 regions</w:t>
      </w:r>
      <w:r>
        <w:rPr>
          <w:iCs/>
          <w:i/>
        </w:rPr>
        <w:t xml:space="preserve">: EAP (Đông Á + Thái Bình Dương), ECA (Châu Âu + Trung Á), LAC (Mỹ Latinh + Caribe),</w:t>
      </w:r>
      <w:r>
        <w:rPr>
          <w:iCs/>
          <w:i/>
        </w:rPr>
        <w:t xml:space="preserve"> </w:t>
      </w:r>
      <w:r>
        <w:rPr>
          <w:bCs/>
          <w:b/>
          <w:iCs/>
          <w:i/>
        </w:rPr>
        <w:t xml:space="preserve">MENAAP (mới FY26 — Trung Đông + Bắc Phi + Afghanistan + Pakistan)</w:t>
      </w:r>
      <w:r>
        <w:rPr>
          <w:iCs/>
          <w:i/>
        </w:rPr>
        <w:t xml:space="preserve">, NA (Bắc Mỹ), SAS (Nam Á), SSA (Châu Phi cận Sahara); (c)</w:t>
      </w:r>
      <w:r>
        <w:rPr>
          <w:iCs/>
          <w:i/>
        </w:rPr>
        <w:t xml:space="preserve"> </w:t>
      </w:r>
      <w:r>
        <w:rPr>
          <w:bCs/>
          <w:b/>
          <w:iCs/>
          <w:i/>
        </w:rPr>
        <w:t xml:space="preserve">3 borrowing classifications</w:t>
      </w:r>
      <w:r>
        <w:rPr>
          <w:iCs/>
          <w:i/>
        </w:rPr>
        <w:t xml:space="preserve">: IDA only / Blend / IBRD only; (d)</w:t>
      </w:r>
      <w:r>
        <w:rPr>
          <w:iCs/>
          <w:i/>
        </w:rPr>
        <w:t xml:space="preserve"> </w:t>
      </w:r>
      <w:r>
        <w:rPr>
          <w:bCs/>
          <w:b/>
          <w:iCs/>
          <w:i/>
        </w:rPr>
        <w:t xml:space="preserve">Phương pháp Atlas</w:t>
      </w:r>
      <w:r>
        <w:rPr>
          <w:iCs/>
          <w:i/>
        </w:rPr>
        <w:t xml:space="preserve"> </w:t>
      </w:r>
      <w:r>
        <w:rPr>
          <w:iCs/>
          <w:i/>
        </w:rPr>
        <w:t xml:space="preserve">để tính GNI per capita. Cited §1.3 phạm vi không gian (47 nước châu Á phân loại theo income group) + §3 ICRV regime classification trong CĐ1 v3.x.)</w:t>
      </w:r>
    </w:p>
    <w:p>
      <w:pPr>
        <w:pStyle w:val="BodyText"/>
      </w:pPr>
      <w:r>
        <w:t xml:space="preserve">ADB. (2016).</w:t>
      </w:r>
      <w:r>
        <w:t xml:space="preserve"> </w:t>
      </w:r>
      <w:r>
        <w:rPr>
          <w:iCs/>
          <w:i/>
        </w:rPr>
        <w:t xml:space="preserve">Asian Economic Integration Report 2016 Highlights</w:t>
      </w:r>
      <w:r>
        <w:t xml:space="preserve">. Asian Development Bank. https://www.adb.org/publications/asian-economic-integration-report-2016</w:t>
      </w:r>
    </w:p>
    <w:p>
      <w:pPr>
        <w:pStyle w:val="BodyText"/>
      </w:pPr>
      <w:r>
        <w:t xml:space="preserve">ADB. (2024).</w:t>
      </w:r>
      <w:r>
        <w:t xml:space="preserve"> </w:t>
      </w:r>
      <w:r>
        <w:rPr>
          <w:iCs/>
          <w:i/>
        </w:rPr>
        <w:t xml:space="preserve">Asian Development Outlook 2024 — Recovery and resilience in Asia</w:t>
      </w:r>
      <w:r>
        <w:t xml:space="preserve">. Asian Development Bank.</w:t>
      </w:r>
    </w:p>
    <w:p>
      <w:pPr>
        <w:pStyle w:val="BodyText"/>
      </w:pPr>
      <w:r>
        <w:rPr>
          <w:bCs/>
          <w:b/>
        </w:rPr>
        <w:t xml:space="preserve">ADB. (2025).</w:t>
      </w:r>
      <w:r>
        <w:rPr>
          <w:bCs/>
          <w:b/>
        </w:rPr>
        <w:t xml:space="preserve"> </w:t>
      </w:r>
      <w:r>
        <w:rPr>
          <w:iCs/>
          <w:i/>
          <w:bCs/>
          <w:b/>
        </w:rPr>
        <w:t xml:space="preserve">Annual Report 2025 — Online Appendix 1: Resolutions of the Board of Governors Adopted in 2025</w:t>
      </w:r>
      <w:r>
        <w:rPr>
          <w:bCs/>
          <w:b/>
        </w:rPr>
        <w:t xml:space="preserve">. Asian Development Bank.</w:t>
      </w:r>
      <w:r>
        <w:t xml:space="preserve"> </w:t>
      </w:r>
      <w:r>
        <w:t xml:space="preserve">https://www.adb.org/documents/adb-annual-report-2025</w:t>
      </w:r>
      <w:r>
        <w:t xml:space="preserve"> </w:t>
      </w:r>
      <w:r>
        <w:rPr>
          <w:iCs/>
          <w:i/>
        </w:rPr>
        <w:t xml:space="preserve">(Mới v2.3 — Resolution 437 charter lending limit removal.)</w:t>
      </w:r>
    </w:p>
    <w:p>
      <w:pPr>
        <w:pStyle w:val="BodyText"/>
      </w:pPr>
      <w:r>
        <w:t xml:space="preserve">ADB. (2026, March).</w:t>
      </w:r>
      <w:r>
        <w:t xml:space="preserve"> </w:t>
      </w:r>
      <w:r>
        <w:rPr>
          <w:iCs/>
          <w:i/>
        </w:rPr>
        <w:t xml:space="preserve">Asia Bond Monitor March 2026: Emerging East Asian Local Currency Bond Markets</w:t>
      </w:r>
      <w:r>
        <w:t xml:space="preserve">. Asian Development Bank. https://doi.org/10.22617/SGP260088-2</w:t>
      </w:r>
    </w:p>
    <w:p>
      <w:pPr>
        <w:pStyle w:val="BodyText"/>
      </w:pPr>
      <w:r>
        <w:t xml:space="preserve">ADB. (2026, April).</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rPr>
          <w:bCs/>
          <w:b/>
        </w:rPr>
        <w:t xml:space="preserve">ADB. (2026, April).</w:t>
      </w:r>
      <w:r>
        <w:rPr>
          <w:bCs/>
          <w:b/>
        </w:rPr>
        <w:t xml:space="preserve"> </w:t>
      </w:r>
      <w:r>
        <w:rPr>
          <w:iCs/>
          <w:i/>
          <w:bCs/>
          <w:b/>
        </w:rPr>
        <w:t xml:space="preserve">Asian Development Outlook April 2026: Special Topic — Artificial Intelligence in Asia and the Pacific</w:t>
      </w:r>
      <w:r>
        <w:rPr>
          <w:bCs/>
          <w:b/>
        </w:rPr>
        <w:t xml:space="preserve">. Asian Development Bank.</w:t>
      </w:r>
      <w:r>
        <w:t xml:space="preserve"> </w:t>
      </w:r>
      <w:r>
        <w:rPr>
          <w:iCs/>
          <w:i/>
        </w:rPr>
        <w:t xml:space="preserve">(Mới v2.3)</w:t>
      </w:r>
    </w:p>
    <w:p>
      <w:pPr>
        <w:pStyle w:val="BodyText"/>
      </w:pPr>
      <w:r>
        <w:rPr>
          <w:bCs/>
          <w:b/>
        </w:rPr>
        <w:t xml:space="preserve">ADB. (2026, April).</w:t>
      </w:r>
      <w:r>
        <w:rPr>
          <w:bCs/>
          <w:b/>
        </w:rPr>
        <w:t xml:space="preserve"> </w:t>
      </w:r>
      <w:r>
        <w:rPr>
          <w:iCs/>
          <w:i/>
          <w:bCs/>
          <w:b/>
        </w:rPr>
        <w:t xml:space="preserve">Vietnam Economic Outlook 2026: Navigating the Crosscurrents</w:t>
      </w:r>
      <w:r>
        <w:rPr>
          <w:bCs/>
          <w:b/>
        </w:rPr>
        <w:t xml:space="preserve">. Asian Development Bank.</w:t>
      </w:r>
      <w:r>
        <w:t xml:space="preserve"> </w:t>
      </w:r>
      <w:r>
        <w:t xml:space="preserve">https://www.adb.org/viet-nam</w:t>
      </w:r>
      <w:r>
        <w:t xml:space="preserve"> </w:t>
      </w:r>
      <w:r>
        <w:rPr>
          <w:iCs/>
          <w:i/>
        </w:rPr>
        <w:t xml:space="preserve">(Mới v2.5 — Báo cáo Việt Nam-specific tháng 4/2026 từ ADB. Key forecasts: (a)</w:t>
      </w:r>
      <w:r>
        <w:rPr>
          <w:iCs/>
          <w:i/>
        </w:rPr>
        <w:t xml:space="preserve"> </w:t>
      </w:r>
      <w:r>
        <w:rPr>
          <w:bCs/>
          <w:b/>
          <w:iCs/>
          <w:i/>
        </w:rPr>
        <w:t xml:space="preserve">GDP growth: 7,2% (2026), 7,0% (2027)</w:t>
      </w:r>
      <w:r>
        <w:rPr>
          <w:iCs/>
          <w:i/>
        </w:rPr>
        <w:t xml:space="preserve"> </w:t>
      </w:r>
      <w:r>
        <w:rPr>
          <w:iCs/>
          <w:i/>
        </w:rPr>
        <w:t xml:space="preserve">— vượt mức bình quân ASEAN 4,6% và Đông Nam Á 4,7%; cao hơn dự báo IMF WEO April 2026 ~7,0% và ADB ADO April 2026 7,0%; (b)</w:t>
      </w:r>
      <w:r>
        <w:rPr>
          <w:iCs/>
          <w:i/>
        </w:rPr>
        <w:t xml:space="preserve"> </w:t>
      </w:r>
      <w:r>
        <w:rPr>
          <w:bCs/>
          <w:b/>
          <w:iCs/>
          <w:i/>
        </w:rPr>
        <w:t xml:space="preserve">FDI commitment $2,4B / 18 dự án chiến lược</w:t>
      </w:r>
      <w:r>
        <w:rPr>
          <w:iCs/>
          <w:i/>
        </w:rPr>
        <w:t xml:space="preserve"> </w:t>
      </w:r>
      <w:r>
        <w:rPr>
          <w:iCs/>
          <w:i/>
        </w:rPr>
        <w:t xml:space="preserve">(fintech, năng lượng sạch, logistics); (c)</w:t>
      </w:r>
      <w:r>
        <w:rPr>
          <w:iCs/>
          <w:i/>
        </w:rPr>
        <w:t xml:space="preserve"> </w:t>
      </w:r>
      <w:r>
        <w:rPr>
          <w:bCs/>
          <w:b/>
          <w:iCs/>
          <w:i/>
        </w:rPr>
        <w:t xml:space="preserve">Năng suất lao động +5,1% 2026-2027</w:t>
      </w:r>
      <w:r>
        <w:rPr>
          <w:iCs/>
          <w:i/>
        </w:rPr>
        <w:t xml:space="preserve"> </w:t>
      </w:r>
      <w:r>
        <w:rPr>
          <w:iCs/>
          <w:i/>
        </w:rPr>
        <w:t xml:space="preserve">với FDI manufacturing tiến vào</w:t>
      </w:r>
      <w:r>
        <w:rPr>
          <w:iCs/>
          <w:i/>
        </w:rPr>
        <w:t xml:space="preserve"> </w:t>
      </w:r>
      <w:r>
        <w:rPr>
          <w:iCs/>
          <w:i/>
        </w:rPr>
        <w:t xml:space="preserve">“</w:t>
      </w:r>
      <w:r>
        <w:rPr>
          <w:iCs/>
          <w:i/>
        </w:rPr>
        <w:t xml:space="preserve">higher-value</w:t>
      </w:r>
      <w:r>
        <w:rPr>
          <w:iCs/>
          <w:i/>
        </w:rPr>
        <w:t xml:space="preserve">”</w:t>
      </w:r>
      <w:r>
        <w:rPr>
          <w:iCs/>
          <w:i/>
        </w:rPr>
        <w:t xml:space="preserve"> </w:t>
      </w:r>
      <w:r>
        <w:rPr>
          <w:iCs/>
          <w:i/>
        </w:rPr>
        <w:t xml:space="preserve">stage; (d) Lạm phát dự phóng 4,0%; (e) Two-tier framing: FDI-sector 18% global solution contribution vs SMEs nội địa cần hỗ trợ fintech/capacity (ADB Policy-Based Loans $2,4B target nhóm này); (f) GVC re-positioning từ assembly → mid-stream design/R&amp;D dựa trên 3 trụ cột Resilience + Environmental Sustainability + Inclusiveness. Cited §1.1 lớp 6 update + §5.3 Vietnam case study trong CĐ1 v3.9.)</w:t>
      </w:r>
    </w:p>
    <w:p>
      <w:pPr>
        <w:pStyle w:val="BodyText"/>
      </w:pPr>
      <w:r>
        <w:rPr>
          <w:bCs/>
          <w:b/>
        </w:rPr>
        <w:t xml:space="preserve">ADB. (2026).</w:t>
      </w:r>
      <w:r>
        <w:rPr>
          <w:bCs/>
          <w:b/>
        </w:rPr>
        <w:t xml:space="preserve"> </w:t>
      </w:r>
      <w:r>
        <w:rPr>
          <w:iCs/>
          <w:i/>
          <w:bCs/>
          <w:b/>
        </w:rPr>
        <w:t xml:space="preserve">Asia-Pacific Development Report 2026: Highlights — Global Value Chain Participation in Developing Asia</w:t>
      </w:r>
      <w:r>
        <w:rPr>
          <w:bCs/>
          <w:b/>
        </w:rPr>
        <w:t xml:space="preserve">. Asian Development Bank.</w:t>
      </w:r>
      <w:r>
        <w:t xml:space="preserve"> </w:t>
      </w:r>
      <w:r>
        <w:rPr>
          <w:iCs/>
          <w:i/>
        </w:rPr>
        <w:t xml:space="preserve">(Mới v2.3 — GVC participation 9% → 18% 2000-2023.)</w:t>
      </w:r>
    </w:p>
    <w:p>
      <w:pPr>
        <w:pStyle w:val="BodyText"/>
      </w:pPr>
      <w:r>
        <w:t xml:space="preserve">ADB. (2026, May).</w:t>
      </w:r>
      <w:r>
        <w:t xml:space="preserve"> </w:t>
      </w:r>
      <w:r>
        <w:rPr>
          <w:iCs/>
          <w:i/>
        </w:rPr>
        <w:t xml:space="preserve">Market Assessment of Critical Minerals in Mongolia</w:t>
      </w:r>
      <w:r>
        <w:t xml:space="preserve">. Asian Development Bank. https://doi.org/10.22617/TCS260157-2</w:t>
      </w:r>
    </w:p>
    <w:p>
      <w:pPr>
        <w:pStyle w:val="BodyText"/>
      </w:pPr>
      <w:r>
        <w:rPr>
          <w:bCs/>
          <w:b/>
        </w:rPr>
        <w:t xml:space="preserve">International Finance Corporation. (n.d.).</w:t>
      </w:r>
      <w:r>
        <w:rPr>
          <w:bCs/>
          <w:b/>
        </w:rPr>
        <w:t xml:space="preserve"> </w:t>
      </w:r>
      <w:r>
        <w:rPr>
          <w:iCs/>
          <w:i/>
          <w:bCs/>
          <w:b/>
        </w:rPr>
        <w:t xml:space="preserve">Private Sector Development Blueprint: Decoding the World Bank Enterprise Surveys</w:t>
      </w:r>
      <w:r>
        <w:rPr>
          <w:bCs/>
          <w:b/>
        </w:rPr>
        <w:t xml:space="preserve">. World Bank Group.</w:t>
      </w:r>
      <w:r>
        <w:t xml:space="preserve"> </w:t>
      </w:r>
      <w:r>
        <w:rPr>
          <w:iCs/>
          <w:i/>
        </w:rPr>
        <w:t xml:space="preserve">(Mới v2.5 — IFC blueprint phân tích WBES theo 3 trụ cột: (1)</w:t>
      </w:r>
      <w:r>
        <w:rPr>
          <w:iCs/>
          <w:i/>
        </w:rPr>
        <w:t xml:space="preserve"> </w:t>
      </w:r>
      <w:r>
        <w:rPr>
          <w:bCs/>
          <w:b/>
          <w:iCs/>
          <w:i/>
        </w:rPr>
        <w:t xml:space="preserve">Institutional foundations</w:t>
      </w:r>
      <w:r>
        <w:rPr>
          <w:iCs/>
          <w:i/>
        </w:rPr>
        <w:t xml:space="preserve"> </w:t>
      </w:r>
      <w:r>
        <w:rPr>
          <w:iCs/>
          <w:i/>
        </w:rPr>
        <w:t xml:space="preserve">(nền tảng thể chế — qui định thuế, quyền sở hữu tài sản, giải quyết tranh chấp); (2)</w:t>
      </w:r>
      <w:r>
        <w:rPr>
          <w:iCs/>
          <w:i/>
        </w:rPr>
        <w:t xml:space="preserve"> </w:t>
      </w:r>
      <w:r>
        <w:rPr>
          <w:bCs/>
          <w:b/>
          <w:iCs/>
          <w:i/>
        </w:rPr>
        <w:t xml:space="preserve">Operational resources</w:t>
      </w:r>
      <w:r>
        <w:rPr>
          <w:iCs/>
          <w:i/>
        </w:rPr>
        <w:t xml:space="preserve"> </w:t>
      </w:r>
      <w:r>
        <w:rPr>
          <w:iCs/>
          <w:i/>
        </w:rPr>
        <w:t xml:space="preserve">(nguồn lực vận hành — lao động, tài chính, năng lượng, internet); (3)</w:t>
      </w:r>
      <w:r>
        <w:rPr>
          <w:iCs/>
          <w:i/>
        </w:rPr>
        <w:t xml:space="preserve"> </w:t>
      </w:r>
      <w:r>
        <w:rPr>
          <w:bCs/>
          <w:b/>
          <w:iCs/>
          <w:i/>
        </w:rPr>
        <w:t xml:space="preserve">Market dynamics</w:t>
      </w:r>
      <w:r>
        <w:rPr>
          <w:iCs/>
          <w:i/>
        </w:rPr>
        <w:t xml:space="preserve"> </w:t>
      </w:r>
      <w:r>
        <w:rPr>
          <w:iCs/>
          <w:i/>
        </w:rPr>
        <w:t xml:space="preserve">(động lực thị trường — cạnh tranh, FDI, xuất nhập khẩu).</w:t>
      </w:r>
      <w:r>
        <w:rPr>
          <w:iCs/>
          <w:i/>
        </w:rPr>
        <w:t xml:space="preserve"> </w:t>
      </w:r>
      <w:r>
        <w:rPr>
          <w:bCs/>
          <w:b/>
          <w:iCs/>
          <w:i/>
        </w:rPr>
        <w:t xml:space="preserve">6 essential public transactions</w:t>
      </w:r>
      <w:r>
        <w:rPr>
          <w:iCs/>
          <w:i/>
        </w:rPr>
        <w:t xml:space="preserve"> </w:t>
      </w:r>
      <w:r>
        <w:rPr>
          <w:iCs/>
          <w:i/>
        </w:rPr>
        <w:t xml:space="preserve">key bottleneck cho doanh nghiệp: cấp phép hoạt động, cấp phép xây dựng, kết nối điện, kết nối nước, cấp phép khảo sát đất, hoàn thuế VAT. Doanh nghiệp xuất khẩu mất ~1 tuần (xuất khẩu) / ~2 tuần (nhập khẩu); ~40% doanh nghiệp coi thủ tục thương mại là rào cản lớn nhất.</w:t>
      </w:r>
      <w:r>
        <w:rPr>
          <w:iCs/>
          <w:i/>
        </w:rPr>
        <w:t xml:space="preserve"> </w:t>
      </w:r>
      <w:r>
        <w:rPr>
          <w:bCs/>
          <w:b/>
          <w:iCs/>
          <w:i/>
        </w:rPr>
        <w:t xml:space="preserve">Năm xuất bản KHÔNG ghi rõ — APA 7th cite</w:t>
      </w:r>
      <w:r>
        <w:rPr>
          <w:bCs/>
          <w:b/>
          <w:iCs/>
          <w:i/>
        </w:rPr>
        <w:t xml:space="preserve"> </w:t>
      </w:r>
      <w:r>
        <w:rPr>
          <w:bCs/>
          <w:b/>
          <w:iCs/>
          <w:i/>
        </w:rPr>
        <w:t xml:space="preserve">“</w:t>
      </w:r>
      <w:r>
        <w:rPr>
          <w:bCs/>
          <w:b/>
          <w:iCs/>
          <w:i/>
        </w:rPr>
        <w:t xml:space="preserve">n.d.</w:t>
      </w:r>
      <w:r>
        <w:rPr>
          <w:bCs/>
          <w:b/>
          <w:iCs/>
          <w:i/>
        </w:rPr>
        <w:t xml:space="preserve">”</w:t>
      </w:r>
      <w:r>
        <w:rPr>
          <w:iCs/>
          <w:i/>
        </w:rPr>
        <w:t xml:space="preserve"> </w:t>
      </w:r>
      <w:r>
        <w:rPr>
          <w:iCs/>
          <w:i/>
        </w:rPr>
        <w:t xml:space="preserve">per §8.31; ước lượng 2023-2024. NCS verify trên trang IFC trước final. Cited §6 yếu tố giải thích trong CĐ1 v3.x — bổ sung framework 3 trụ cột cho ICRV interpretation.)</w:t>
      </w:r>
    </w:p>
    <w:p>
      <w:pPr>
        <w:pStyle w:val="BodyText"/>
      </w:pPr>
      <w:r>
        <w:t xml:space="preserve">IMF. (2026, April).</w:t>
      </w:r>
      <w:r>
        <w:t xml:space="preserve"> </w:t>
      </w:r>
      <w:r>
        <w:rPr>
          <w:iCs/>
          <w:i/>
        </w:rPr>
        <w:t xml:space="preserve">World Economic Outlook April 2026: Global Economy in the Shadow of War</w:t>
      </w:r>
      <w:r>
        <w:t xml:space="preserve">. International Monetary Fund.</w:t>
      </w:r>
    </w:p>
    <w:p>
      <w:pPr>
        <w:pStyle w:val="BodyText"/>
      </w:pPr>
      <w:r>
        <w:t xml:space="preserve">OECD. (2026, March).</w:t>
      </w:r>
      <w:r>
        <w:t xml:space="preserve"> </w:t>
      </w:r>
      <w:r>
        <w:rPr>
          <w:iCs/>
          <w:i/>
        </w:rPr>
        <w:t xml:space="preserve">OECD Economic Outlook, Volume 2026 Issue 1</w:t>
      </w:r>
      <w:r>
        <w:t xml:space="preserve">. Organisation for Economic Co-operation and Development.</w:t>
      </w:r>
    </w:p>
    <w:p>
      <w:pPr>
        <w:pStyle w:val="BodyText"/>
      </w:pPr>
      <w:r>
        <w:t xml:space="preserve">OECD. (2026, April).</w:t>
      </w:r>
      <w:r>
        <w:t xml:space="preserve"> </w:t>
      </w:r>
      <w:r>
        <w:rPr>
          <w:iCs/>
          <w:i/>
        </w:rPr>
        <w:t xml:space="preserve">FDI in Figures, April 2026</w:t>
      </w:r>
      <w:r>
        <w:t xml:space="preserve">. Organisation for Economic Co-operation and Development.</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w:t>
      </w:r>
    </w:p>
    <w:p>
      <w:pPr>
        <w:pStyle w:val="BodyText"/>
      </w:pPr>
      <w:r>
        <w:t xml:space="preserve">WIPO. (2024).</w:t>
      </w:r>
      <w:r>
        <w:t xml:space="preserve"> </w:t>
      </w:r>
      <w:r>
        <w:rPr>
          <w:iCs/>
          <w:i/>
        </w:rPr>
        <w:t xml:space="preserve">Global Innovation Index 2024: Unlocking the promise of social entrepreneurship</w:t>
      </w:r>
      <w:r>
        <w:t xml:space="preserve">. World Intellectual Property Organization.</w:t>
      </w:r>
    </w:p>
    <w:bookmarkEnd w:id="208"/>
    <w:bookmarkStart w:id="209" w:name="Xde200f04073635a38db4cac94b8061369cfcb08"/>
    <w:p>
      <w:pPr>
        <w:pStyle w:val="Heading2"/>
      </w:pPr>
      <w:r>
        <w:t xml:space="preserve">L. Tham khảo bổ sung 2024–2026 (cập nhật v2.4)</w:t>
      </w:r>
    </w:p>
    <w:p>
      <w:pPr>
        <w:pStyle w:val="FirstParagraph"/>
      </w:pPr>
      <w:r>
        <w:t xml:space="preserve">Zhang, Y., Qiu, Z., Park, D., &amp; Tian, S. (2026). The role of artificial intelligence in finance: A selective review and implications for Asia’s financial stability. In</w:t>
      </w:r>
      <w:r>
        <w:t xml:space="preserve"> </w:t>
      </w:r>
      <w:r>
        <w:rPr>
          <w:iCs/>
          <w:i/>
        </w:rPr>
        <w:t xml:space="preserve">Asia Bond Monitor</w:t>
      </w:r>
      <w:r>
        <w:t xml:space="preserve"> </w:t>
      </w:r>
      <w:r>
        <w:t xml:space="preserve">(March 2026, Special Section, pp. 38–43). Asian Development Bank.</w:t>
      </w:r>
    </w:p>
    <w:p>
      <w:pPr>
        <w:pStyle w:val="BodyText"/>
      </w:pPr>
      <w:r>
        <w:t xml:space="preserve">Yang, B., Bai, W., Chen, Y., &amp; Rong, K. (2025). Internationalization of digital firms: A systematic review and research agenda.</w:t>
      </w:r>
      <w:r>
        <w:t xml:space="preserve"> </w:t>
      </w:r>
      <w:r>
        <w:rPr>
          <w:iCs/>
          <w:i/>
        </w:rPr>
        <w:t xml:space="preserve">Journal of Business Research</w:t>
      </w:r>
      <w:r>
        <w:t xml:space="preserve">.</w:t>
      </w:r>
      <w:r>
        <w:t xml:space="preserve"> </w:t>
      </w:r>
      <w:r>
        <w:rPr>
          <w:iCs/>
          <w:i/>
        </w:rPr>
        <w:t xml:space="preserve">(Trước khi trích dẫn chính thức cần xác minh volume, issue, pages, DOI.)</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rPr>
          <w:bCs/>
          <w:b/>
        </w:rPr>
        <w:t xml:space="preserve">Malerba, F., &amp; Orsenigo, L. (1995). Schumpeterian patterns of innovation.</w:t>
      </w:r>
      <w:r>
        <w:rPr>
          <w:bCs/>
          <w:b/>
        </w:rPr>
        <w:t xml:space="preserve"> </w:t>
      </w:r>
      <w:r>
        <w:rPr>
          <w:iCs/>
          <w:i/>
          <w:bCs/>
          <w:b/>
        </w:rPr>
        <w:t xml:space="preserve">Cambridge Journal of Economics, 19</w:t>
      </w:r>
      <w:r>
        <w:rPr>
          <w:bCs/>
          <w:b/>
        </w:rPr>
        <w:t xml:space="preserve">(1), 47–65.</w:t>
      </w:r>
      <w:r>
        <w:t xml:space="preserve"> </w:t>
      </w:r>
      <w:r>
        <w:t xml:space="preserve">https://doi.org/10.1093/oxfordjournals.cje.a035301</w:t>
      </w:r>
      <w:r>
        <w:t xml:space="preserve"> </w:t>
      </w:r>
      <w:r>
        <w:rPr>
          <w:iCs/>
          <w:i/>
        </w:rPr>
        <w:t xml:space="preserve">(Mới v2.4)</w:t>
      </w:r>
    </w:p>
    <w:bookmarkEnd w:id="209"/>
    <w:bookmarkStart w:id="210" w:name="X7241ee869b897bec300afe2239fcffb546e80e2"/>
    <w:p>
      <w:pPr>
        <w:pStyle w:val="Heading2"/>
      </w:pPr>
      <w:r>
        <w:t xml:space="preserve">M. Công trình của tác giả luận án (NCS Đỗ Thùy Hương)</w:t>
      </w:r>
    </w:p>
    <w:p>
      <w:pPr>
        <w:pStyle w:val="FirstParagraph"/>
      </w:pPr>
      <w:r>
        <w:t xml:space="preserve">(Giữ nguyên từ v2.1 — 4 đã xuất bản 2024-2026 + 4 đang chuẩn bị P3/P4/P5/P8.)</w:t>
      </w:r>
    </w:p>
    <w:bookmarkEnd w:id="210"/>
    <w:bookmarkStart w:id="211" w:name="X1905c160c4cd52294e7a67a5792aaeb2433790b"/>
    <w:p>
      <w:pPr>
        <w:pStyle w:val="Heading2"/>
      </w:pPr>
      <w:r>
        <w:t xml:space="preserve">N. Lý thuyết tài nguyên + thể chế kinh tế chính trị + boundary cases</w:t>
      </w:r>
    </w:p>
    <w:p>
      <w:pPr>
        <w:pStyle w:val="FirstParagraph"/>
      </w:pPr>
      <w:r>
        <w:t xml:space="preserve">(Giữ nguyên từ v2.0 — Auty 1993, Beblawi 1987, Gerelmaa &amp; Kotani 2016, Hertog 2010, Hvidt 2013, Sachs &amp; Warner 2001, Hall &amp; Soskice 2001, Bertram 2006, Briguglio 1995. Tổng 9 entries.)</w:t>
      </w:r>
    </w:p>
    <w:bookmarkEnd w:id="211"/>
    <w:bookmarkStart w:id="212" w:name="X2132ca8004af576b93c55ebf0ffe37a44f46a17"/>
    <w:p>
      <w:pPr>
        <w:pStyle w:val="Heading2"/>
      </w:pPr>
      <w:r>
        <w:t xml:space="preserve">O. Văn bản pháp lý Việt Nam (cited trong CĐ1 §7.3.3)</w:t>
      </w:r>
    </w:p>
    <w:p>
      <w:pPr>
        <w:pStyle w:val="FirstParagraph"/>
      </w:pPr>
      <w:r>
        <w:t xml:space="preserve">(Giữ nguyên từ v2.0 — 7 văn bản pháp lý + 8 hiệp định FTA.)</w:t>
      </w:r>
    </w:p>
    <w:bookmarkEnd w:id="212"/>
    <w:bookmarkStart w:id="213" w:name="X8c3cce854d69d4cec5e0e5c79c65fd3ecacba09"/>
    <w:p>
      <w:pPr>
        <w:pStyle w:val="Heading2"/>
      </w:pPr>
      <w:r>
        <w:t xml:space="preserve">P. World Bank Data360 Atlas 2026 và báo cáo AI-Finance (Mới v2.6)</w:t>
      </w:r>
    </w:p>
    <w:p>
      <w:pPr>
        <w:pStyle w:val="FirstParagraph"/>
      </w:pPr>
      <w:r>
        <w:t xml:space="preserve">Agnolucci, P., Kenworthy, P., &amp; Kose, M. A. (2026, May 7). Five questions on how the war in the Middle East is affecting commodity markets.</w:t>
      </w:r>
      <w:r>
        <w:t xml:space="preserve"> </w:t>
      </w:r>
      <w:r>
        <w:rPr>
          <w:iCs/>
          <w:i/>
        </w:rPr>
        <w:t xml:space="preserve">Let’s Talk Development</w:t>
      </w:r>
      <w:r>
        <w:t xml:space="preserve">. World Bank Blogs. https://blogs.worldbank.org/en/developmenttalk/five-questions-on-how-the-war-in-the-middle-east-is-affecting-co</w:t>
      </w:r>
      <w:r>
        <w:t xml:space="preserve"> </w:t>
      </w:r>
      <w:r>
        <w:rPr>
          <w:iCs/>
          <w:i/>
        </w:rPr>
        <w:t xml:space="preserve">(Mới v2.6 — Strait of Hormuz closure: 35% seaborne crude oil; Brent $72→$118/bbl March 2026; energy +24%; fertilizer +30%; EMDEs growth 3,6% downgrade 0,4pp; EMDE commodity exporters 2,4%.)</w:t>
      </w:r>
    </w:p>
    <w:p>
      <w:pPr>
        <w:pStyle w:val="BodyText"/>
      </w:pPr>
      <w:r>
        <w:t xml:space="preserve">Boeddu, G., Feyen, E., Martinez Jaramillo, S., Mesquita, S., Palta, Y., Sarkar, A., Sinha, S., &amp; Gutiérrez Traverso, A. (2025).</w:t>
      </w:r>
      <w:r>
        <w:t xml:space="preserve"> </w:t>
      </w:r>
      <w:r>
        <w:rPr>
          <w:iCs/>
          <w:i/>
        </w:rPr>
        <w:t xml:space="preserve">Artificial Intelligence for Financial Sector Supervision: An Emerging Market and Developing Economies Perspective</w:t>
      </w:r>
      <w:r>
        <w:t xml:space="preserve"> </w:t>
      </w:r>
      <w:r>
        <w:t xml:space="preserve">(Prosperity Insight Series). World Bank Group. https://doi.org/10.1596/978-1-4648-2132-7</w:t>
      </w:r>
      <w:r>
        <w:t xml:space="preserve"> </w:t>
      </w:r>
      <w:r>
        <w:rPr>
          <w:iCs/>
          <w:i/>
        </w:rPr>
        <w:t xml:space="preserve">(Mới v2.6 — G20 report to Finance Ministers; survey 70+ EMDEs financial authorities; 3 challenges: skills gap, data quality, digitization of existing systems.)</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 https://data360.worldbank.org/en/int/atlas/artificial-intelligence</w:t>
      </w:r>
      <w:r>
        <w:t xml:space="preserve"> </w:t>
      </w:r>
      <w:r>
        <w:rPr>
          <w:iCs/>
          <w:i/>
        </w:rPr>
        <w:t xml:space="preserve">(Mới v2.6 — ChatGPT 50× per internet user HIC vs LIC; 5GB data = ~50% remaining budget after food in LICs; only 5% LIC population had basic digital skills 2023; HICs hold 77% global data center capacity; US 20,000× more servers per capita than LICs.)</w:t>
      </w:r>
    </w:p>
    <w:p>
      <w:pPr>
        <w:pStyle w:val="BodyText"/>
      </w:pPr>
      <w:r>
        <w:t xml:space="preserve">Pirlea, A. F., &amp; Corso, L. (2026, May). The unfinished digital revolution: Expanding internet access. In</w:t>
      </w:r>
      <w:r>
        <w:t xml:space="preserve"> </w:t>
      </w:r>
      <w:r>
        <w:rPr>
          <w:iCs/>
          <w:i/>
        </w:rPr>
        <w:t xml:space="preserve">Atlas of Global Development 2026</w:t>
      </w:r>
      <w:r>
        <w:t xml:space="preserve">. World Bank Data360. World Bank Group. https://data360.worldbank.org/en/int/atlas/internet-access</w:t>
      </w:r>
      <w:r>
        <w:t xml:space="preserve"> </w:t>
      </w:r>
      <w:r>
        <w:rPr>
          <w:iCs/>
          <w:i/>
        </w:rPr>
        <w:t xml:space="preserve">(Mới v2.6 — 2,2 tỷ người offline (2025); Bangladesh: 100% 4G coverage nhưng chỉ 53% dùng Internet (coverage-to-connection gap); 280 triệu men online hơn women; Singapore/UAE/Chile &gt;300 Mbps vs LIC &lt;20 Mbps.)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 https://data360.worldbank.org/en/int/atlas/global-progress</w:t>
      </w:r>
      <w:r>
        <w:t xml:space="preserve"> </w:t>
      </w:r>
      <w:r>
        <w:rPr>
          <w:iCs/>
          <w:i/>
        </w:rPr>
        <w:t xml:space="preserve">(Mới v2.7 — progress slowest on record in 15 of 26 tracked development indicators; SIDS and Sub-Saharan Africa most affected; 75 years of development data: 121,249 data points · 107 datasets; per-capita income growth in LICs 2020–2025 below historical average; poorest quintile lost most ground since COVID-19 disruption.)</w:t>
      </w:r>
    </w:p>
    <w:p>
      <w:r>
        <w:pict>
          <v:rect style="width:0;height:1.5pt" o:hralign="center" o:hrstd="t" o:hr="t"/>
        </w:pict>
      </w:r>
    </w:p>
    <w:bookmarkEnd w:id="213"/>
    <w:bookmarkStart w:id="214" w:name="X9fda309e68ad5febed2f75ba3907e03a038cbb1"/>
    <w:p>
      <w:pPr>
        <w:pStyle w:val="Heading2"/>
      </w:pPr>
      <w:r>
        <w:t xml:space="preserve">Bổ sung v2.7 — Tham khảo cốt lõi từ P3/P4/P5/P6/P7/CĐ1/CĐ2</w:t>
      </w:r>
    </w:p>
    <w:p>
      <w:pPr>
        <w:pStyle w:val="FirstParagraph"/>
      </w:pPr>
      <w:r>
        <w:rPr>
          <w:iCs/>
          <w:i/>
        </w:rPr>
        <w:t xml:space="preserve">Các entry dưới đây được thêm để giải quyết 85 warnings từ format-apa7.py. DOIs đã verify từ bản thảo gốc.</w:t>
      </w:r>
    </w:p>
    <w:p>
      <w:pPr>
        <w:pStyle w:val="BodyText"/>
      </w:pPr>
      <w:r>
        <w:t xml:space="preserve">Banerjee, A. V., &amp; Duflo, E. (2014). Do firms want to borrow more? Testing credit constraints using a directed lending program.</w:t>
      </w:r>
      <w:r>
        <w:t xml:space="preserve"> </w:t>
      </w:r>
      <w:r>
        <w:rPr>
          <w:iCs/>
          <w:i/>
        </w:rPr>
        <w:t xml:space="preserve">Review of Economic Studies, 81</w:t>
      </w:r>
      <w:r>
        <w:t xml:space="preserve">(2), 572–607. https://doi.org/10.1093/restud/rdt046</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 https://doi.org/10.2307/2533446</w:t>
      </w:r>
    </w:p>
    <w:p>
      <w:pPr>
        <w:pStyle w:val="BodyText"/>
      </w:pPr>
      <w:r>
        <w:t xml:space="preserve">Bertram, G. (2006). Introduction: The MIRAB model in the twenty-first century.</w:t>
      </w:r>
      <w:r>
        <w:t xml:space="preserve"> </w:t>
      </w:r>
      <w:r>
        <w:rPr>
          <w:iCs/>
          <w:i/>
        </w:rPr>
        <w:t xml:space="preserve">Asia Pacific Viewpoint, 47</w:t>
      </w:r>
      <w:r>
        <w:t xml:space="preserve">(1), 1–13. https://doi.org/10.1111/j.1467-8373.2006.00297.x</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 https://doi.org/10.1057/palgrave.jibs.8400277</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Combs, J. G., Ketchen, D. J., Crook, T. R., &amp; Roth, P. L. (2011). Assessing cumulative evidence within</w:t>
      </w:r>
      <w:r>
        <w:t xml:space="preserve"> </w:t>
      </w:r>
      <w:r>
        <w:t xml:space="preserve">“</w:t>
      </w:r>
      <w:r>
        <w:t xml:space="preserve">macro</w:t>
      </w:r>
      <w:r>
        <w:t xml:space="preserve">”</w:t>
      </w:r>
      <w:r>
        <w:t xml:space="preserve"> </w:t>
      </w:r>
      <w:r>
        <w:t xml:space="preserve">research: Why meta-analysis should be preferred over vote counting.</w:t>
      </w:r>
      <w:r>
        <w:t xml:space="preserve"> </w:t>
      </w:r>
      <w:r>
        <w:rPr>
          <w:iCs/>
          <w:i/>
        </w:rPr>
        <w:t xml:space="preserve">Journal of Management Studies, 48</w:t>
      </w:r>
      <w:r>
        <w:t xml:space="preserve">(1), 178–197. https://doi.org/10.1111/j.1467-6486.2009.00899.x</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https://doi.org/10.1596/978-1-4648-1219-6</w:t>
      </w:r>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 https://doi.org/10.1016/j.jinteco.2018.01.008</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 https://doi.org/10.1111/j.0006-341X.2000.00455.x</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 https://doi.org/10.1057/s41267-020-00374-2</w:t>
      </w:r>
    </w:p>
    <w:p>
      <w:pPr>
        <w:pStyle w:val="BodyText"/>
      </w:pPr>
      <w:r>
        <w:t xml:space="preserve">Egger, M., Davey Smith, G., Schneider, M., &amp; Minder, C. (1997). Bias in meta-analysis detected by a simple, graphical test.</w:t>
      </w:r>
      <w:r>
        <w:t xml:space="preserve"> </w:t>
      </w:r>
      <w:r>
        <w:rPr>
          <w:iCs/>
          <w:i/>
        </w:rPr>
        <w:t xml:space="preserve">British Medical Journal, 315</w:t>
      </w:r>
      <w:r>
        <w:t xml:space="preserve">(7109), 629–634. https://doi.org/10.1136/bmj.315.7109.629</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 https://doi.org/10.1093/0199247757.001.0001</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https://doi.org/10.1007/s11575-007-0022-4</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 https://doi.org/10.1162/qjec.2009.124.4.1403</w:t>
      </w:r>
    </w:p>
    <w:p>
      <w:pPr>
        <w:pStyle w:val="BodyText"/>
      </w:pPr>
      <w:r>
        <w:t xml:space="preserve">Hsu, M.-L., &amp; Boggs, D. J. (2003). Internationalization and performance: Traditional measures and their decomposition.</w:t>
      </w:r>
      <w:r>
        <w:t xml:space="preserve"> </w:t>
      </w:r>
      <w:r>
        <w:rPr>
          <w:iCs/>
          <w:i/>
        </w:rPr>
        <w:t xml:space="preserve">Multinational Business Review, 11</w:t>
      </w:r>
      <w:r>
        <w:t xml:space="preserve">(3), 23–49. https://doi.org/10.1108/1525383X200300015</w:t>
      </w:r>
    </w:p>
    <w:p>
      <w:pPr>
        <w:pStyle w:val="BodyTex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 https://doi.org/10.1016/j.jwb.2012.06.001</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 https://doi.org/10.1057/s41267-020-00304-2</w:t>
      </w:r>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 https://doi.org/10.1057/palgrave.jibs.8400071</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 Y., Liu, Y., &amp; Qian, C. (2022). Digitalization, internationalization, and firm performance: Evidence from Chinese manufacturing firms.</w:t>
      </w:r>
      <w:r>
        <w:t xml:space="preserve"> </w:t>
      </w:r>
      <w:r>
        <w:rPr>
          <w:iCs/>
          <w:i/>
        </w:rPr>
        <w:t xml:space="preserve">International Business Review, 31</w:t>
      </w:r>
      <w:r>
        <w:t xml:space="preserve">(3), 101953. https://doi.org/10.1016/j.ibusrev.2021.101953</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p>
      <w:pPr>
        <w:pStyle w:val="BodyText"/>
      </w:pPr>
      <w:r>
        <w:t xml:space="preserve">Manova, K. (2013). Credit constraints, heterogeneous firms, and international trade.</w:t>
      </w:r>
      <w:r>
        <w:t xml:space="preserve"> </w:t>
      </w:r>
      <w:r>
        <w:rPr>
          <w:iCs/>
          <w:i/>
        </w:rPr>
        <w:t xml:space="preserve">Review of Economic Studies, 80</w:t>
      </w:r>
      <w:r>
        <w:t xml:space="preserve">(2), 711–744. https://doi.org/10.1093/restud/rds036</w:t>
      </w:r>
    </w:p>
    <w:p>
      <w:pPr>
        <w:pStyle w:val="BodyText"/>
      </w:pPr>
      <w:r>
        <w:t xml:space="preserve">Mar, T. T., Do, T. H., &amp; Phan, A. T. (2026).</w:t>
      </w:r>
      <w:r>
        <w:t xml:space="preserve"> </w:t>
      </w:r>
      <w:r>
        <w:rPr>
          <w:iCs/>
          <w:i/>
        </w:rPr>
        <w:t xml:space="preserve">Digital adoption and the internationalization–performance curve: Evidence from Singapore firms</w:t>
      </w:r>
      <w:r>
        <w:t xml:space="preserve"> </w:t>
      </w:r>
      <w:r>
        <w:t xml:space="preserve">[Manuscript under review].</w:t>
      </w:r>
      <w:r>
        <w:t xml:space="preserve"> </w:t>
      </w:r>
      <w:r>
        <w:rPr>
          <w:iCs/>
          <w:i/>
        </w:rPr>
        <w:t xml:space="preserve">Management International Review</w:t>
      </w:r>
      <w:r>
        <w:t xml:space="preserve">.</w:t>
      </w:r>
    </w:p>
    <w:p>
      <w:pPr>
        <w:pStyle w:val="BodyText"/>
      </w:pPr>
      <w:r>
        <w:t xml:space="preserve">MacKinnon, J. G., &amp; Webb, M. D. (2017). Wild bootstrap inference for wildly different cluster sizes.</w:t>
      </w:r>
      <w:r>
        <w:t xml:space="preserve"> </w:t>
      </w:r>
      <w:r>
        <w:rPr>
          <w:iCs/>
          <w:i/>
        </w:rPr>
        <w:t xml:space="preserve">Journal of Applied Econometrics, 32</w:t>
      </w:r>
      <w:r>
        <w:t xml:space="preserve">(2), 233–254. https://doi.org/10.1002/jae.2508</w:t>
      </w:r>
      <w:r>
        <w:t xml:space="preserve"> </w:t>
      </w: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Page, M. J., McKenzie, J. E., Bossuyt, P. M., Boutron, I., Hoffmann, T. C., Mulrow, C. D., Shamseer, L., Tetzlaff, J. M., Akl, E. A., Brennan, S. E., Chou, R., Glanville, J., Grimshaw, J. M., Hróbjartsson, A., Lalu, M. M., Li, T., Loder, E. W., Mayo-Wilson, E., McDonald, S., &amp; Moher, D. (2021). The PRISMA 2020 statement: An updated guideline for reporting systematic reviews.</w:t>
      </w:r>
      <w:r>
        <w:t xml:space="preserve"> </w:t>
      </w:r>
      <w:r>
        <w:rPr>
          <w:iCs/>
          <w:i/>
        </w:rPr>
        <w:t xml:space="preserve">BMJ, 372</w:t>
      </w:r>
      <w:r>
        <w:t xml:space="preserve">, n71. https://doi.org/10.1136/bmj.n71</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Pierce, J. R., &amp; Aguinis, H. (2013). The too-much-of-a-good-thing effect in management.</w:t>
      </w:r>
      <w:r>
        <w:t xml:space="preserve"> </w:t>
      </w:r>
      <w:r>
        <w:rPr>
          <w:iCs/>
          <w:i/>
        </w:rPr>
        <w:t xml:space="preserve">Journal of Management, 39</w:t>
      </w:r>
      <w:r>
        <w:t xml:space="preserve">(2), 313–338. https://doi.org/10.1177/0149206311410060</w:t>
      </w:r>
    </w:p>
    <w:p>
      <w:pPr>
        <w:pStyle w:val="BodyText"/>
      </w:pPr>
      <w:r>
        <w:t xml:space="preserve">Post, C., &amp; Byron, K. (2015). Women on boards and firm financial performance: A meta-analysis.</w:t>
      </w:r>
      <w:r>
        <w:t xml:space="preserve"> </w:t>
      </w:r>
      <w:r>
        <w:rPr>
          <w:iCs/>
          <w:i/>
        </w:rPr>
        <w:t xml:space="preserve">Academy of Management Journal, 58</w:t>
      </w:r>
      <w:r>
        <w:t xml:space="preserve">(5), 1546–1571. https://doi.org/10.5465/amj.2013.0319</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 https://doi.org/10.1016/S0969-5931(98)00013-4</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Suurmond, R., van Rhee, H., &amp; Hak, T. (2017). Introduction, comparison, and validation of Meta-Essentials: A free and simple tool for meta-analysis.</w:t>
      </w:r>
      <w:r>
        <w:t xml:space="preserve"> </w:t>
      </w:r>
      <w:r>
        <w:rPr>
          <w:iCs/>
          <w:i/>
        </w:rPr>
        <w:t xml:space="preserve">Research Synthesis Methods, 8</w:t>
      </w:r>
      <w:r>
        <w:t xml:space="preserve">(4), 537–553. https://doi.org/10.1002/jrsm.1260</w:t>
      </w:r>
    </w:p>
    <w:p>
      <w:pPr>
        <w:pStyle w:val="BodyText"/>
      </w:pPr>
      <w:r>
        <w:t xml:space="preserve">Tallman, S., &amp; Li, J. (1996). Effects of international diversity and product diversity on the performance of multinational firms.</w:t>
      </w:r>
      <w:r>
        <w:t xml:space="preserve"> </w:t>
      </w:r>
      <w:r>
        <w:rPr>
          <w:iCs/>
          <w:i/>
        </w:rPr>
        <w:t xml:space="preserve">Academy of Management Journal, 39</w:t>
      </w:r>
      <w:r>
        <w:t xml:space="preserve">(1), 179–196. https://doi.org/10.2307/256635</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 https://doi.org/10.1002/smj.4250180702</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 https://doi.org/10.1177/1534484305278283</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 https://unctad.org/wir2023</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World Bank. (2013).</w:t>
      </w:r>
      <w:r>
        <w:t xml:space="preserve"> </w:t>
      </w:r>
      <w:r>
        <w:rPr>
          <w:iCs/>
          <w:i/>
        </w:rPr>
        <w:t xml:space="preserve">China Enterprise Survey 2012</w:t>
      </w:r>
      <w:r>
        <w:t xml:space="preserve"> </w:t>
      </w:r>
      <w:r>
        <w:t xml:space="preserve">[Data file]. World Bank Enterprise Surveys. https://www.enterprisesurveys.org</w:t>
      </w:r>
    </w:p>
    <w:p>
      <w:pPr>
        <w:pStyle w:val="BodyText"/>
      </w:pPr>
      <w:r>
        <w:t xml:space="preserve">Zaheer, S. (1995). Overcoming the liability of foreignness.</w:t>
      </w:r>
      <w:r>
        <w:t xml:space="preserve"> </w:t>
      </w:r>
      <w:r>
        <w:rPr>
          <w:iCs/>
          <w:i/>
        </w:rPr>
        <w:t xml:space="preserve">Academy of Management Journal, 38</w:t>
      </w:r>
      <w:r>
        <w:t xml:space="preserve">(2), 341–363. https://doi.org/10.2307/256411</w:t>
      </w:r>
    </w:p>
    <w:p>
      <w:pPr>
        <w:pStyle w:val="BodyText"/>
      </w:pPr>
      <w:r>
        <w:t xml:space="preserve">Pirlea, A. F., Wadhwa, D., Mahler, D., Serajuddin, U., Welch, M., Thudt, A., &amp; Lambrechts, M. (Eds.). (2026).</w:t>
      </w:r>
      <w:r>
        <w:t xml:space="preserve"> </w:t>
      </w:r>
      <w:r>
        <w:rPr>
          <w:iCs/>
          <w:i/>
        </w:rPr>
        <w:t xml:space="preserve">Atlas of Global Development 2026</w:t>
      </w:r>
      <w:r>
        <w:t xml:space="preserve"> </w:t>
      </w:r>
      <w:r>
        <w:t xml:space="preserve">(License: Creative Commons Attribution CC BY 3.0 IGO). World Bank. https://data360.worldbank.org/en/int/atlas</w:t>
      </w:r>
      <w:r>
        <w:t xml:space="preserve"> </w:t>
      </w:r>
      <w:r>
        <w:rPr>
          <w:iCs/>
          <w:i/>
        </w:rPr>
        <w:t xml:space="preserve">(Mới v2.6 — 121,249 data points · 107 datasets · 95 interactive visualizations; tracks progress across 75 years; 5 themes: People, Prosperity, Planet, Infrastructure, Digital; progress slowest on record in 15 of 26 development indicators.)</w:t>
      </w:r>
    </w:p>
    <w:p>
      <w:r>
        <w:pict>
          <v:rect style="width:0;height:1.5pt" o:hralign="center" o:hrstd="t" o:hr="t"/>
        </w:pict>
      </w:r>
    </w:p>
    <w:bookmarkEnd w:id="214"/>
    <w:bookmarkStart w:id="215" w:name="X4863c99e382dd33e45c83c62d65ccdbfdf2be54"/>
    <w:p>
      <w:pPr>
        <w:pStyle w:val="Heading2"/>
      </w:pPr>
      <w:r>
        <w:t xml:space="preserve">Q. Singapore innovation ecosystem 2025/2026 (Mới v2.7 — P4 contextual grounding)</w:t>
      </w:r>
    </w:p>
    <w:p>
      <w:pPr>
        <w:pStyle w:val="FirstParagraph"/>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 https://www.enterprisesg.gov.sg/resources/media-centre/media-releases/2025/november/mr05225_switch-2025-concludes-10th-anniversary-milestone-with-record-25000-attendees-strengthens-position-as-premiere-platform-for-deep-tech-innovation</w:t>
      </w:r>
      <w:r>
        <w:t xml:space="preserve"> </w:t>
      </w:r>
      <w:r>
        <w:rPr>
          <w:iCs/>
          <w:i/>
        </w:rPr>
        <w:t xml:space="preserve">(Mới v2.7 — SWITCH 2025: 25,000+ attendees from 100+ countries; 6,800+ SLINGSHOT applications from 150 markets; S$2M prize pool; 10th edition SG60.)</w:t>
      </w:r>
    </w:p>
    <w:p>
      <w:pPr>
        <w:pStyle w:val="BodyText"/>
      </w:pPr>
      <w:r>
        <w:t xml:space="preserve">GovTech Singapore. (2024).</w:t>
      </w:r>
      <w:r>
        <w:t xml:space="preserve"> </w:t>
      </w:r>
      <w:r>
        <w:rPr>
          <w:iCs/>
          <w:i/>
        </w:rPr>
        <w:t xml:space="preserve">Our digital government rankings</w:t>
      </w:r>
      <w:r>
        <w:t xml:space="preserve">. Government Technology Agency of Singapore. https://www.tech.gov.sg/about-us/our-achievements/our-digital-government-rankings/</w:t>
      </w:r>
      <w:r>
        <w:t xml:space="preserve"> </w:t>
      </w:r>
      <w:r>
        <w:rPr>
          <w:iCs/>
          <w:i/>
        </w:rPr>
        <w:t xml:space="preserve">(Mới v2.7 — Singapore ranked 3rd globally UN e-Government Survey 2024; Smart Nation 2.0 (2024) framed around Trust, Growth, Community.)</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 https://www.imda.gov.sg/resources/press-releases-factsheets-and-speeches/press-releases/2025/asia-tech-x-singapore-turns-five</w:t>
      </w:r>
      <w:r>
        <w:t xml:space="preserve"> </w:t>
      </w:r>
      <w:r>
        <w:rPr>
          <w:iCs/>
          <w:i/>
        </w:rPr>
        <w:t xml:space="preserve">(Mới v2.7 — ATxSG 2025: 22,000 attendees from 110 regions; 450+ speakers; 700+ exhibitors; 34 international pavilions; 5th anniversary.)</w:t>
      </w:r>
    </w:p>
    <w:p>
      <w:pPr>
        <w:pStyle w:val="BodyText"/>
      </w:pPr>
      <w:r>
        <w:t xml:space="preserve">StartupBlink. (2025).</w:t>
      </w:r>
      <w:r>
        <w:t xml:space="preserve"> </w:t>
      </w:r>
      <w:r>
        <w:rPr>
          <w:iCs/>
          <w:i/>
        </w:rPr>
        <w:t xml:space="preserve">Global Startup Ecosystem Index 2025: Singapore profile</w:t>
      </w:r>
      <w:r>
        <w:t xml:space="preserve">. StartupBlink Research. https://www.startupblink.com/startup-ecosystem/singapore</w:t>
      </w:r>
      <w:r>
        <w:t xml:space="preserve"> </w:t>
      </w:r>
      <w:r>
        <w:rPr>
          <w:iCs/>
          <w:i/>
        </w:rPr>
        <w:t xml:space="preserve">(Mới v2.7 — Singapore ranked 4th globally in 2025 (up from 5th in 2024); ecosystem growth rate 44.9% vs top-20 average 28.5%.)</w:t>
      </w:r>
    </w:p>
    <w:p>
      <w:pPr>
        <w:pStyle w:val="BodyText"/>
      </w:pPr>
      <w:r>
        <w:t xml:space="preserve">StartupBlink. (2026).</w:t>
      </w:r>
      <w:r>
        <w:t xml:space="preserve"> </w:t>
      </w:r>
      <w:r>
        <w:rPr>
          <w:iCs/>
          <w:i/>
        </w:rPr>
        <w:t xml:space="preserve">Innovators Business Environment Index 2026</w:t>
      </w:r>
      <w:r>
        <w:t xml:space="preserve">. StartupBlink Research. https://www.startupblink.com/blog/innovators-business-environment-index/</w:t>
      </w:r>
      <w:r>
        <w:t xml:space="preserve"> </w:t>
      </w:r>
      <w:r>
        <w:rPr>
          <w:iCs/>
          <w:i/>
        </w:rPr>
        <w:t xml:space="preserve">(Mới v2.7 — Singapore ranked 2nd globally (score 99.145/100); 1st in Asia Pacific; 30+ parameters across Regulation &amp; Governance, Access to Capital, Taxation, Digital Infrastructure, Global Mobility.)</w:t>
      </w:r>
    </w:p>
    <w:p>
      <w:r>
        <w:pict>
          <v:rect style="width:0;height:1.5pt" o:hralign="center" o:hrstd="t" o:hr="t"/>
        </w:pict>
      </w:r>
    </w:p>
    <w:bookmarkEnd w:id="215"/>
    <w:bookmarkStart w:id="216" w:name="Xbd941738ba66bb94640e93ff5b476f7b031b91b"/>
    <w:p>
      <w:pPr>
        <w:pStyle w:val="Heading2"/>
      </w:pPr>
      <w:r>
        <w:t xml:space="preserve">R. Tài liệu mới bổ sung v2.8 — Trade Restructuring + P4/P5 missing entries</w:t>
      </w:r>
    </w:p>
    <w:p>
      <w:pPr>
        <w:pStyle w:val="FirstParagraph"/>
      </w:pPr>
      <w:r>
        <w:t xml:space="preserve">Abreha, K., &amp; Lopez Acevedo, G. (2024).</w:t>
      </w:r>
      <w:r>
        <w:t xml:space="preserve"> </w:t>
      </w:r>
      <w:r>
        <w:rPr>
          <w:iCs/>
          <w:i/>
        </w:rPr>
        <w:t xml:space="preserve">Trade restructuring: Assessing labor market and welfare effects</w:t>
      </w:r>
      <w:r>
        <w:t xml:space="preserve"> </w:t>
      </w:r>
      <w:r>
        <w:t xml:space="preserve">(Policy Research Working Paper No. 10955). World Bank Group.</w:t>
      </w:r>
      <w:r>
        <w:t xml:space="preserve"> </w:t>
      </w:r>
      <w:r>
        <w:rPr>
          <w:iCs/>
          <w:i/>
        </w:rPr>
        <w:t xml:space="preserve">(Cited in P5 §2 — trade re-equilibration, US–China tariff cycle, bilateral trade flow reorientation; Poverty and Equity Global Practice, October 2024.)</w:t>
      </w:r>
    </w:p>
    <w:p>
      <w:pPr>
        <w:pStyle w:val="BodyText"/>
      </w:pPr>
      <w:r>
        <w:rPr>
          <w:iCs/>
          <w:i/>
        </w:rPr>
        <w:t xml:space="preserve">(Các tài liệu World Bank DPI, Vietnam FCI Snapshot, Taking Stock, GDKC đã được lưu trong Section P — World Bank 2025a/b/c/d.)</w:t>
      </w:r>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 https://doi.org/10.1057/s41287-021-00364-6</w:t>
      </w:r>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 https://doi.org/10.1111/joms.12526</w:t>
      </w:r>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 https://doi.org/10.1177/2515245918770963</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Eisenhardt, K. M., &amp; Martin, J. A. (2000). Dynamic capabilities: What are they?</w:t>
      </w:r>
      <w:r>
        <w:t xml:space="preserve"> </w:t>
      </w:r>
      <w:r>
        <w:rPr>
          <w:iCs/>
          <w:i/>
        </w:rPr>
        <w:t xml:space="preserve">Strategic Management Journal, 21</w:t>
      </w:r>
      <w:r>
        <w:t xml:space="preserve">(10–11), 1105–1121. https://doi.org/10.1002/smj.118</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https://doi.org/10.1111/j.2042-5805.2012.01028.x</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Nielsen, S. (2010). Top management team internationalization and firm performance: The mediating role of foreign market entry.</w:t>
      </w:r>
      <w:r>
        <w:t xml:space="preserve"> </w:t>
      </w:r>
      <w:r>
        <w:rPr>
          <w:iCs/>
          <w:i/>
        </w:rPr>
        <w:t xml:space="preserve">Management International Review, 50</w:t>
      </w:r>
      <w:r>
        <w:t xml:space="preserve">(2), 185–206. https://doi.org/10.1007/s11575-010-0029-0</w:t>
      </w:r>
      <w:r>
        <w:t xml:space="preserve"> </w:t>
      </w: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 https://doi.org/10.1509/jmkg.67.1.63.18595</w:t>
      </w:r>
      <w:r>
        <w:t xml:space="preserve"> </w:t>
      </w: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r>
        <w:pict>
          <v:rect style="width:0;height:1.5pt" o:hralign="center" o:hrstd="t" o:hr="t"/>
        </w:pict>
      </w:r>
    </w:p>
    <w:bookmarkEnd w:id="216"/>
    <w:bookmarkStart w:id="217" w:name="Xef809cfcfe0baf8ba5c87a5d2dc964c02e59512"/>
    <w:p>
      <w:pPr>
        <w:pStyle w:val="Heading2"/>
      </w:pPr>
      <w:r>
        <w:t xml:space="preserve">T. World Bank Policy Research Working Papers — Bổ sung v2.9 (16/05/2026)</w:t>
      </w:r>
    </w:p>
    <w:p>
      <w:pPr>
        <w:pStyle w:val="BlockText"/>
      </w:pPr>
      <w:r>
        <w:t xml:space="preserve">5 entries từ đánh giá 11 PDFs upload ngày 16/05/2026. Xếp theo thứ tự APA7 (tác giả đầu tiên).</w:t>
      </w:r>
      <w:r>
        <w:t xml:space="preserve"> </w:t>
      </w:r>
      <w:r>
        <w:rPr>
          <w:bCs/>
          <w:b/>
        </w:rPr>
        <w:t xml:space="preserve">Disambiguation quan trọng</w:t>
      </w:r>
      <w:r>
        <w:t xml:space="preserve">: Mahler et al. (2026) WPS11350 (Mahler, Serajuddin, Wadhwa &amp; Yonzan) ≠ Mahler, Wang &amp; Weber (2026) Atlas chapter (Section P). Dùng hậu tố</w:t>
      </w:r>
      <w:r>
        <w:t xml:space="preserve"> </w:t>
      </w:r>
      <w:r>
        <w:t xml:space="preserve">“</w:t>
      </w:r>
      <w:r>
        <w:t xml:space="preserve">a/b</w:t>
      </w:r>
      <w:r>
        <w:t xml:space="preserve">”</w:t>
      </w:r>
      <w:r>
        <w:t xml:space="preserve"> </w:t>
      </w:r>
      <w:r>
        <w:t xml:space="preserve">trong in-text nếu trích dẫn cả hai trong cùng văn bản.</w:t>
      </w:r>
    </w:p>
    <w:p>
      <w:pPr>
        <w:pStyle w:val="FirstParagraph"/>
      </w:pPr>
      <w:r>
        <w:t xml:space="preserve">Agarwal, A., Barattieri, A., &amp; Mattoo, A. (2026, April).</w:t>
      </w:r>
      <w:r>
        <w:t xml:space="preserve"> </w:t>
      </w:r>
      <w:r>
        <w:rPr>
          <w:iCs/>
          <w:i/>
        </w:rPr>
        <w:t xml:space="preserve">Foreign demand shocks and domestic value added: Firm-level evidence from Viet Nam</w:t>
      </w:r>
      <w:r>
        <w:t xml:space="preserve"> </w:t>
      </w:r>
      <w:r>
        <w:t xml:space="preserve">(Policy Research Working Paper No. 11352). World Bank Group.</w:t>
      </w:r>
      <w:r>
        <w:t xml:space="preserve"> </w:t>
      </w:r>
      <w:r>
        <w:rPr>
          <w:iCs/>
          <w:i/>
        </w:rPr>
        <w:t xml:space="preserve">(Mới v2.9 — Vietnam DVAR tăng mạnh từ 2018: US demand shock 8,76% → DVAR +2,49 pp trong 2018–2020, giải thích 68,5% tổng tăng DVAR; firms phản ứng bằng cách xuất khẩu nhiều hơn sang cả US và non-US markets và ghi nhận tăng năng suất lao động; non-Chinese-owned firms là động lực chính; cơ chế: implicit rules of origin + FDI vào intermediates. Sử dụng matched firm-level + customs data 2016–2020. Cited P3 §5 Discussion — corroboration cho ascending-limb mechanism.)</w:t>
      </w:r>
    </w:p>
    <w:p>
      <w:pPr>
        <w:pStyle w:val="BodyText"/>
      </w:pPr>
      <w:r>
        <w:t xml:space="preserve">Barattieri, A., Mattoo, A., &amp; Signoret, J. (2026, April).</w:t>
      </w:r>
      <w:r>
        <w:t xml:space="preserve"> </w:t>
      </w:r>
      <w:r>
        <w:rPr>
          <w:iCs/>
          <w:i/>
        </w:rPr>
        <w:t xml:space="preserve">Foreign tariffs as catalysts for reform? The potential development dividend</w:t>
      </w:r>
      <w:r>
        <w:t xml:space="preserve"> </w:t>
      </w:r>
      <w:r>
        <w:t xml:space="preserve">(Policy Research Working Paper No. 11354). World Bank Group.</w:t>
      </w:r>
      <w:r>
        <w:t xml:space="preserve"> </w:t>
      </w:r>
      <w:r>
        <w:rPr>
          <w:iCs/>
          <w:i/>
        </w:rPr>
        <w:t xml:space="preserve">(Mới v2.9 — Vietnam: liberalization dịch vụ thương mại 2008–2016 → +2,9% năng suất hàng năm trong dịch vụ, +3,1% trong sản xuất;</w:t>
      </w:r>
      <w:r>
        <w:rPr>
          <w:iCs/>
          <w:i/>
        </w:rPr>
        <w:t xml:space="preserve"> </w:t>
      </w:r>
      <w:r>
        <w:rPr>
          <w:iCs/>
          <w:i/>
        </w:rPr>
        <w:t xml:space="preserve">“</w:t>
      </w:r>
      <w:r>
        <w:rPr>
          <w:iCs/>
          <w:i/>
        </w:rPr>
        <w:t xml:space="preserve">China-plus-one</w:t>
      </w:r>
      <w:r>
        <w:rPr>
          <w:iCs/>
          <w:i/>
        </w:rPr>
        <w:t xml:space="preserve">”</w:t>
      </w:r>
      <w:r>
        <w:rPr>
          <w:iCs/>
          <w:i/>
        </w:rPr>
        <w:t xml:space="preserve"> </w:t>
      </w:r>
      <w:r>
        <w:rPr>
          <w:iCs/>
          <w:i/>
        </w:rPr>
        <w:t xml:space="preserve">strategy lợi ích hạn chế cho phần lớn đang phát triển; US Supreme Court Feb 20 2026 tuyên bố IEEPA tariffs unconstitutional. Cited P3 §5.5 Policy implications — macro-level corroboration cho tác động của mở cửa thương mại lên năng suất Việt Nam.)</w:t>
      </w:r>
    </w:p>
    <w:p>
      <w:pPr>
        <w:pStyle w:val="BodyText"/>
      </w:pPr>
      <w:r>
        <w:t xml:space="preserve">Geginat, C., &amp; Ramalho, R. (2015).</w:t>
      </w:r>
      <w:r>
        <w:t xml:space="preserve"> </w:t>
      </w:r>
      <w:r>
        <w:rPr>
          <w:iCs/>
          <w:i/>
        </w:rPr>
        <w:t xml:space="preserve">Electricity connections and firm performance in 183 countries</w:t>
      </w:r>
      <w:r>
        <w:t xml:space="preserve"> </w:t>
      </w:r>
      <w:r>
        <w:t xml:space="preserve">(Policy Research Working Paper No. 7460). World Bank Group.</w:t>
      </w:r>
      <w:r>
        <w:t xml:space="preserve"> </w:t>
      </w:r>
      <w:r>
        <w:rPr>
          <w:iCs/>
          <w:i/>
        </w:rPr>
        <w:t xml:space="preserve">(Mới v2.9 — WBES-based; LICs mất gấp 2 lần thời gian và trả gấp 70 lần chi phí kết nối điện so với HICs; chất lượng điện → firm performance; phân tích 183 quốc gia. Cited P8 / CD1 — infrastructure quality như institutional void context cho SIDS.)</w:t>
      </w:r>
    </w:p>
    <w:p>
      <w:pPr>
        <w:pStyle w:val="BodyText"/>
      </w:pPr>
      <w:r>
        <w:t xml:space="preserve">Kim, G., Kumar, T., Ramalho, R., &amp; Russell, S. (2026, January).</w:t>
      </w:r>
      <w:r>
        <w:t xml:space="preserve"> </w:t>
      </w:r>
      <w:r>
        <w:rPr>
          <w:iCs/>
          <w:i/>
        </w:rPr>
        <w:t xml:space="preserve">Institutional capacity for policy implementation: An analytical framework</w:t>
      </w:r>
      <w:r>
        <w:t xml:space="preserve"> </w:t>
      </w:r>
      <w:r>
        <w:t xml:space="preserve">(Policy Research Working Paper No. 11279). World Bank Group.</w:t>
      </w:r>
      <w:r>
        <w:t xml:space="preserve"> </w:t>
      </w:r>
      <w:r>
        <w:rPr>
          <w:iCs/>
          <w:i/>
        </w:rPr>
        <w:t xml:space="preserve">(Mới v2.9 — Định nghĩa</w:t>
      </w:r>
      <w:r>
        <w:rPr>
          <w:iCs/>
          <w:i/>
        </w:rPr>
        <w:t xml:space="preserve"> </w:t>
      </w:r>
      <w:r>
        <w:rPr>
          <w:iCs/>
          <w:i/>
        </w:rPr>
        <w:t xml:space="preserve">“</w:t>
      </w:r>
      <w:r>
        <w:rPr>
          <w:iCs/>
          <w:i/>
        </w:rPr>
        <w:t xml:space="preserve">năng lực thể chế</w:t>
      </w:r>
      <w:r>
        <w:rPr>
          <w:iCs/>
          <w:i/>
        </w:rPr>
        <w:t xml:space="preserve">”</w:t>
      </w:r>
      <w:r>
        <w:rPr>
          <w:iCs/>
          <w:i/>
        </w:rPr>
        <w:t xml:space="preserve"> </w:t>
      </w:r>
      <w:r>
        <w:rPr>
          <w:iCs/>
          <w:i/>
        </w:rPr>
        <w:t xml:space="preserve">= khả năng thực thi chính sách của các tổ chức công; hai chiều: Tổ chức (nhân sự, tài chính, hệ thống thông tin, quản lý) và Quản trị (minh bạch, độc lập, trách nhiệm giải trình); xây dựng trên North (1990); phân tích</w:t>
      </w:r>
      <w:r>
        <w:rPr>
          <w:iCs/>
          <w:i/>
        </w:rPr>
        <w:t xml:space="preserve"> </w:t>
      </w:r>
      <w:r>
        <w:rPr>
          <w:iCs/>
          <w:i/>
        </w:rPr>
        <w:t xml:space="preserve">“</w:t>
      </w:r>
      <w:r>
        <w:rPr>
          <w:iCs/>
          <w:i/>
        </w:rPr>
        <w:t xml:space="preserve">islands of excellence</w:t>
      </w:r>
      <w:r>
        <w:rPr>
          <w:iCs/>
          <w:i/>
        </w:rPr>
        <w:t xml:space="preserve">”</w:t>
      </w:r>
      <w:r>
        <w:rPr>
          <w:iCs/>
          <w:i/>
        </w:rPr>
        <w:t xml:space="preserve"> </w:t>
      </w:r>
      <w:r>
        <w:rPr>
          <w:iCs/>
          <w:i/>
        </w:rPr>
        <w:t xml:space="preserve">trong môi trường năng lực thấp; tương quan dương vững giữa năng lực thể chế và phát triển kinh tế. Cited CD2 §3.3 Tầng 3 Institutional Theory — cung cấp định nghĩa và framework chính thức cho ICRV 6-regime classification.)</w:t>
      </w:r>
    </w:p>
    <w:p>
      <w:pPr>
        <w:pStyle w:val="BodyText"/>
      </w:pPr>
      <w:r>
        <w:t xml:space="preserve">Mahler, D. G., Serajuddin, U., Wadhwa, D., &amp; Yonzan, N. (2026, April).</w:t>
      </w:r>
      <w:r>
        <w:t xml:space="preserve"> </w:t>
      </w:r>
      <w:r>
        <w:rPr>
          <w:iCs/>
          <w:i/>
        </w:rPr>
        <w:t xml:space="preserve">The world is developing at its slowest pace in 75 years</w:t>
      </w:r>
      <w:r>
        <w:t xml:space="preserve"> </w:t>
      </w:r>
      <w:r>
        <w:t xml:space="preserve">(Policy Research Working Paper No. 11350). World Bank Group.</w:t>
      </w:r>
      <w:r>
        <w:t xml:space="preserve"> </w:t>
      </w:r>
      <w:r>
        <w:rPr>
          <w:iCs/>
          <w:i/>
        </w:rPr>
        <w:t xml:space="preserve">(Mới v2.9 — Phương pháp mới đo tiến bộ xã hội qua 6 chỉ số: nghèo đói, tuổi thọ, giáo dục, bình đẳng giới, khí hậu, điện; phát triển chậm nhất kể từ 1950 (75 năm); 54 quốc gia ≥100 năm để đạt chuẩn developed; không có chậm lại, 150 triệu ít nghèo hơn; SIDS đại diện không cân xứng trong nhóm</w:t>
      </w:r>
      <w:r>
        <w:rPr>
          <w:iCs/>
          <w:i/>
        </w:rPr>
        <w:t xml:space="preserve"> </w:t>
      </w:r>
      <w:r>
        <w:rPr>
          <w:iCs/>
          <w:i/>
        </w:rPr>
        <w:t xml:space="preserve">“</w:t>
      </w:r>
      <w:r>
        <w:rPr>
          <w:iCs/>
          <w:i/>
        </w:rPr>
        <w:t xml:space="preserve">stuck countries</w:t>
      </w:r>
      <w:r>
        <w:rPr>
          <w:iCs/>
          <w:i/>
        </w:rPr>
        <w:t xml:space="preserve">”</w:t>
      </w:r>
      <w:r>
        <w:rPr>
          <w:iCs/>
          <w:i/>
        </w:rPr>
        <w:t xml:space="preserve">.</w:t>
      </w:r>
      <w:r>
        <w:rPr>
          <w:iCs/>
          <w:i/>
        </w:rPr>
        <w:t xml:space="preserve"> </w:t>
      </w:r>
      <w:r>
        <w:rPr>
          <w:bCs/>
          <w:b/>
          <w:iCs/>
          <w:i/>
        </w:rPr>
        <w:t xml:space="preserve">PHÂN BIỆT</w:t>
      </w:r>
      <w:r>
        <w:rPr>
          <w:iCs/>
          <w:i/>
        </w:rPr>
        <w:t xml:space="preserve">: Mahler, Serajuddin, Wadhwa &amp; Yonzan (2026) WPS11350 ≠ Mahler, Wang &amp; Weber (2026) Atlas/AI chapter Section P. Dùng</w:t>
      </w:r>
      <w:r>
        <w:rPr>
          <w:iCs/>
          <w:i/>
        </w:rPr>
        <w:t xml:space="preserve"> </w:t>
      </w:r>
      <w:r>
        <w:rPr>
          <w:iCs/>
          <w:i/>
        </w:rPr>
        <w:t xml:space="preserve">“</w:t>
      </w:r>
      <w:r>
        <w:rPr>
          <w:iCs/>
          <w:i/>
        </w:rPr>
        <w:t xml:space="preserve">Mahler et al. (2026b)</w:t>
      </w:r>
      <w:r>
        <w:rPr>
          <w:iCs/>
          <w:i/>
        </w:rPr>
        <w:t xml:space="preserve">”</w:t>
      </w:r>
      <w:r>
        <w:rPr>
          <w:iCs/>
          <w:i/>
        </w:rPr>
        <w:t xml:space="preserve"> </w:t>
      </w:r>
      <w:r>
        <w:rPr>
          <w:iCs/>
          <w:i/>
        </w:rPr>
        <w:t xml:space="preserve">nếu trích dẫn cả hai. Cited P8 §1 Introduction — structural developmental constraints cho Pacific SIDS FIP mechanism.)</w:t>
      </w:r>
    </w:p>
    <w:p>
      <w:r>
        <w:pict>
          <v:rect style="width:0;height:1.5pt" o:hralign="center" o:hrstd="t" o:hr="t"/>
        </w:pict>
      </w:r>
    </w:p>
    <w:bookmarkEnd w:id="217"/>
    <w:bookmarkStart w:id="221" w:name="hướng-dẫn-sử-dụng-cập-nhật-v2.5"/>
    <w:p>
      <w:pPr>
        <w:pStyle w:val="Heading2"/>
      </w:pPr>
      <w:r>
        <w:t xml:space="preserve">Hướng dẫn sử dụng (cập nhật v2.5)</w:t>
      </w:r>
    </w:p>
    <w:bookmarkStart w:id="218" w:name="trong-bản-thảo-luận-án"/>
    <w:p>
      <w:pPr>
        <w:pStyle w:val="Heading3"/>
      </w:pPr>
      <w:r>
        <w:t xml:space="preserve">Trong bản thảo luận án</w:t>
      </w:r>
    </w:p>
    <w:p>
      <w:pPr>
        <w:numPr>
          <w:ilvl w:val="0"/>
          <w:numId w:val="1018"/>
        </w:numPr>
        <w:pStyle w:val="Compact"/>
      </w:pPr>
      <w:r>
        <w:t xml:space="preserve">Dùng in-text citation theo author–date.</w:t>
      </w:r>
    </w:p>
    <w:p>
      <w:pPr>
        <w:numPr>
          <w:ilvl w:val="0"/>
          <w:numId w:val="1018"/>
        </w:numPr>
        <w:pStyle w:val="Compact"/>
      </w:pPr>
      <w:r>
        <w:t xml:space="preserve">3+ tác giả: dùng</w:t>
      </w:r>
      <w:r>
        <w:t xml:space="preserve"> </w:t>
      </w:r>
      <w:r>
        <w:rPr>
          <w:iCs/>
          <w:i/>
        </w:rPr>
        <w:t xml:space="preserve">et al.</w:t>
      </w:r>
      <w:r>
        <w:t xml:space="preserve"> </w:t>
      </w:r>
      <w:r>
        <w:t xml:space="preserve">ngay từ trích dẫn đầu tiên.</w:t>
      </w:r>
    </w:p>
    <w:p>
      <w:pPr>
        <w:numPr>
          <w:ilvl w:val="0"/>
          <w:numId w:val="1018"/>
        </w:numPr>
        <w:pStyle w:val="Compact"/>
      </w:pPr>
      <w:r>
        <w:t xml:space="preserve">Trích dẫn công trình của tác giả luận án: dùng suffix năm chuẩn APA 7 —</w:t>
      </w:r>
      <w:r>
        <w:t xml:space="preserve"> </w:t>
      </w:r>
      <w:r>
        <w:t xml:space="preserve">“</w:t>
      </w:r>
      <w:r>
        <w:t xml:space="preserve">Do và Phan (2026a)</w:t>
      </w:r>
      <w:r>
        <w:t xml:space="preserve">”</w:t>
      </w:r>
      <w:r>
        <w:t xml:space="preserve">,</w:t>
      </w:r>
      <w:r>
        <w:t xml:space="preserve"> </w:t>
      </w:r>
      <w:r>
        <w:t xml:space="preserve">“</w:t>
      </w:r>
      <w:r>
        <w:t xml:space="preserve">Do và Phan (2026g)</w:t>
      </w:r>
      <w:r>
        <w:t xml:space="preserve">”</w:t>
      </w:r>
      <w:r>
        <w:t xml:space="preserve">, v.v. (P1=2026a, P2=2026g, P3=2026e, P5=2026f, P6=2026c, P7=2026d, P8=2026b; P4=Mar et al., 2026).</w:t>
      </w:r>
    </w:p>
    <w:p>
      <w:pPr>
        <w:numPr>
          <w:ilvl w:val="0"/>
          <w:numId w:val="1018"/>
        </w:numPr>
        <w:pStyle w:val="Compact"/>
      </w:pPr>
      <w:r>
        <w:t xml:space="preserve">Trích dẫn báo cáo quốc tế thường niên: dùng dạng</w:t>
      </w:r>
      <w:r>
        <w:t xml:space="preserve"> </w:t>
      </w:r>
      <w:r>
        <w:t xml:space="preserve">“</w:t>
      </w:r>
      <w:r>
        <w:t xml:space="preserve">IMF (2026, April)</w:t>
      </w:r>
      <w:r>
        <w:t xml:space="preserve">”</w:t>
      </w:r>
      <w:r>
        <w:t xml:space="preserve"> </w:t>
      </w:r>
      <w:r>
        <w:t xml:space="preserve">hoặc</w:t>
      </w:r>
      <w:r>
        <w:t xml:space="preserve"> </w:t>
      </w:r>
      <w:r>
        <w:t xml:space="preserve">“</w:t>
      </w:r>
      <w:r>
        <w:t xml:space="preserve">ADB (2026, April)</w:t>
      </w:r>
      <w:r>
        <w:t xml:space="preserve">”</w:t>
      </w:r>
      <w:r>
        <w:t xml:space="preserve">.</w:t>
      </w:r>
    </w:p>
    <w:p>
      <w:pPr>
        <w:numPr>
          <w:ilvl w:val="0"/>
          <w:numId w:val="1018"/>
        </w:numPr>
        <w:pStyle w:val="Compact"/>
      </w:pPr>
      <w:r>
        <w:rPr>
          <w:bCs/>
          <w:b/>
        </w:rPr>
        <w:t xml:space="preserve">Trích dẫn ADB Vietnam Outlook 2026 (v2.5)</w:t>
      </w:r>
      <w:r>
        <w:t xml:space="preserve">: dùng dạng</w:t>
      </w:r>
      <w:r>
        <w:t xml:space="preserve"> </w:t>
      </w:r>
      <w:r>
        <w:t xml:space="preserve">“</w:t>
      </w:r>
      <w:r>
        <w:t xml:space="preserve">ADB (2026, April — Vietnam Outlook)</w:t>
      </w:r>
      <w:r>
        <w:t xml:space="preserve">”</w:t>
      </w:r>
      <w:r>
        <w:t xml:space="preserve"> </w:t>
      </w:r>
      <w:r>
        <w:t xml:space="preserve">để phân biệt với ADO April 2026 cùng năm.</w:t>
      </w:r>
    </w:p>
    <w:p>
      <w:pPr>
        <w:numPr>
          <w:ilvl w:val="0"/>
          <w:numId w:val="1018"/>
        </w:numPr>
        <w:pStyle w:val="Compact"/>
      </w:pPr>
      <w:r>
        <w:rPr>
          <w:bCs/>
          <w:b/>
        </w:rPr>
        <w:t xml:space="preserve">Trích dẫn IFC Blueprint (v2.5)</w:t>
      </w:r>
      <w:r>
        <w:t xml:space="preserve">: dùng dạng</w:t>
      </w:r>
      <w:r>
        <w:t xml:space="preserve"> </w:t>
      </w:r>
      <w:r>
        <w:t xml:space="preserve">“</w:t>
      </w:r>
      <w:r>
        <w:t xml:space="preserve">IFC (n.d. — PSD Blueprint)</w:t>
      </w:r>
      <w:r>
        <w:t xml:space="preserve">”</w:t>
      </w:r>
      <w:r>
        <w:t xml:space="preserve"> </w:t>
      </w:r>
      <w:r>
        <w:t xml:space="preserve">hoặc</w:t>
      </w:r>
      <w:r>
        <w:t xml:space="preserve"> </w:t>
      </w:r>
      <w:r>
        <w:t xml:space="preserve">“</w:t>
      </w:r>
      <w:r>
        <w:t xml:space="preserve">IFC (Private Sector Development Blueprint)</w:t>
      </w:r>
      <w:r>
        <w:t xml:space="preserve">”</w:t>
      </w:r>
      <w:r>
        <w:t xml:space="preserve"> </w:t>
      </w:r>
      <w:r>
        <w:t xml:space="preserve">cho rõ.</w:t>
      </w:r>
    </w:p>
    <w:p>
      <w:pPr>
        <w:numPr>
          <w:ilvl w:val="0"/>
          <w:numId w:val="1018"/>
        </w:numPr>
        <w:pStyle w:val="Compact"/>
      </w:pPr>
      <w:r>
        <w:rPr>
          <w:bCs/>
          <w:b/>
        </w:rPr>
        <w:t xml:space="preserve">Trích dẫn WB FY26 classification (v2.5)</w:t>
      </w:r>
      <w:r>
        <w:t xml:space="preserve">: dùng dạng</w:t>
      </w:r>
      <w:r>
        <w:t xml:space="preserve"> </w:t>
      </w:r>
      <w:r>
        <w:t xml:space="preserve">“</w:t>
      </w:r>
      <w:r>
        <w:t xml:space="preserve">World Bank (2025 — FY26)</w:t>
      </w:r>
      <w:r>
        <w:t xml:space="preserve">”</w:t>
      </w:r>
      <w:r>
        <w:t xml:space="preserve"> </w:t>
      </w:r>
      <w:r>
        <w:t xml:space="preserve">để phân biệt với các tài liệu World Bank khác cùng năm.</w:t>
      </w:r>
    </w:p>
    <w:p>
      <w:pPr>
        <w:numPr>
          <w:ilvl w:val="0"/>
          <w:numId w:val="1018"/>
        </w:numPr>
        <w:pStyle w:val="Compact"/>
      </w:pPr>
      <w:r>
        <w:rPr>
          <w:bCs/>
          <w:b/>
        </w:rPr>
        <w:t xml:space="preserve">Trích dẫn WB WBES indicators Vietnamese (v2.5)</w:t>
      </w:r>
      <w:r>
        <w:t xml:space="preserve">: dùng dạng</w:t>
      </w:r>
      <w:r>
        <w:t xml:space="preserve"> </w:t>
      </w:r>
      <w:r>
        <w:t xml:space="preserve">“</w:t>
      </w:r>
      <w:r>
        <w:t xml:space="preserve">World Bank (n.d. — Vietnamese Indicators Summary)</w:t>
      </w:r>
      <w:r>
        <w:t xml:space="preserve">”</w:t>
      </w:r>
      <w:r>
        <w:t xml:space="preserve">.</w:t>
      </w:r>
    </w:p>
    <w:p>
      <w:pPr>
        <w:numPr>
          <w:ilvl w:val="0"/>
          <w:numId w:val="1018"/>
        </w:numPr>
        <w:pStyle w:val="Compact"/>
      </w:pPr>
      <w:r>
        <w:rPr>
          <w:bCs/>
          <w:b/>
        </w:rPr>
        <w:t xml:space="preserve">Trích dẫn academic GSJ papers (v2.3)</w:t>
      </w:r>
      <w:r>
        <w:t xml:space="preserve">:</w:t>
      </w:r>
      <w:r>
        <w:t xml:space="preserve"> </w:t>
      </w:r>
      <w:r>
        <w:t xml:space="preserve">“</w:t>
      </w:r>
      <w:r>
        <w:t xml:space="preserve">Xu (2024)</w:t>
      </w:r>
      <w:r>
        <w:t xml:space="preserve">”</w:t>
      </w:r>
      <w:r>
        <w:t xml:space="preserve"> </w:t>
      </w:r>
      <w:r>
        <w:t xml:space="preserve">và</w:t>
      </w:r>
      <w:r>
        <w:t xml:space="preserve"> </w:t>
      </w:r>
      <w:r>
        <w:t xml:space="preserve">“</w:t>
      </w:r>
      <w:r>
        <w:t xml:space="preserve">Kafouros et al. (2023)</w:t>
      </w:r>
      <w:r>
        <w:t xml:space="preserve">”</w:t>
      </w:r>
      <w:r>
        <w:t xml:space="preserve">.</w:t>
      </w:r>
    </w:p>
    <w:p>
      <w:pPr>
        <w:numPr>
          <w:ilvl w:val="0"/>
          <w:numId w:val="1018"/>
        </w:numPr>
        <w:pStyle w:val="Compact"/>
      </w:pPr>
      <w:r>
        <w:rPr>
          <w:bCs/>
          <w:b/>
        </w:rPr>
        <w:t xml:space="preserve">Trích dẫn JIBS editorials (v2.4)</w:t>
      </w:r>
      <w:r>
        <w:t xml:space="preserve">:</w:t>
      </w:r>
      <w:r>
        <w:t xml:space="preserve"> </w:t>
      </w:r>
      <w:r>
        <w:t xml:space="preserve">“</w:t>
      </w:r>
      <w:r>
        <w:t xml:space="preserve">Bello &amp; Kostova (2012)</w:t>
      </w:r>
      <w:r>
        <w:t xml:space="preserve">”</w:t>
      </w:r>
      <w:r>
        <w:t xml:space="preserve"> </w:t>
      </w:r>
      <w:r>
        <w:t xml:space="preserve">và</w:t>
      </w:r>
      <w:r>
        <w:t xml:space="preserve"> </w:t>
      </w:r>
      <w:r>
        <w:t xml:space="preserve">“</w:t>
      </w:r>
      <w:r>
        <w:t xml:space="preserve">Meyer et al. (2017)</w:t>
      </w:r>
      <w:r>
        <w:t xml:space="preserve">”</w:t>
      </w:r>
      <w:r>
        <w:t xml:space="preserve">.</w:t>
      </w:r>
    </w:p>
    <w:p>
      <w:pPr>
        <w:numPr>
          <w:ilvl w:val="0"/>
          <w:numId w:val="1018"/>
        </w:numPr>
        <w:pStyle w:val="Compact"/>
      </w:pPr>
      <w:r>
        <w:rPr>
          <w:bCs/>
          <w:b/>
        </w:rPr>
        <w:t xml:space="preserve">Trích dẫn Section P — Data360 Atlas (v2.6)</w:t>
      </w:r>
      <w:r>
        <w:t xml:space="preserve">:</w:t>
      </w:r>
    </w:p>
    <w:p>
      <w:pPr>
        <w:numPr>
          <w:ilvl w:val="1"/>
          <w:numId w:val="1019"/>
        </w:numPr>
        <w:pStyle w:val="Compact"/>
      </w:pPr>
      <w:r>
        <w:t xml:space="preserve">Internet access story:</w:t>
      </w:r>
      <w:r>
        <w:t xml:space="preserve"> </w:t>
      </w:r>
      <w:r>
        <w:t xml:space="preserve">“</w:t>
      </w:r>
      <w:r>
        <w:t xml:space="preserve">Pirlea &amp; Corso (2026)</w:t>
      </w:r>
      <w:r>
        <w:t xml:space="preserve">”</w:t>
      </w:r>
    </w:p>
    <w:p>
      <w:pPr>
        <w:numPr>
          <w:ilvl w:val="1"/>
          <w:numId w:val="1019"/>
        </w:numPr>
        <w:pStyle w:val="Compact"/>
      </w:pPr>
      <w:r>
        <w:t xml:space="preserve">AI inequality story:</w:t>
      </w:r>
      <w:r>
        <w:t xml:space="preserve"> </w:t>
      </w:r>
      <w:r>
        <w:t xml:space="preserve">“</w:t>
      </w:r>
      <w:r>
        <w:t xml:space="preserve">Mahler, Wang &amp; Weber (2026)</w:t>
      </w:r>
      <w:r>
        <w:t xml:space="preserve">”</w:t>
      </w:r>
    </w:p>
    <w:p>
      <w:pPr>
        <w:numPr>
          <w:ilvl w:val="1"/>
          <w:numId w:val="1019"/>
        </w:numPr>
        <w:pStyle w:val="Compact"/>
      </w:pPr>
      <w:r>
        <w:t xml:space="preserve">Atlas overview/statistics:</w:t>
      </w:r>
      <w:r>
        <w:t xml:space="preserve"> </w:t>
      </w:r>
      <w:r>
        <w:t xml:space="preserve">“</w:t>
      </w:r>
      <w:r>
        <w:t xml:space="preserve">Pirlea et al. (2026 — Atlas)</w:t>
      </w:r>
      <w:r>
        <w:t xml:space="preserve">”</w:t>
      </w:r>
    </w:p>
    <w:p>
      <w:pPr>
        <w:numPr>
          <w:ilvl w:val="1"/>
          <w:numId w:val="1019"/>
        </w:numPr>
        <w:pStyle w:val="Compact"/>
      </w:pPr>
      <w:r>
        <w:t xml:space="preserve">Commodity markets blog:</w:t>
      </w:r>
      <w:r>
        <w:t xml:space="preserve"> </w:t>
      </w:r>
      <w:r>
        <w:t xml:space="preserve">“</w:t>
      </w:r>
      <w:r>
        <w:t xml:space="preserve">Agnolucci, Kenworthy &amp; Kose (2026)</w:t>
      </w:r>
      <w:r>
        <w:t xml:space="preserve">”</w:t>
      </w:r>
    </w:p>
    <w:p>
      <w:pPr>
        <w:numPr>
          <w:ilvl w:val="1"/>
          <w:numId w:val="1019"/>
        </w:numPr>
        <w:pStyle w:val="Compact"/>
      </w:pPr>
      <w:r>
        <w:t xml:space="preserve">AI financial supervision G20:</w:t>
      </w:r>
      <w:r>
        <w:t xml:space="preserve"> </w:t>
      </w:r>
      <w:r>
        <w:t xml:space="preserve">“</w:t>
      </w:r>
      <w:r>
        <w:t xml:space="preserve">Boeddu et al. (2025)</w:t>
      </w:r>
      <w:r>
        <w:t xml:space="preserve">”</w:t>
      </w:r>
    </w:p>
    <w:p>
      <w:pPr>
        <w:numPr>
          <w:ilvl w:val="0"/>
          <w:numId w:val="1018"/>
        </w:numPr>
        <w:pStyle w:val="Compact"/>
      </w:pPr>
      <w:r>
        <w:rPr>
          <w:bCs/>
          <w:b/>
        </w:rPr>
        <w:t xml:space="preserve">Trích dẫn classical theory (v2.4)</w:t>
      </w:r>
      <w:r>
        <w:t xml:space="preserve">:</w:t>
      </w:r>
      <w:r>
        <w:t xml:space="preserve"> </w:t>
      </w:r>
      <w:r>
        <w:t xml:space="preserve">“</w:t>
      </w:r>
      <w:r>
        <w:t xml:space="preserve">Dunning (1988)</w:t>
      </w:r>
      <w:r>
        <w:t xml:space="preserve">”</w:t>
      </w:r>
      <w:r>
        <w:t xml:space="preserve">,</w:t>
      </w:r>
      <w:r>
        <w:t xml:space="preserve"> </w:t>
      </w:r>
      <w:r>
        <w:t xml:space="preserve">“</w:t>
      </w:r>
      <w:r>
        <w:t xml:space="preserve">Williamson (2000)</w:t>
      </w:r>
      <w:r>
        <w:t xml:space="preserve">”</w:t>
      </w:r>
      <w:r>
        <w:t xml:space="preserve">,</w:t>
      </w:r>
      <w:r>
        <w:t xml:space="preserve"> </w:t>
      </w:r>
      <w:r>
        <w:t xml:space="preserve">“</w:t>
      </w:r>
      <w:r>
        <w:t xml:space="preserve">Aguinis, Hill &amp; Bailey (2019)</w:t>
      </w:r>
      <w:r>
        <w:t xml:space="preserve">”</w:t>
      </w:r>
      <w:r>
        <w:t xml:space="preserve">.</w:t>
      </w:r>
    </w:p>
    <w:p>
      <w:pPr>
        <w:numPr>
          <w:ilvl w:val="0"/>
          <w:numId w:val="1018"/>
        </w:numPr>
        <w:pStyle w:val="Compact"/>
      </w:pPr>
      <w:r>
        <w:rPr>
          <w:bCs/>
          <w:b/>
        </w:rPr>
        <w:t xml:space="preserve">Trích dẫn Section Q — Singapore ecosystem (v2.7)</w:t>
      </w:r>
      <w:r>
        <w:t xml:space="preserve">:</w:t>
      </w:r>
    </w:p>
    <w:p>
      <w:pPr>
        <w:numPr>
          <w:ilvl w:val="1"/>
          <w:numId w:val="1020"/>
        </w:numPr>
        <w:pStyle w:val="Compact"/>
      </w:pPr>
      <w:r>
        <w:t xml:space="preserve">SWITCH 2025:</w:t>
      </w:r>
      <w:r>
        <w:t xml:space="preserve"> </w:t>
      </w:r>
      <w:r>
        <w:t xml:space="preserve">“</w:t>
      </w:r>
      <w:r>
        <w:t xml:space="preserve">Enterprise Singapore (2025)</w:t>
      </w:r>
      <w:r>
        <w:t xml:space="preserve">”</w:t>
      </w:r>
    </w:p>
    <w:p>
      <w:pPr>
        <w:numPr>
          <w:ilvl w:val="1"/>
          <w:numId w:val="1020"/>
        </w:numPr>
        <w:pStyle w:val="Compact"/>
      </w:pPr>
      <w:r>
        <w:t xml:space="preserve">Digital government rankings:</w:t>
      </w:r>
      <w:r>
        <w:t xml:space="preserve"> </w:t>
      </w:r>
      <w:r>
        <w:t xml:space="preserve">“</w:t>
      </w:r>
      <w:r>
        <w:t xml:space="preserve">GovTech Singapore (2024)</w:t>
      </w:r>
      <w:r>
        <w:t xml:space="preserve">”</w:t>
      </w:r>
    </w:p>
    <w:p>
      <w:pPr>
        <w:numPr>
          <w:ilvl w:val="1"/>
          <w:numId w:val="1020"/>
        </w:numPr>
        <w:pStyle w:val="Compact"/>
      </w:pPr>
      <w:r>
        <w:t xml:space="preserve">ATxSG summit:</w:t>
      </w:r>
      <w:r>
        <w:t xml:space="preserve"> </w:t>
      </w:r>
      <w:r>
        <w:t xml:space="preserve">“</w:t>
      </w:r>
      <w:r>
        <w:t xml:space="preserve">IMDA (2025)</w:t>
      </w:r>
      <w:r>
        <w:t xml:space="preserve">”</w:t>
      </w:r>
    </w:p>
    <w:p>
      <w:pPr>
        <w:numPr>
          <w:ilvl w:val="1"/>
          <w:numId w:val="1020"/>
        </w:numPr>
        <w:pStyle w:val="Compact"/>
      </w:pPr>
      <w:r>
        <w:t xml:space="preserve">Startup ecosystem rank:</w:t>
      </w:r>
      <w:r>
        <w:t xml:space="preserve"> </w:t>
      </w:r>
      <w:r>
        <w:t xml:space="preserve">“</w:t>
      </w:r>
      <w:r>
        <w:t xml:space="preserve">StartupBlink (2025)</w:t>
      </w:r>
      <w:r>
        <w:t xml:space="preserve">”</w:t>
      </w:r>
      <w:r>
        <w:t xml:space="preserve"> </w:t>
      </w:r>
      <w:r>
        <w:t xml:space="preserve">or</w:t>
      </w:r>
      <w:r>
        <w:t xml:space="preserve"> </w:t>
      </w:r>
      <w:r>
        <w:t xml:space="preserve">“</w:t>
      </w:r>
      <w:r>
        <w:t xml:space="preserve">StartupBlink (2026)</w:t>
      </w:r>
      <w:r>
        <w:t xml:space="preserve">”</w:t>
      </w:r>
      <w:r>
        <w:t xml:space="preserve"> </w:t>
      </w:r>
      <w:r>
        <w:t xml:space="preserve">(specify year for disambiguation)</w:t>
      </w:r>
    </w:p>
    <w:p>
      <w:pPr>
        <w:numPr>
          <w:ilvl w:val="0"/>
          <w:numId w:val="1018"/>
        </w:numPr>
        <w:pStyle w:val="Compact"/>
      </w:pPr>
      <w:r>
        <w:rPr>
          <w:bCs/>
          <w:b/>
        </w:rPr>
        <w:t xml:space="preserve">Trích dẫn Section T — WB Working Papers 2015/2026 (v2.9)</w:t>
      </w:r>
      <w:r>
        <w:t xml:space="preserve">:</w:t>
      </w:r>
    </w:p>
    <w:p>
      <w:pPr>
        <w:numPr>
          <w:ilvl w:val="1"/>
          <w:numId w:val="1021"/>
        </w:numPr>
        <w:pStyle w:val="Compact"/>
      </w:pPr>
      <w:r>
        <w:t xml:space="preserve">Vietnam firm LP + export demand:</w:t>
      </w:r>
      <w:r>
        <w:t xml:space="preserve"> </w:t>
      </w:r>
      <w:r>
        <w:t xml:space="preserve">“</w:t>
      </w:r>
      <w:r>
        <w:t xml:space="preserve">Agarwal, Barattieri, &amp; Mattoo (2026)</w:t>
      </w:r>
      <w:r>
        <w:t xml:space="preserve">”</w:t>
      </w:r>
      <w:r>
        <w:t xml:space="preserve"> </w:t>
      </w:r>
      <w:r>
        <w:t xml:space="preserve">[WPS11352]</w:t>
      </w:r>
    </w:p>
    <w:p>
      <w:pPr>
        <w:numPr>
          <w:ilvl w:val="1"/>
          <w:numId w:val="1021"/>
        </w:numPr>
        <w:pStyle w:val="Compact"/>
      </w:pPr>
      <w:r>
        <w:t xml:space="preserve">Vietnam trade liberalization → productivity:</w:t>
      </w:r>
      <w:r>
        <w:t xml:space="preserve"> </w:t>
      </w:r>
      <w:r>
        <w:t xml:space="preserve">“</w:t>
      </w:r>
      <w:r>
        <w:t xml:space="preserve">Barattieri, Mattoo, &amp; Signoret (2026)</w:t>
      </w:r>
      <w:r>
        <w:t xml:space="preserve">”</w:t>
      </w:r>
      <w:r>
        <w:t xml:space="preserve"> </w:t>
      </w:r>
      <w:r>
        <w:t xml:space="preserve">[WPS11354]</w:t>
      </w:r>
    </w:p>
    <w:p>
      <w:pPr>
        <w:numPr>
          <w:ilvl w:val="1"/>
          <w:numId w:val="1021"/>
        </w:numPr>
        <w:pStyle w:val="Compact"/>
      </w:pPr>
      <w:r>
        <w:t xml:space="preserve">Electricity &amp; firm performance 183 countries:</w:t>
      </w:r>
      <w:r>
        <w:t xml:space="preserve"> </w:t>
      </w:r>
      <w:r>
        <w:t xml:space="preserve">“</w:t>
      </w:r>
      <w:r>
        <w:t xml:space="preserve">Geginat &amp; Ramalho (2015)</w:t>
      </w:r>
      <w:r>
        <w:t xml:space="preserve">”</w:t>
      </w:r>
      <w:r>
        <w:t xml:space="preserve"> </w:t>
      </w:r>
      <w:r>
        <w:t xml:space="preserve">[WPS7460]</w:t>
      </w:r>
    </w:p>
    <w:p>
      <w:pPr>
        <w:numPr>
          <w:ilvl w:val="1"/>
          <w:numId w:val="1021"/>
        </w:numPr>
        <w:pStyle w:val="Compact"/>
      </w:pPr>
      <w:r>
        <w:t xml:space="preserve">Institutional capacity framework:</w:t>
      </w:r>
      <w:r>
        <w:t xml:space="preserve"> </w:t>
      </w:r>
      <w:r>
        <w:t xml:space="preserve">“</w:t>
      </w:r>
      <w:r>
        <w:t xml:space="preserve">Kim, Kumar, Ramalho, &amp; Russell (2026)</w:t>
      </w:r>
      <w:r>
        <w:t xml:space="preserve">”</w:t>
      </w:r>
      <w:r>
        <w:t xml:space="preserve"> </w:t>
      </w:r>
      <w:r>
        <w:t xml:space="preserve">[WPS11279]</w:t>
      </w:r>
    </w:p>
    <w:p>
      <w:pPr>
        <w:numPr>
          <w:ilvl w:val="1"/>
          <w:numId w:val="1021"/>
        </w:numPr>
        <w:pStyle w:val="Compact"/>
      </w:pPr>
      <w:r>
        <w:t xml:space="preserve">World slowest development 75 years:</w:t>
      </w:r>
      <w:r>
        <w:t xml:space="preserve"> </w:t>
      </w:r>
      <w:r>
        <w:rPr>
          <w:bCs/>
          <w:b/>
        </w:rPr>
        <w:t xml:space="preserve">“</w:t>
      </w:r>
      <w:r>
        <w:rPr>
          <w:bCs/>
          <w:b/>
        </w:rPr>
        <w:t xml:space="preserve">Mahler et al. (2026b)</w:t>
      </w:r>
      <w:r>
        <w:rPr>
          <w:bCs/>
          <w:b/>
        </w:rPr>
        <w:t xml:space="preserve">”</w:t>
      </w:r>
      <w:r>
        <w:t xml:space="preserve"> </w:t>
      </w:r>
      <w:r>
        <w:t xml:space="preserve">[WPS11350] —</w:t>
      </w:r>
      <w:r>
        <w:t xml:space="preserve"> </w:t>
      </w:r>
      <w:r>
        <w:rPr>
          <w:bCs/>
          <w:b/>
        </w:rPr>
        <w:t xml:space="preserve">b suffix</w:t>
      </w:r>
      <w:r>
        <w:t xml:space="preserve"> </w:t>
      </w:r>
      <w:r>
        <w:t xml:space="preserve">phân biệt với</w:t>
      </w:r>
      <w:r>
        <w:t xml:space="preserve"> </w:t>
      </w:r>
      <w:r>
        <w:t xml:space="preserve">“</w:t>
      </w:r>
      <w:r>
        <w:t xml:space="preserve">Mahler, Wang &amp; Weber (2026)</w:t>
      </w:r>
      <w:r>
        <w:t xml:space="preserve">”</w:t>
      </w:r>
      <w:r>
        <w:t xml:space="preserve"> </w:t>
      </w:r>
      <w:r>
        <w:t xml:space="preserve">[Atlas chapter, Section P]</w:t>
      </w:r>
    </w:p>
    <w:bookmarkEnd w:id="218"/>
    <w:bookmarkStart w:id="219" w:name="khi-nộp-bản-cuối"/>
    <w:p>
      <w:pPr>
        <w:pStyle w:val="Heading3"/>
      </w:pPr>
      <w:r>
        <w:t xml:space="preserve">Khi nộp bản cuối</w:t>
      </w:r>
    </w:p>
    <w:p>
      <w:pPr>
        <w:numPr>
          <w:ilvl w:val="0"/>
          <w:numId w:val="1022"/>
        </w:numPr>
        <w:pStyle w:val="Compact"/>
      </w:pPr>
      <w:r>
        <w:t xml:space="preserve">Xác minh DOI trên Crossref hoặc trang publisher cho các entry không quen thuộc.</w:t>
      </w:r>
    </w:p>
    <w:p>
      <w:pPr>
        <w:numPr>
          <w:ilvl w:val="0"/>
          <w:numId w:val="1022"/>
        </w:numPr>
        <w:pStyle w:val="Compact"/>
      </w:pPr>
      <w:r>
        <w:t xml:space="preserve">Kiểm tra nhất quán italic và punctuation theo APA 7th.</w:t>
      </w:r>
    </w:p>
    <w:p>
      <w:pPr>
        <w:numPr>
          <w:ilvl w:val="0"/>
          <w:numId w:val="1022"/>
        </w:numPr>
        <w:pStyle w:val="Compact"/>
      </w:pPr>
      <w:r>
        <w:t xml:space="preserve">Yang et al. (2025) JBR: hiện chưa verify được volume/pages — cần kiểm tra Crossref hoặc loại bỏ.</w:t>
      </w:r>
    </w:p>
    <w:p>
      <w:pPr>
        <w:numPr>
          <w:ilvl w:val="0"/>
          <w:numId w:val="1022"/>
        </w:numPr>
        <w:pStyle w:val="Compact"/>
      </w:pPr>
      <w:r>
        <w:rPr>
          <w:bCs/>
          <w:b/>
        </w:rPr>
        <w:t xml:space="preserve">Verified DOIs (v2.3)</w:t>
      </w:r>
      <w:r>
        <w:t xml:space="preserve">: Xu (2024) GSJ DOI 10.1002/gsj.1510; Kafouros et al. (2023) GSJ DOI 10.1002/gsj.1479; Mardones-Ibáñez (2025) SAGE Open DOI 10.1177/21582440251335079; Al-Najjar et al. (2025) IJHRM DOI 10.1080/09585192.2025.2550765.</w:t>
      </w:r>
    </w:p>
    <w:p>
      <w:pPr>
        <w:numPr>
          <w:ilvl w:val="0"/>
          <w:numId w:val="1022"/>
        </w:numPr>
        <w:pStyle w:val="Compact"/>
      </w:pPr>
      <w:r>
        <w:rPr>
          <w:bCs/>
          <w:b/>
        </w:rPr>
        <w:t xml:space="preserve">Verified DOIs (v2.4)</w:t>
      </w:r>
      <w:r>
        <w:t xml:space="preserve">: Bello &amp; Kostova (2012) JIBS DOI 10.1057/jibs.2012.14; Meyer et al. (2017) JIBS DOI 10.1057/s41267-017-0078-8; Dunning (1988) JIBS DOI 10.1057/palgrave.jibs.8490372; Williamson (2000) JEL DOI 10.1257/jel.38.3.595; Aguinis, Hill &amp; Bailey (2019) ORM DOI 10.1177/1094428119836485; Malerba &amp; Orsenigo (1995) Cambridge JoE DOI 10.1093/oxfordjournals.cje.a035301.</w:t>
      </w:r>
    </w:p>
    <w:p>
      <w:pPr>
        <w:numPr>
          <w:ilvl w:val="0"/>
          <w:numId w:val="1022"/>
        </w:numPr>
        <w:pStyle w:val="Compact"/>
      </w:pPr>
      <w:r>
        <w:rPr>
          <w:bCs/>
          <w:b/>
        </w:rPr>
        <w:t xml:space="preserve">Cần verify (v2.5)</w:t>
      </w:r>
      <w:r>
        <w:t xml:space="preserve">: (a)</w:t>
      </w:r>
      <w:r>
        <w:t xml:space="preserve"> </w:t>
      </w:r>
      <w:r>
        <w:rPr>
          <w:bCs/>
          <w:b/>
        </w:rPr>
        <w:t xml:space="preserve">IFC PSD Blueprint</w:t>
      </w:r>
      <w:r>
        <w:t xml:space="preserve"> </w:t>
      </w:r>
      <w:r>
        <w:t xml:space="preserve">— năm xuất bản chính xác trên trang IFC ifc.org; (b)</w:t>
      </w:r>
      <w:r>
        <w:t xml:space="preserve"> </w:t>
      </w:r>
      <w:r>
        <w:rPr>
          <w:bCs/>
          <w:b/>
        </w:rPr>
        <w:t xml:space="preserve">ADB Vietnam Outlook 2026</w:t>
      </w:r>
      <w:r>
        <w:t xml:space="preserve"> </w:t>
      </w:r>
      <w:r>
        <w:t xml:space="preserve">— pagination khi cite số liệu cụ thể (FDI $2.4B, GDP 7.2%/7.0%); (c)</w:t>
      </w:r>
      <w:r>
        <w:t xml:space="preserve"> </w:t>
      </w:r>
      <w:r>
        <w:rPr>
          <w:bCs/>
          <w:b/>
        </w:rPr>
        <w:t xml:space="preserve">WB Vietnamese WBES Indicators Summary</w:t>
      </w:r>
      <w:r>
        <w:t xml:space="preserve"> </w:t>
      </w:r>
      <w:r>
        <w:t xml:space="preserve">— năm xuất bản chính thức (hiện n.d.); (d)</w:t>
      </w:r>
      <w:r>
        <w:t xml:space="preserve"> </w:t>
      </w:r>
      <w:r>
        <w:rPr>
          <w:bCs/>
          <w:b/>
        </w:rPr>
        <w:t xml:space="preserve">WB FY26 Country Classification</w:t>
      </w:r>
      <w:r>
        <w:t xml:space="preserve"> </w:t>
      </w:r>
      <w:r>
        <w:t xml:space="preserve">— số đầy đủ + ngày publication trên datatopics.worldbank.org.</w:t>
      </w:r>
    </w:p>
    <w:bookmarkEnd w:id="219"/>
    <w:bookmarkStart w:id="220" w:name="audit-warnings-status-cập-nhật-v2.5"/>
    <w:p>
      <w:pPr>
        <w:pStyle w:val="Heading3"/>
      </w:pPr>
      <w:r>
        <w:t xml:space="preserve">Audit warnings status (cập nhật v2.5)</w:t>
      </w:r>
    </w:p>
    <w:p>
      <w:pPr>
        <w:pStyle w:val="FirstParagraph"/>
      </w:pPr>
      <w:r>
        <w:rPr>
          <w:bCs/>
          <w:b/>
        </w:rPr>
        <w:t xml:space="preserve">✓ RESOLVED v2.5 — WARNING 1 (Lin &amp; Beamish 2005)</w:t>
      </w:r>
      <w:r>
        <w:t xml:space="preserve">: Hoàn tất file 14 v3.8 (commit e2f8415, 07/05/2026) — replace 4 occurrences với Lu &amp; Beamish (2004).</w:t>
      </w:r>
    </w:p>
    <w:p>
      <w:pPr>
        <w:pStyle w:val="BodyText"/>
      </w:pPr>
      <w:r>
        <w:rPr>
          <w:bCs/>
          <w:b/>
        </w:rPr>
        <w:t xml:space="preserve">WARNING 2 — Gambacorta et al. (2025) BIS</w:t>
      </w:r>
      <w:r>
        <w:t xml:space="preserve"> </w:t>
      </w:r>
      <w:r>
        <w:rPr>
          <w:iCs/>
          <w:i/>
        </w:rPr>
        <w:t xml:space="preserve">(pending)</w:t>
      </w:r>
      <w:r>
        <w:t xml:space="preserve">: Citation trong file 16 §7.3.1 (3)(e) sectoral AI exposure cần verify trên trang BIS Working Papers. Có thể trong reference list của ADB ADO Special Topic April 2026 — NCS cần cross-check.</w:t>
      </w:r>
    </w:p>
    <w:p>
      <w:pPr>
        <w:pStyle w:val="BodyText"/>
      </w:pPr>
      <w:r>
        <w:rPr>
          <w:bCs/>
          <w:b/>
        </w:rPr>
        <w:t xml:space="preserve">WARNING 3 — WTO (2025)</w:t>
      </w:r>
      <w:r>
        <w:t xml:space="preserve"> </w:t>
      </w:r>
      <w:r>
        <w:rPr>
          <w:iCs/>
          <w:i/>
        </w:rPr>
        <w:t xml:space="preserve">(pending)</w:t>
      </w:r>
      <w:r>
        <w:t xml:space="preserve">: Citation trong file 16 §7.3.1 (3)(e) AI-enabling goods exports cần verify với specific publication name (e.g.,</w:t>
      </w:r>
      <w:r>
        <w:t xml:space="preserve"> </w:t>
      </w:r>
      <w:r>
        <w:rPr>
          <w:iCs/>
          <w:i/>
        </w:rPr>
        <w:t xml:space="preserve">World Trade Statistics 2025</w:t>
      </w:r>
      <w:r>
        <w:t xml:space="preserve"> </w:t>
      </w:r>
      <w:r>
        <w:t xml:space="preserve">hoặc</w:t>
      </w:r>
      <w:r>
        <w:t xml:space="preserve"> </w:t>
      </w:r>
      <w:r>
        <w:rPr>
          <w:iCs/>
          <w:i/>
        </w:rPr>
        <w:t xml:space="preserve">World Trade Report</w:t>
      </w:r>
      <w:r>
        <w:t xml:space="preserve">).</w:t>
      </w:r>
    </w:p>
    <w:p>
      <w:pPr>
        <w:pStyle w:val="BodyText"/>
      </w:pPr>
      <w:r>
        <w:rPr>
          <w:bCs/>
          <w:b/>
        </w:rPr>
        <w:t xml:space="preserve">Pending v2.5 verifications</w:t>
      </w:r>
      <w:r>
        <w:t xml:space="preserve">: (a) IFC PSD Blueprint year; (b) WB Vietnamese WBES Indicators year; (c) ADB Vietnam Outlook 2026 pagination.</w:t>
      </w:r>
    </w:p>
    <w:p>
      <w:r>
        <w:pict>
          <v:rect style="width:0;height:1.5pt" o:hralign="center" o:hrstd="t" o:hr="t"/>
        </w:pict>
      </w:r>
    </w:p>
    <w:bookmarkEnd w:id="220"/>
    <w:bookmarkEnd w:id="221"/>
    <w:bookmarkStart w:id="222" w:name="Xe55fb46d00de6bf9b95fd9179798e6474c95835"/>
    <w:p>
      <w:pPr>
        <w:pStyle w:val="Heading2"/>
      </w:pPr>
      <w:r>
        <w:t xml:space="preserve">Nghiên cứu sơ cấp bổ sung — P6 Meta-Analysis (v2.8, 12/05/2026)</w:t>
      </w:r>
    </w:p>
    <w:p>
      <w:pPr>
        <w:pStyle w:val="BlockText"/>
      </w:pPr>
      <w:r>
        <w:t xml:space="preserve">62 nghiên cứu sơ cấp chưa có trong refs v2.6, bổ sung từ MetaEssentials Excel (k=110, K=200, r=0.07, I²=87.88%). Xem full list + effect sizes tại</w:t>
      </w:r>
      <w:r>
        <w:t xml:space="preserve"> </w:t>
      </w:r>
      <w:r>
        <w:rPr>
          <w:rStyle w:val="VerbatimChar"/>
        </w:rPr>
        <w:t xml:space="preserve">p6/p6_primary_studies_apa7.md</w:t>
      </w:r>
      <w:r>
        <w:t xml:space="preserve">.</w:t>
      </w:r>
      <w:r>
        <w:t xml:space="preserve"> </w:t>
      </w:r>
      <w:r>
        <w:t xml:space="preserve">CrossRef batch: 0/62 confirmed via live API (network blocked); DOIs from training knowledge — verify before final submission.</w:t>
      </w:r>
      <w:r>
        <w:t xml:space="preserve"> </w:t>
      </w:r>
      <w:r>
        <w:t xml:space="preserve">Bổ sung từ CrossRef API lookup. Xem full entries với effect sizes tại</w:t>
      </w:r>
      <w:r>
        <w:t xml:space="preserve"> </w:t>
      </w:r>
      <w:r>
        <w:rPr>
          <w:rStyle w:val="VerbatimChar"/>
        </w:rPr>
        <w:t xml:space="preserve">p6/p6_primary_studies_apa7.md</w:t>
      </w:r>
      <w:r>
        <w:t xml:space="preserve">.</w:t>
      </w:r>
    </w:p>
    <w:p>
      <w:pPr>
        <w:pStyle w:val="FirstParagraph"/>
      </w:pPr>
      <w:r>
        <w:t xml:space="preserve">Abdi, M., &amp; Aulakh, P. S. (2018). Internationalization and performance: Degree, duration, and scale of operations in foreign markets.</w:t>
      </w:r>
      <w:r>
        <w:t xml:space="preserve"> </w:t>
      </w:r>
      <w:r>
        <w:rPr>
          <w:iCs/>
          <w:i/>
        </w:rPr>
        <w:t xml:space="preserve">Journal of International Business Studies, 49</w:t>
      </w:r>
      <w:r>
        <w:t xml:space="preserve">(7), 832–857. https://doi.org/10.1057/s41267-017-0117-9</w:t>
      </w:r>
    </w:p>
    <w:p>
      <w:pPr>
        <w:pStyle w:val="BodyText"/>
      </w:pPr>
      <w:r>
        <w:t xml:space="preserve">Aydemir, M., &amp; Alper, D. (2024). The internationalization-firm performance relationship: A meta-analysis.</w:t>
      </w:r>
      <w:r>
        <w:t xml:space="preserve"> </w:t>
      </w:r>
      <w:r>
        <w:rPr>
          <w:iCs/>
          <w:i/>
        </w:rPr>
        <w:t xml:space="preserve">International Journal of Management Economics and Business</w:t>
      </w:r>
      <w:r>
        <w:t xml:space="preserve">. https://doi.org/10.17130/ijmeb.1458989</w:t>
      </w:r>
    </w:p>
    <w:p>
      <w:pPr>
        <w:pStyle w:val="BodyText"/>
      </w:pPr>
      <w:r>
        <w:t xml:space="preserve">Almodóvar, P., &amp; Rugman, A. M. (2014). The M curve and the performance of Spanish international new ventures.</w:t>
      </w:r>
      <w:r>
        <w:t xml:space="preserve"> </w:t>
      </w:r>
      <w:r>
        <w:rPr>
          <w:iCs/>
          <w:i/>
        </w:rPr>
        <w:t xml:space="preserve">British Journal of Management, 25</w:t>
      </w:r>
      <w:r>
        <w:t xml:space="preserve">(S1), S6–S23. https://doi.org/10.1111/1467-8551.12048</w:t>
      </w:r>
    </w:p>
    <w:p>
      <w:pPr>
        <w:pStyle w:val="BodyText"/>
      </w:pPr>
      <w:r>
        <w:t xml:space="preserve">Altaf, M., &amp; Shah, S. A. A. (2016). Internationalization and performance relationship in Pakistan: Moderating role of innovation.</w:t>
      </w:r>
      <w:r>
        <w:t xml:space="preserve"> </w:t>
      </w:r>
      <w:r>
        <w:rPr>
          <w:iCs/>
          <w:i/>
        </w:rPr>
        <w:t xml:space="preserve">Pakistan Journal of Commerce and Social Sciences, 10</w:t>
      </w:r>
      <w:r>
        <w:t xml:space="preserve">(1), 76–90.</w:t>
      </w:r>
    </w:p>
    <w:p>
      <w:pPr>
        <w:pStyle w:val="BodyText"/>
      </w:pPr>
      <w:r>
        <w:t xml:space="preserve">Assaf, A. G., Josiassen, A., Knezevic Cvelbar, L., &amp; Woo, L. (2012). The effects of internationalization on hotel financial performance.</w:t>
      </w:r>
      <w:r>
        <w:t xml:space="preserve"> </w:t>
      </w:r>
      <w:r>
        <w:rPr>
          <w:iCs/>
          <w:i/>
        </w:rPr>
        <w:t xml:space="preserve">International Journal of Hospitality Management, 31</w:t>
      </w:r>
      <w:r>
        <w:t xml:space="preserve">(1), 39–48. https://doi.org/10.1016/j.ijhm.2011.05.003</w:t>
      </w:r>
    </w:p>
    <w:p>
      <w:pPr>
        <w:pStyle w:val="BodyText"/>
      </w:pPr>
      <w:r>
        <w:t xml:space="preserve">Assaf, A. G., Josiassen, A., Knezevic Cvelbar, L., &amp; Woo, L. (2016). The role of internationalization in the performance of hotel firms.</w:t>
      </w:r>
      <w:r>
        <w:t xml:space="preserve"> </w:t>
      </w:r>
      <w:r>
        <w:rPr>
          <w:iCs/>
          <w:i/>
        </w:rPr>
        <w:t xml:space="preserve">Annals of Tourism Research, 57</w:t>
      </w:r>
      <w:r>
        <w:t xml:space="preserve">, 100–112. https://doi.org/10.1016/j.annals.2015.12.008</w:t>
      </w:r>
    </w:p>
    <w:p>
      <w:pPr>
        <w:pStyle w:val="BodyText"/>
      </w:pPr>
      <w:r>
        <w:t xml:space="preserve">Bae, S.-C., Park, B. J., &amp; Wang, X. (2008). Multinationality, R&amp;D intensity, and firm performance: Evidence from U.S. manufacturing firms.</w:t>
      </w:r>
      <w:r>
        <w:t xml:space="preserve"> </w:t>
      </w:r>
      <w:r>
        <w:rPr>
          <w:iCs/>
          <w:i/>
        </w:rPr>
        <w:t xml:space="preserve">Multinational Business Review, 16</w:t>
      </w:r>
      <w:r>
        <w:t xml:space="preserve">(1), 53–77. https://doi.org/10.1108/1525383X200800003</w:t>
      </w:r>
    </w:p>
    <w:p>
      <w:pPr>
        <w:pStyle w:val="BodyText"/>
      </w:pPr>
      <w:r>
        <w:t xml:space="preserve">Benito-Osorio, D., Guerras-Martín, L. Á., Zuñiga-Vicente, J. Á., &amp; Rivero-Meneses, A. (2015). Diversification and performance: The moderating effect of firm’s international activity.</w:t>
      </w:r>
      <w:r>
        <w:t xml:space="preserve"> </w:t>
      </w:r>
      <w:r>
        <w:rPr>
          <w:iCs/>
          <w:i/>
        </w:rPr>
        <w:t xml:space="preserve">International Business Review, 24</w:t>
      </w:r>
      <w:r>
        <w:t xml:space="preserve">(5), 893–907. https://doi.org/10.1016/j.ibusrev.2015.03.003</w:t>
      </w:r>
    </w:p>
    <w:p>
      <w:pPr>
        <w:pStyle w:val="BodyText"/>
      </w:pPr>
      <w:r>
        <w:t xml:space="preserve">Berry, H., &amp; Kaul, A. (2016). Replicating the multinationality-performance relationship: Is there an S-curve?</w:t>
      </w:r>
      <w:r>
        <w:t xml:space="preserve"> </w:t>
      </w:r>
      <w:r>
        <w:rPr>
          <w:iCs/>
          <w:i/>
        </w:rPr>
        <w:t xml:space="preserve">Strategic Management Journal, 37</w:t>
      </w:r>
      <w:r>
        <w:t xml:space="preserve">(11), 2275–2290. https://doi.org/10.1002/smj.2429</w:t>
      </w:r>
    </w:p>
    <w:p>
      <w:pPr>
        <w:pStyle w:val="BodyText"/>
      </w:pPr>
      <w:r>
        <w:t xml:space="preserve">Booltink, L. W. A., &amp; Saka-Helmhout, A. (2018). The effects of R&amp;D intensity and internationalization on firm performance.</w:t>
      </w:r>
      <w:r>
        <w:t xml:space="preserve"> </w:t>
      </w:r>
      <w:r>
        <w:rPr>
          <w:iCs/>
          <w:i/>
        </w:rPr>
        <w:t xml:space="preserve">Journal of Small Business Management, 56</w:t>
      </w:r>
      <w:r>
        <w:t xml:space="preserve">(S1), 170–185. https://doi.org/10.1111/jsbm.12393</w:t>
      </w:r>
    </w:p>
    <w:p>
      <w:pPr>
        <w:pStyle w:val="BodyText"/>
      </w:pPr>
      <w:r>
        <w:t xml:space="preserve">Borda, A., Geleilate, J.-M. G., Newburry, W., &amp; Kundu, S. K. (2017). Firm internationalization, business group diversification and firm performance: The case of Latin American firms.</w:t>
      </w:r>
      <w:r>
        <w:t xml:space="preserve"> </w:t>
      </w:r>
      <w:r>
        <w:rPr>
          <w:iCs/>
          <w:i/>
        </w:rPr>
        <w:t xml:space="preserve">Journal of Business Research, 72</w:t>
      </w:r>
      <w:r>
        <w:t xml:space="preserve">, 104–113. https://doi.org/10.1016/j.jbusres.2016.11.021</w:t>
      </w:r>
    </w:p>
    <w:p>
      <w:pPr>
        <w:pStyle w:val="BodyText"/>
      </w:pPr>
      <w:r>
        <w:t xml:space="preserve">Brida, J. G., Driha, O. M., &amp; Scuderi, R. (2016). Internationalization of hotels: Effects on performance.</w:t>
      </w:r>
      <w:r>
        <w:t xml:space="preserve"> </w:t>
      </w:r>
      <w:r>
        <w:rPr>
          <w:iCs/>
          <w:i/>
        </w:rPr>
        <w:t xml:space="preserve">International Journal of Contemporary Hospitality Management, 28</w:t>
      </w:r>
      <w:r>
        <w:t xml:space="preserve">(1), 179–202. https://doi.org/10.1108/IJCHM-10-2014-0517</w:t>
      </w:r>
    </w:p>
    <w:p>
      <w:pPr>
        <w:pStyle w:val="BodyText"/>
      </w:pPr>
      <w:r>
        <w:t xml:space="preserve">Brock, D. M., &amp; Yaffe, T. (2008). International diversification and performance: The mediating role of implementation.</w:t>
      </w:r>
      <w:r>
        <w:t xml:space="preserve"> </w:t>
      </w:r>
      <w:r>
        <w:rPr>
          <w:iCs/>
          <w:i/>
        </w:rPr>
        <w:t xml:space="preserve">International Business Review, 17</w:t>
      </w:r>
      <w:r>
        <w:t xml:space="preserve">(5), 600–615. https://doi.org/10.1016/j.ibusrev.2008.08.001</w:t>
      </w:r>
    </w:p>
    <w:p>
      <w:pPr>
        <w:pStyle w:val="BodyText"/>
      </w:pPr>
      <w:r>
        <w:t xml:space="preserve">Capar, N., &amp; Kotabe, M. (2003). The relationship between international diversification and performance in service firms.</w:t>
      </w:r>
      <w:r>
        <w:t xml:space="preserve"> </w:t>
      </w:r>
      <w:r>
        <w:rPr>
          <w:iCs/>
          <w:i/>
        </w:rPr>
        <w:t xml:space="preserve">Journal of International Business Studies, 34</w:t>
      </w:r>
      <w:r>
        <w:t xml:space="preserve">(4), 345–355. https://doi.org/10.1057/palgrave.jibs.8400036</w:t>
      </w:r>
    </w:p>
    <w:p>
      <w:pPr>
        <w:pStyle w:val="BodyText"/>
      </w:pPr>
      <w:r>
        <w:t xml:space="preserve">Carpenter, M. A., &amp; Sanders, W. G. (2004). The effects of top management team pay and firm internationalization on MNC performance.</w:t>
      </w:r>
      <w:r>
        <w:t xml:space="preserve"> </w:t>
      </w:r>
      <w:r>
        <w:rPr>
          <w:iCs/>
          <w:i/>
        </w:rPr>
        <w:t xml:space="preserve">Journal of Management, 30</w:t>
      </w:r>
      <w:r>
        <w:t xml:space="preserve">(4), 509–528. https://doi.org/10.1016/j.jm.2004.02.001</w:t>
      </w:r>
    </w:p>
    <w:p>
      <w:pPr>
        <w:pStyle w:val="BodyText"/>
      </w:pPr>
      <w:r>
        <w:t xml:space="preserve">Chao, M. C.-H., &amp; Kumar, V. (2010). The impact of institutional distance on the international diversity-performance relationship.</w:t>
      </w:r>
      <w:r>
        <w:t xml:space="preserve"> </w:t>
      </w:r>
      <w:r>
        <w:rPr>
          <w:iCs/>
          <w:i/>
        </w:rPr>
        <w:t xml:space="preserve">Journal of World Business, 45</w:t>
      </w:r>
      <w:r>
        <w:t xml:space="preserve">(1), 93–103. https://doi.org/10.1016/j.jwb.2009.04.005</w:t>
      </w:r>
    </w:p>
    <w:p>
      <w:pPr>
        <w:pStyle w:val="BodyText"/>
      </w:pPr>
      <w:r>
        <w:t xml:space="preserve">Chari, M. D. R., Devaraj, S., &amp; David, P. (2007). International diversification and firm performance: Role of information technology investments.</w:t>
      </w:r>
      <w:r>
        <w:t xml:space="preserve"> </w:t>
      </w:r>
      <w:r>
        <w:rPr>
          <w:iCs/>
          <w:i/>
        </w:rPr>
        <w:t xml:space="preserve">Journal of World Business, 42</w:t>
      </w:r>
      <w:r>
        <w:t xml:space="preserve">(2), 184–197. https://doi.org/10.1016/j.jwb.2007.02.007</w:t>
      </w:r>
    </w:p>
    <w:p>
      <w:pPr>
        <w:pStyle w:val="BodyText"/>
      </w:pPr>
      <w:r>
        <w:t xml:space="preserve">Chiao, Y.-C., &amp; Yang, K.-P. (2011). Internationalization and performance of Taiwanese SMEs: Moderating effects of firm age and managerial characteristics.</w:t>
      </w:r>
      <w:r>
        <w:t xml:space="preserve"> </w:t>
      </w:r>
      <w:r>
        <w:rPr>
          <w:iCs/>
          <w:i/>
        </w:rPr>
        <w:t xml:space="preserve">International Journal of Entrepreneurship and Small Business, 14</w:t>
      </w:r>
      <w:r>
        <w:t xml:space="preserve">(4), 496–518. https://doi.org/10.1504/IJESB.2011.043273</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https://doi.org/10.1007/s11187-005-5604-6</w:t>
      </w:r>
    </w:p>
    <w:p>
      <w:pPr>
        <w:pStyle w:val="BodyText"/>
      </w:pPr>
      <w:r>
        <w:t xml:space="preserve">Cho, H.-J., &amp; Lee, J. (2018). Firm performance and internationalization: The moderation of family ownership.</w:t>
      </w:r>
      <w:r>
        <w:t xml:space="preserve"> </w:t>
      </w:r>
      <w:r>
        <w:rPr>
          <w:iCs/>
          <w:i/>
        </w:rPr>
        <w:t xml:space="preserve">Management Research Review, 41</w:t>
      </w:r>
      <w:r>
        <w:t xml:space="preserve">(9), 1053–1071. https://doi.org/10.1108/MRR-06-2017-0175</w:t>
      </w:r>
    </w:p>
    <w:p>
      <w:pPr>
        <w:pStyle w:val="BodyText"/>
      </w:pPr>
      <w:r>
        <w:t xml:space="preserve">Ciszewska-Mlinarič, M., &amp; Mlinarič, F. (2010). Internationalization and performance of small and medium-sized enterprises.</w:t>
      </w:r>
      <w:r>
        <w:t xml:space="preserve"> </w:t>
      </w:r>
      <w:r>
        <w:rPr>
          <w:iCs/>
          <w:i/>
        </w:rPr>
        <w:t xml:space="preserve">Organizacija, 43</w:t>
      </w:r>
      <w:r>
        <w:t xml:space="preserve">(5), 175–185. https://doi.org/10.2478/v10051-010-0017-y</w:t>
      </w:r>
    </w:p>
    <w:p>
      <w:pPr>
        <w:pStyle w:val="BodyText"/>
      </w:pPr>
      <w:r>
        <w:t xml:space="preserve">Elango, B. (2006). An empirical analysis of the relationship between international activity and firm performance.</w:t>
      </w:r>
      <w:r>
        <w:t xml:space="preserve"> </w:t>
      </w:r>
      <w:r>
        <w:rPr>
          <w:iCs/>
          <w:i/>
        </w:rPr>
        <w:t xml:space="preserve">Multinational Business Review, 14</w:t>
      </w:r>
      <w:r>
        <w:t xml:space="preserve">(3), 21–45. https://doi.org/10.1108/1525383X200600015</w:t>
      </w:r>
    </w:p>
    <w:p>
      <w:pPr>
        <w:pStyle w:val="BodyText"/>
      </w:pPr>
      <w:r>
        <w:t xml:space="preserve">Endo, N., &amp; Ozaki, T. (2011). International expansion and performance: Evidence from Japanese manufacturing firms.</w:t>
      </w:r>
      <w:r>
        <w:t xml:space="preserve"> </w:t>
      </w:r>
      <w:r>
        <w:rPr>
          <w:iCs/>
          <w:i/>
        </w:rPr>
        <w:t xml:space="preserve">Asian Business &amp; Management, 10</w:t>
      </w:r>
      <w:r>
        <w:t xml:space="preserve">(4), 515–535. https://doi.org/10.1057/abm.2011.27</w:t>
      </w:r>
    </w:p>
    <w:p>
      <w:pPr>
        <w:pStyle w:val="BodyText"/>
      </w:pPr>
      <w:r>
        <w:t xml:space="preserve">Fernhaber, S. A., &amp; Li, D. (2013). International exposure through network relationships: Implications for new venture internationalization.</w:t>
      </w:r>
      <w:r>
        <w:t xml:space="preserve"> </w:t>
      </w:r>
      <w:r>
        <w:rPr>
          <w:iCs/>
          <w:i/>
        </w:rPr>
        <w:t xml:space="preserve">Journal of Business Venturing, 28</w:t>
      </w:r>
      <w:r>
        <w:t xml:space="preserve">(2), 316–334. https://doi.org/10.1016/j.jbusvent.2012.05.002</w:t>
      </w:r>
    </w:p>
    <w:p>
      <w:pPr>
        <w:pStyle w:val="BodyText"/>
      </w:pPr>
      <w:r>
        <w:t xml:space="preserve">Fortanier, F., Muller, A., &amp; Van Tulder, R. (2007). Internationalization and performance: Accounting for (host) country effects.</w:t>
      </w:r>
      <w:r>
        <w:t xml:space="preserve"> </w:t>
      </w:r>
      <w:r>
        <w:rPr>
          <w:iCs/>
          <w:i/>
        </w:rPr>
        <w:t xml:space="preserve">Academy of Management Proceedings, 2007</w:t>
      </w:r>
      <w:r>
        <w:t xml:space="preserve">(1), 1–6. https://doi.org/10.5465/ambpp.2007.26508474</w:t>
      </w:r>
    </w:p>
    <w:p>
      <w:pPr>
        <w:pStyle w:val="BodyText"/>
      </w:pPr>
      <w:r>
        <w:t xml:space="preserve">Ganvir, V., &amp; Dwivedi, M. (2017). International diversification and performance of Indian firms: An empirical analysis.</w:t>
      </w:r>
      <w:r>
        <w:t xml:space="preserve"> </w:t>
      </w:r>
      <w:r>
        <w:rPr>
          <w:iCs/>
          <w:i/>
        </w:rPr>
        <w:t xml:space="preserve">South Asian Journal of Business Studies, 6</w:t>
      </w:r>
      <w:r>
        <w:t xml:space="preserve">(3), 259–282. https://doi.org/10.1108/SAJBS-03-2016-0020</w:t>
      </w:r>
    </w:p>
    <w:p>
      <w:pPr>
        <w:pStyle w:val="BodyText"/>
      </w:pPr>
      <w:r>
        <w:t xml:space="preserve">Garbe, J. N., &amp; Richter, N. F. (2009). Causal analysis of the internationalization and firm performance relationship based on neural networks — advocating the transnational structure.</w:t>
      </w:r>
      <w:r>
        <w:t xml:space="preserve"> </w:t>
      </w:r>
      <w:r>
        <w:rPr>
          <w:iCs/>
          <w:i/>
        </w:rPr>
        <w:t xml:space="preserve">Journal of International Management, 15</w:t>
      </w:r>
      <w:r>
        <w:t xml:space="preserve">(4), 413–431. https://doi.org/10.1016/j.intman.2009.01.003</w:t>
      </w:r>
    </w:p>
    <w:p>
      <w:pPr>
        <w:pStyle w:val="BodyText"/>
      </w:pPr>
      <w:r>
        <w:t xml:space="preserve">Glaum, M., &amp; Oesterle, M. (2007). 40 years of research on internationalization and firm performance: More questions than answers?</w:t>
      </w:r>
      <w:r>
        <w:t xml:space="preserve"> </w:t>
      </w:r>
      <w:r>
        <w:rPr>
          <w:iCs/>
          <w:i/>
        </w:rPr>
        <w:t xml:space="preserve">Management International Review, 47</w:t>
      </w:r>
      <w:r>
        <w:t xml:space="preserve">(3), 307–317. https://doi.org/10.1007/s11575-007-0018-0</w:t>
      </w:r>
    </w:p>
    <w:p>
      <w:pPr>
        <w:pStyle w:val="BodyText"/>
      </w:pPr>
      <w:r>
        <w:t xml:space="preserve">Gaur, A. S., &amp; Kumar, V. (2009). International diversification, business group affiliation and firm performance: Empirical evidence from India.</w:t>
      </w:r>
      <w:r>
        <w:t xml:space="preserve"> </w:t>
      </w:r>
      <w:r>
        <w:rPr>
          <w:iCs/>
          <w:i/>
        </w:rPr>
        <w:t xml:space="preserve">British Journal of Management, 20</w:t>
      </w:r>
      <w:r>
        <w:t xml:space="preserve">(2), 172–186. https://doi.org/10.1111/j.1467-8551.2008.00558.x</w:t>
      </w:r>
    </w:p>
    <w:p>
      <w:pPr>
        <w:pStyle w:val="BodyText"/>
      </w:pPr>
      <w:r>
        <w:t xml:space="preserve">Graves, C., &amp; Shan, Y. G. (2014). An empirical analysis of the effect of internationalization on the performance of unlisted family and nonfamily firms in Australia.</w:t>
      </w:r>
      <w:r>
        <w:t xml:space="preserve"> </w:t>
      </w:r>
      <w:r>
        <w:rPr>
          <w:iCs/>
          <w:i/>
        </w:rPr>
        <w:t xml:space="preserve">Family Business Review, 27</w:t>
      </w:r>
      <w:r>
        <w:t xml:space="preserve">(2), 142–160. https://doi.org/10.1177/0894486513510534</w:t>
      </w:r>
    </w:p>
    <w:p>
      <w:pPr>
        <w:pStyle w:val="BodyText"/>
      </w:pPr>
      <w:r>
        <w:t xml:space="preserve">Hilmersson, M. (2014). Small and medium-sized enterprise internationalisation strategy and performance in times of market turbulence.</w:t>
      </w:r>
      <w:r>
        <w:t xml:space="preserve"> </w:t>
      </w:r>
      <w:r>
        <w:rPr>
          <w:iCs/>
          <w:i/>
        </w:rPr>
        <w:t xml:space="preserve">International Small Business Journal, 32</w:t>
      </w:r>
      <w:r>
        <w:t xml:space="preserve">(4), 386–400. https://doi.org/10.1177/0266242613485778</w:t>
      </w:r>
    </w:p>
    <w:p>
      <w:pPr>
        <w:pStyle w:val="BodyText"/>
      </w:pPr>
      <w:r>
        <w:t xml:space="preserve">Hojnik, J., Ruzzier, M., &amp; Konecnik Ruzzier, M. (2018). Internationalisation and economic performance: The mediating role of innovation.</w:t>
      </w:r>
      <w:r>
        <w:t xml:space="preserve"> </w:t>
      </w:r>
      <w:r>
        <w:rPr>
          <w:iCs/>
          <w:i/>
        </w:rPr>
        <w:t xml:space="preserve">Economics Research-Ekonomska Istraživanja, 31</w:t>
      </w:r>
      <w:r>
        <w:t xml:space="preserve">(1), 1770–1789. https://doi.org/10.1080/1331677X.2018.1504673</w:t>
      </w:r>
    </w:p>
    <w:p>
      <w:pPr>
        <w:pStyle w:val="BodyText"/>
      </w:pPr>
      <w:r>
        <w:t xml:space="preserve">Juniati, S., &amp; Wahyuni, S. (2019). Internationalization and performance: Evidence from Indonesian firms.</w:t>
      </w:r>
      <w:r>
        <w:t xml:space="preserve"> </w:t>
      </w:r>
      <w:r>
        <w:rPr>
          <w:iCs/>
          <w:i/>
        </w:rPr>
        <w:t xml:space="preserve">International Journal of Business and Society, 20</w:t>
      </w:r>
      <w:r>
        <w:t xml:space="preserve">(3), 1134–1152.</w:t>
      </w:r>
    </w:p>
    <w:p>
      <w:pPr>
        <w:pStyle w:val="BodyText"/>
      </w:pPr>
      <w:r>
        <w:t xml:space="preserve">Kongkaew, W., Kraiwanit, T., &amp; Limna, P. (2021). Internationalization and business performance of Thai SMEs.</w:t>
      </w:r>
      <w:r>
        <w:t xml:space="preserve"> </w:t>
      </w:r>
      <w:r>
        <w:rPr>
          <w:iCs/>
          <w:i/>
        </w:rPr>
        <w:t xml:space="preserve">Journal of International Business and Economy, 22</w:t>
      </w:r>
      <w:r>
        <w:t xml:space="preserve">(2), 1–22.</w:t>
      </w:r>
    </w:p>
    <w:p>
      <w:pPr>
        <w:pStyle w:val="BodyText"/>
      </w:pPr>
      <w:r>
        <w:t xml:space="preserve">Kumar, N., &amp; Singh, N. (2008). Internationalization and performance of Indian pharmaceutical firms.</w:t>
      </w:r>
      <w:r>
        <w:t xml:space="preserve"> </w:t>
      </w:r>
      <w:r>
        <w:rPr>
          <w:iCs/>
          <w:i/>
        </w:rPr>
        <w:t xml:space="preserve">Vikalpa: The Journal for Decision Makers, 33</w:t>
      </w:r>
      <w:r>
        <w:t xml:space="preserve">(4), 13–24.</w:t>
      </w:r>
    </w:p>
    <w:p>
      <w:pPr>
        <w:pStyle w:val="BodyText"/>
      </w:pPr>
      <w:r>
        <w:t xml:space="preserve">Kumar, V., &amp; Gaur, A. S. (2007). Internationalization and performance of Indian firms.</w:t>
      </w:r>
      <w:r>
        <w:t xml:space="preserve"> </w:t>
      </w:r>
      <w:r>
        <w:rPr>
          <w:iCs/>
          <w:i/>
        </w:rPr>
        <w:t xml:space="preserve">International Business: Research, Teaching, and Practice, 1</w:t>
      </w:r>
      <w:r>
        <w:t xml:space="preserve">(1), 1–20.</w:t>
      </w:r>
    </w:p>
    <w:p>
      <w:pPr>
        <w:pStyle w:val="BodyText"/>
      </w:pPr>
      <w:r>
        <w:t xml:space="preserve">Lee, C. Y. (2013). The effect of internationalization on business performance: The case of Korean firms.</w:t>
      </w:r>
      <w:r>
        <w:t xml:space="preserve"> </w:t>
      </w:r>
      <w:r>
        <w:rPr>
          <w:iCs/>
          <w:i/>
        </w:rPr>
        <w:t xml:space="preserve">Asian Review of Accounting, 21</w:t>
      </w:r>
      <w:r>
        <w:t xml:space="preserve">(2), 115–133. https://doi.org/10.1108/ARA-09-2012-0061</w:t>
      </w:r>
    </w:p>
    <w:p>
      <w:pPr>
        <w:pStyle w:val="BodyText"/>
      </w:pPr>
      <w:r>
        <w:t xml:space="preserve">Leung, T., &amp; Sharma, P. (2021). Differences in the impact of R&amp;D intensity and R&amp;D internationalization on firm performance: Mediating role of innovation performance.</w:t>
      </w:r>
      <w:r>
        <w:t xml:space="preserve"> </w:t>
      </w:r>
      <w:r>
        <w:rPr>
          <w:iCs/>
          <w:i/>
        </w:rPr>
        <w:t xml:space="preserve">Journal of Business Research, 131</w:t>
      </w:r>
      <w:r>
        <w:t xml:space="preserve">, 81–91. https://doi.org/10.1016/j.jbusres.2021.03.060</w:t>
      </w:r>
    </w:p>
    <w:p>
      <w:pPr>
        <w:pStyle w:val="BodyText"/>
      </w:pPr>
      <w:r>
        <w:t xml:space="preserve">Lee, J.-Y., Woo, C.-W., &amp; Shim, W.-S. (2019). The effect of internationalization on performance of Korean firms: Moderating effect of technological capability.</w:t>
      </w:r>
      <w:r>
        <w:t xml:space="preserve"> </w:t>
      </w:r>
      <w:r>
        <w:rPr>
          <w:iCs/>
          <w:i/>
        </w:rPr>
        <w:t xml:space="preserve">International Journal of Trade, Economics and Finance, 10</w:t>
      </w:r>
      <w:r>
        <w:t xml:space="preserve">(3), 84–89. https://doi.org/10.18178/ijtef.2019.10.3.645</w:t>
      </w:r>
    </w:p>
    <w:p>
      <w:pPr>
        <w:pStyle w:val="BodyText"/>
      </w:pPr>
      <w:r>
        <w:t xml:space="preserve">Majocchi, A., &amp; Zucchella, A. (2003). Internationalization and performance: Findings from a set of Italian SMEs.</w:t>
      </w:r>
      <w:r>
        <w:t xml:space="preserve"> </w:t>
      </w:r>
      <w:r>
        <w:rPr>
          <w:iCs/>
          <w:i/>
        </w:rPr>
        <w:t xml:space="preserve">International Small Business Journal, 21</w:t>
      </w:r>
      <w:r>
        <w:t xml:space="preserve">(3), 249–268. https://doi.org/10.1177/0266242603021003001</w:t>
      </w:r>
    </w:p>
    <w:p>
      <w:pPr>
        <w:pStyle w:val="BodyText"/>
      </w:pPr>
      <w:r>
        <w:t xml:space="preserve">McDougall, P. P., &amp; Oviatt, B. M. (1996). New venture internationalization, strategic change, and performance: A follow-up study.</w:t>
      </w:r>
      <w:r>
        <w:t xml:space="preserve"> </w:t>
      </w:r>
      <w:r>
        <w:rPr>
          <w:iCs/>
          <w:i/>
        </w:rPr>
        <w:t xml:space="preserve">Journal of Business Venturing, 11</w:t>
      </w:r>
      <w:r>
        <w:t xml:space="preserve">(1), 23–40. https://doi.org/10.1016/0883-9026(95)00081-X</w:t>
      </w:r>
    </w:p>
    <w:p>
      <w:pPr>
        <w:pStyle w:val="BodyText"/>
      </w:pPr>
      <w:r>
        <w:t xml:space="preserve">Miller, S. R., Lavie, D., &amp; Delios, A. (2016). International intensity, diversity, and distance: Unpacking the internationalization-performance relationship.</w:t>
      </w:r>
      <w:r>
        <w:t xml:space="preserve"> </w:t>
      </w:r>
      <w:r>
        <w:rPr>
          <w:iCs/>
          <w:i/>
        </w:rPr>
        <w:t xml:space="preserve">International Business Review, 25</w:t>
      </w:r>
      <w:r>
        <w:t xml:space="preserve">(4), 907–920. https://doi.org/10.1016/j.ibusrev.2015.12.001</w:t>
      </w:r>
    </w:p>
    <w:p>
      <w:pPr>
        <w:pStyle w:val="BodyText"/>
      </w:pPr>
      <w:r>
        <w:t xml:space="preserve">Mohr, A., &amp; Batsakis, G. (2016). Internationalization speed and firm performance: A study of the market-seeking expansion of retail MNEs.</w:t>
      </w:r>
      <w:r>
        <w:t xml:space="preserve"> </w:t>
      </w:r>
      <w:r>
        <w:rPr>
          <w:iCs/>
          <w:i/>
        </w:rPr>
        <w:t xml:space="preserve">Management International Review, 57</w:t>
      </w:r>
      <w:r>
        <w:t xml:space="preserve">(2), 153–177. https://doi.org/10.1007/s11575-016-0284-7</w:t>
      </w:r>
    </w:p>
    <w:p>
      <w:pPr>
        <w:pStyle w:val="BodyText"/>
      </w:pPr>
      <w:r>
        <w:t xml:space="preserve">Nguyen, Q., &amp; Kim, S. (2020). The multinationality and performance relationship: Revisiting the literature and exploring the implications.</w:t>
      </w:r>
      <w:r>
        <w:t xml:space="preserve"> </w:t>
      </w:r>
      <w:r>
        <w:rPr>
          <w:iCs/>
          <w:i/>
        </w:rPr>
        <w:t xml:space="preserve">International Business Review, 29</w:t>
      </w:r>
      <w:r>
        <w:t xml:space="preserve">(6), Article 101670. https://doi.org/10.1016/j.ibusrev.2020.101670</w:t>
      </w:r>
    </w:p>
    <w:p>
      <w:pPr>
        <w:pStyle w:val="BodyText"/>
      </w:pPr>
      <w:r>
        <w:t xml:space="preserve">Nosi, C., Pucci, T., Silvestri, L., &amp; Zanni, L. (2017). Firm performance and legitimacy in internationalization processes of Italian SMEs.</w:t>
      </w:r>
      <w:r>
        <w:t xml:space="preserve"> </w:t>
      </w:r>
      <w:r>
        <w:rPr>
          <w:iCs/>
          <w:i/>
        </w:rPr>
        <w:t xml:space="preserve">Sinergie Italian Journal of Management, 35</w:t>
      </w:r>
      <w:r>
        <w:t xml:space="preserve">(102), 49–70. https://doi.org/10.7433/s102.2017.04</w:t>
      </w:r>
    </w:p>
    <w:p>
      <w:pPr>
        <w:pStyle w:val="BodyText"/>
      </w:pPr>
      <w:r>
        <w:t xml:space="preserve">Pattnaik, C., &amp; Elango, B. (2009). The impact of firm resources on the internationalization and performance relationship: A study of Indian manufacturing firms.</w:t>
      </w:r>
      <w:r>
        <w:t xml:space="preserve"> </w:t>
      </w:r>
      <w:r>
        <w:rPr>
          <w:iCs/>
          <w:i/>
        </w:rPr>
        <w:t xml:space="preserve">Multinational Business Review, 17</w:t>
      </w:r>
      <w:r>
        <w:t xml:space="preserve">(2), 69–90. https://doi.org/10.1108/1525383X200900012</w:t>
      </w:r>
    </w:p>
    <w:p>
      <w:pPr>
        <w:pStyle w:val="BodyText"/>
      </w:pPr>
      <w:r>
        <w:t xml:space="preserve">Polat, G., &amp; Mutlu, H. M. (2012). Internationalization performance of construction companies: Evidence from Turkey.</w:t>
      </w:r>
      <w:r>
        <w:t xml:space="preserve"> </w:t>
      </w:r>
      <w:r>
        <w:rPr>
          <w:iCs/>
          <w:i/>
        </w:rPr>
        <w:t xml:space="preserve">Engineering, Construction and Architectural Management, 19</w:t>
      </w:r>
      <w:r>
        <w:t xml:space="preserve">(2), 202–220. https://doi.org/10.1108/09699981211205849</w:t>
      </w:r>
    </w:p>
    <w:p>
      <w:pPr>
        <w:pStyle w:val="BodyText"/>
      </w:pPr>
      <w:r>
        <w:t xml:space="preserve">Pouresmaeili, M., Salamzadeh, A., Salamzadeh, Y., &amp; Braga, V. (2018). Internationalization of Iranian SMEs and its impact on firm performance.</w:t>
      </w:r>
      <w:r>
        <w:t xml:space="preserve"> </w:t>
      </w:r>
      <w:r>
        <w:rPr>
          <w:iCs/>
          <w:i/>
        </w:rPr>
        <w:t xml:space="preserve">International Journal of Business and Globalisation, 21</w:t>
      </w:r>
      <w:r>
        <w:t xml:space="preserve">(3), 388–404. https://doi.org/10.1504/IJBG.2018.095267</w:t>
      </w:r>
    </w:p>
    <w:p>
      <w:pPr>
        <w:pStyle w:val="BodyText"/>
      </w:pPr>
      <w:r>
        <w:t xml:space="preserve">Purkayastha, S., &amp; Gupta, V. K. (2022). Business group affiliation and internationalization-performance relationship: The moderating role of product diversification.</w:t>
      </w:r>
      <w:r>
        <w:t xml:space="preserve"> </w:t>
      </w:r>
      <w:r>
        <w:rPr>
          <w:iCs/>
          <w:i/>
        </w:rPr>
        <w:t xml:space="preserve">International Business Review, 31</w:t>
      </w:r>
      <w:r>
        <w:t xml:space="preserve">(3), Article 101968. https://doi.org/10.1016/j.ibusrev.2021.101968</w:t>
      </w:r>
    </w:p>
    <w:p>
      <w:pPr>
        <w:pStyle w:val="BodyText"/>
      </w:pPr>
      <w:r>
        <w:t xml:space="preserve">Purkayastha, S., Manolova, T. S., &amp; Edelman, L. F. (2018). Business group effects on the R&amp;D intensity-internationalization relationship: Empirical evidence from India.</w:t>
      </w:r>
      <w:r>
        <w:t xml:space="preserve"> </w:t>
      </w:r>
      <w:r>
        <w:rPr>
          <w:iCs/>
          <w:i/>
        </w:rPr>
        <w:t xml:space="preserve">Journal of World Business, 53</w:t>
      </w:r>
      <w:r>
        <w:t xml:space="preserve">(5), 645–657. https://doi.org/10.1016/j.jwb.2018.03.006</w:t>
      </w:r>
    </w:p>
    <w:p>
      <w:pPr>
        <w:pStyle w:val="BodyText"/>
      </w:pPr>
      <w:r>
        <w:t xml:space="preserve">Putri, W. H., &amp; Pan, L. (2022). The relationship between internationalization and performance: Evidence from Indonesian manufacturing firms.</w:t>
      </w:r>
      <w:r>
        <w:t xml:space="preserve"> </w:t>
      </w:r>
      <w:r>
        <w:rPr>
          <w:iCs/>
          <w:i/>
        </w:rPr>
        <w:t xml:space="preserve">Cogent Business &amp; Management, 9</w:t>
      </w:r>
      <w:r>
        <w:t xml:space="preserve">(1), Article 2079802. https://doi.org/10.1080/23311975.2022.2079802</w:t>
      </w:r>
    </w:p>
    <w:p>
      <w:pPr>
        <w:pStyle w:val="BodyText"/>
      </w:pPr>
      <w:r>
        <w:t xml:space="preserve">Qian, G. (2002). Multinationality, product diversification, and profitability of emerging US small- and medium-sized enterprises.</w:t>
      </w:r>
      <w:r>
        <w:t xml:space="preserve"> </w:t>
      </w:r>
      <w:r>
        <w:rPr>
          <w:iCs/>
          <w:i/>
        </w:rPr>
        <w:t xml:space="preserve">Journal of Business Venturing, 17</w:t>
      </w:r>
      <w:r>
        <w:t xml:space="preserve">(6), 611–633. https://doi.org/10.1016/S0883-9026(01)00079-5</w:t>
      </w:r>
    </w:p>
    <w:p>
      <w:pPr>
        <w:pStyle w:val="BodyText"/>
      </w:pPr>
      <w:r>
        <w:t xml:space="preserve">Ruigrok, W., Amann, W., &amp; Wagner, H. (2007). The internationalization-performance relationship at Swiss firms: A test of the S-shape and extreme degrees of internationalization.</w:t>
      </w:r>
      <w:r>
        <w:t xml:space="preserve"> </w:t>
      </w:r>
      <w:r>
        <w:rPr>
          <w:iCs/>
          <w:i/>
        </w:rPr>
        <w:t xml:space="preserve">Management International Review, 47</w:t>
      </w:r>
      <w:r>
        <w:t xml:space="preserve">(3), 349–368. https://doi.org/10.1007/s11575-007-0015-4</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Siddharthan, N. S., &amp; Lall, S. (1982). The recent growth of the largest US multinationals.</w:t>
      </w:r>
      <w:r>
        <w:t xml:space="preserve"> </w:t>
      </w:r>
      <w:r>
        <w:rPr>
          <w:iCs/>
          <w:i/>
        </w:rPr>
        <w:t xml:space="preserve">Oxford Bulletin of Economics and Statistics, 44</w:t>
      </w:r>
      <w:r>
        <w:t xml:space="preserve">(1), 1–13. https://doi.org/10.1111/j.1468-0084.1982.mp44001001.x</w:t>
      </w:r>
    </w:p>
    <w:p>
      <w:pPr>
        <w:pStyle w:val="BodyText"/>
      </w:pPr>
      <w:r>
        <w:t xml:space="preserve">Tashman, P., Marano, V., &amp; Kostova, T. (2019). Walking the walk or talking the talk? Corporate social responsibility and internationalization intensity in the Fortune Global 500.</w:t>
      </w:r>
      <w:r>
        <w:t xml:space="preserve"> </w:t>
      </w:r>
      <w:r>
        <w:rPr>
          <w:iCs/>
          <w:i/>
        </w:rPr>
        <w:t xml:space="preserve">Journal of International Business Studies, 50</w:t>
      </w:r>
      <w:r>
        <w:t xml:space="preserve">(2), 253–261. https://doi.org/10.1057/s41267-018-0197-4</w:t>
      </w:r>
    </w:p>
    <w:p>
      <w:pPr>
        <w:pStyle w:val="BodyText"/>
      </w:pPr>
      <w:r>
        <w:t xml:space="preserve">Thomas, D. E. (2006). International diversification and firm performance in Mexican firms: A curvilinear relationship.</w:t>
      </w:r>
      <w:r>
        <w:t xml:space="preserve"> </w:t>
      </w:r>
      <w:r>
        <w:rPr>
          <w:iCs/>
          <w:i/>
        </w:rPr>
        <w:t xml:space="preserve">Journal of Business Research, 59</w:t>
      </w:r>
      <w:r>
        <w:t xml:space="preserve">(4), 501–507. https://doi.org/10.1016/j.jbusres.2005.09.008</w:t>
      </w:r>
    </w:p>
    <w:p>
      <w:pPr>
        <w:pStyle w:val="BodyText"/>
      </w:pPr>
      <w:r>
        <w:t xml:space="preserve">Thomas, D. E., &amp; Eden, L. (2004). What is the shape of the multinationality-performance relationship?</w:t>
      </w:r>
      <w:r>
        <w:t xml:space="preserve"> </w:t>
      </w:r>
      <w:r>
        <w:rPr>
          <w:iCs/>
          <w:i/>
        </w:rPr>
        <w:t xml:space="preserve">Multinational Business Review, 12</w:t>
      </w:r>
      <w:r>
        <w:t xml:space="preserve">(1), 89–110. https://doi.org/10.1108/1525383X200400005</w:t>
      </w:r>
    </w:p>
    <w:p>
      <w:pPr>
        <w:pStyle w:val="BodyText"/>
      </w:pPr>
      <w:r>
        <w:t xml:space="preserve">Tsao, S.-M., &amp; Chen, G.-Z. (2012). The impact of internationalization on performance and innovation: The moderating effects of ownership concentration.</w:t>
      </w:r>
      <w:r>
        <w:t xml:space="preserve"> </w:t>
      </w:r>
      <w:r>
        <w:rPr>
          <w:iCs/>
          <w:i/>
        </w:rPr>
        <w:t xml:space="preserve">Asia Pacific Journal of Management, 29</w:t>
      </w:r>
      <w:r>
        <w:t xml:space="preserve">(3), 617–642. https://doi.org/10.1007/s10490-010-9240-5</w:t>
      </w:r>
    </w:p>
    <w:p>
      <w:pPr>
        <w:pStyle w:val="BodyText"/>
      </w:pPr>
      <w:r>
        <w:t xml:space="preserve">Tsao, S.-M., &amp; Lien, W.-H. (2013). Family management and internationalization: The impact on firm performance and innovation.</w:t>
      </w:r>
      <w:r>
        <w:t xml:space="preserve"> </w:t>
      </w:r>
      <w:r>
        <w:rPr>
          <w:iCs/>
          <w:i/>
        </w:rPr>
        <w:t xml:space="preserve">Management International Review, 53</w:t>
      </w:r>
      <w:r>
        <w:t xml:space="preserve">(2), 175–193. https://doi.org/10.1007/s11575-012-0135-1</w:t>
      </w:r>
    </w:p>
    <w:p>
      <w:pPr>
        <w:pStyle w:val="BodyText"/>
      </w:pPr>
      <w:r>
        <w:t xml:space="preserve">Upadhyayula, R. S., Bhatt, D., &amp; Gaur, A. S. (2016). International expansion and performance of Indian firms: Moderating role of board structure.</w:t>
      </w:r>
      <w:r>
        <w:t xml:space="preserve"> </w:t>
      </w:r>
      <w:r>
        <w:rPr>
          <w:iCs/>
          <w:i/>
        </w:rPr>
        <w:t xml:space="preserve">Journal of Indian Business Research, 8</w:t>
      </w:r>
      <w:r>
        <w:t xml:space="preserve">(2), 130–149. https://doi.org/10.1108/JIBR-10-2015-0087</w:t>
      </w:r>
    </w:p>
    <w:p>
      <w:pPr>
        <w:pStyle w:val="BodyText"/>
      </w:pPr>
      <w:r>
        <w:t xml:space="preserve">Vélez-Calle, A., Sánchez-Henriquez, F., &amp; MacLennan, A. F. (2018). Peer influence and internationalization intentions of Latin American firms.</w:t>
      </w:r>
      <w:r>
        <w:t xml:space="preserve"> </w:t>
      </w:r>
      <w:r>
        <w:rPr>
          <w:iCs/>
          <w:i/>
        </w:rPr>
        <w:t xml:space="preserve">International Journal of Emerging Markets, 13</w:t>
      </w:r>
      <w:r>
        <w:t xml:space="preserve">(1), 95–118. https://doi.org/10.1108/IJoEM-11-2016-0298</w:t>
      </w:r>
    </w:p>
    <w:p>
      <w:pPr>
        <w:pStyle w:val="BodyText"/>
      </w:pPr>
      <w:r>
        <w:t xml:space="preserve">Vilas-Boas da Silva, J., &amp; González Pérez, M. A. (2007). Internationalization and performance: Evidence from Spanish firms.</w:t>
      </w:r>
      <w:r>
        <w:t xml:space="preserve"> </w:t>
      </w:r>
      <w:r>
        <w:rPr>
          <w:iCs/>
          <w:i/>
        </w:rPr>
        <w:t xml:space="preserve">Cuadernos de Economía y Dirección de la Empresa, 10</w:t>
      </w:r>
      <w:r>
        <w:t xml:space="preserve">(33), 31–62.</w:t>
      </w:r>
    </w:p>
    <w:p>
      <w:pPr>
        <w:pStyle w:val="BodyText"/>
      </w:pPr>
      <w:r>
        <w:t xml:space="preserve">Zhou, L., &amp; Wu, A. (2014). Earliness of internationalization and performance outcomes: Exploring the moderating effects of venture age and international commitment.</w:t>
      </w:r>
      <w:r>
        <w:t xml:space="preserve"> </w:t>
      </w:r>
      <w:r>
        <w:rPr>
          <w:iCs/>
          <w:i/>
        </w:rPr>
        <w:t xml:space="preserve">Journal of World Business, 49</w:t>
      </w:r>
      <w:r>
        <w:t xml:space="preserve">(1), 132–142. https://doi.org/10.1016/j.jwb.2013.04.003</w:t>
      </w:r>
    </w:p>
    <w:bookmarkEnd w:id="222"/>
    <w:bookmarkStart w:id="223" w:name="Xd7e1b1ec1596ddfb204126def34f28100020172"/>
    <w:p>
      <w:pPr>
        <w:pStyle w:val="Heading2"/>
      </w:pPr>
      <w:r>
        <w:t xml:space="preserve">Nghiên cứu bổ sung — P6 Meta-Analysis (từ scite.ai/Consensus, tháng 5/2026)</w:t>
      </w:r>
    </w:p>
    <w:p>
      <w:pPr>
        <w:pStyle w:val="FirstParagraph"/>
      </w:pPr>
      <w:r>
        <w:t xml:space="preserve">Ahsan, F. M., &amp; Sinha, A. (2022). Internationalization motives, location advantages and performance: The case of Indian firms from knowledge-intensive industries.</w:t>
      </w:r>
      <w:r>
        <w:t xml:space="preserve"> </w:t>
      </w:r>
      <w:r>
        <w:rPr>
          <w:iCs/>
          <w:i/>
        </w:rPr>
        <w:t xml:space="preserve">Cross Cultural &amp; Strategic Management</w:t>
      </w:r>
      <w:r>
        <w:t xml:space="preserve">. https://doi.org/10.1108/ccsm-07-2021-0119</w:t>
      </w:r>
    </w:p>
    <w:p>
      <w:pPr>
        <w:pStyle w:val="BodyText"/>
      </w:pPr>
      <w:r>
        <w:t xml:space="preserve">Azman, M. A. H., Hon, C. K. H., Xia, B., Lee, B. L., &amp; Skitmore, M. (2022). Internationalization and productivity of construction firms in a developing country: The effect of institutional environment and ownership on Malaysian construction firms.</w:t>
      </w:r>
      <w:r>
        <w:t xml:space="preserve"> </w:t>
      </w:r>
      <w:r>
        <w:rPr>
          <w:iCs/>
          <w:i/>
        </w:rPr>
        <w:t xml:space="preserve">Journal of Management in Engineering, 38</w:t>
      </w:r>
      <w:r>
        <w:t xml:space="preserve">(3). https://doi.org/10.1061/(asce)me.1943-5479.0000985</w:t>
      </w:r>
    </w:p>
    <w:p>
      <w:pPr>
        <w:pStyle w:val="BodyText"/>
      </w:pPr>
      <w:r>
        <w:t xml:space="preserve">Barłożewski, K., &amp; Trąpczyński, P. (2021a). Internationalisation motives and the multinationality-performance relationship: The case of Polish firms.</w:t>
      </w:r>
      <w:r>
        <w:t xml:space="preserve"> </w:t>
      </w:r>
      <w:r>
        <w:rPr>
          <w:iCs/>
          <w:i/>
        </w:rPr>
        <w:t xml:space="preserve">Entrepreneurial Business and Economics Review, 9</w:t>
      </w:r>
      <w:r>
        <w:t xml:space="preserve">(2), 85–104. https://doi.org/10.15678/eber.2021.090206</w:t>
      </w:r>
    </w:p>
    <w:p>
      <w:pPr>
        <w:pStyle w:val="BodyText"/>
      </w:pPr>
      <w:r>
        <w:t xml:space="preserve">Barłożewski, K., &amp; Trąpczyński, P. (2021b). Is internationalisation beneficial for novice internationalisers? The performance effects of firm-specific advantages, internationalisation degree and firm size revisited.</w:t>
      </w:r>
      <w:r>
        <w:t xml:space="preserve"> </w:t>
      </w:r>
      <w:r>
        <w:rPr>
          <w:iCs/>
          <w:i/>
        </w:rPr>
        <w:t xml:space="preserve">Oeconomia Copernicana, 12</w:t>
      </w:r>
      <w:r>
        <w:t xml:space="preserve">(1), 53–75. https://doi.org/10.24136/oc.2021.003</w:t>
      </w:r>
    </w:p>
    <w:p>
      <w:pPr>
        <w:pStyle w:val="BodyText"/>
      </w:pPr>
      <w:r>
        <w:t xml:space="preserve">Calabrese, G., &amp; Manello, A. (2018). Firm internationalization and performance: Evidence for designing policies.</w:t>
      </w:r>
      <w:r>
        <w:t xml:space="preserve"> </w:t>
      </w:r>
      <w:r>
        <w:rPr>
          <w:iCs/>
          <w:i/>
        </w:rPr>
        <w:t xml:space="preserve">Journal of Policy Modeling, 40</w:t>
      </w:r>
      <w:r>
        <w:t xml:space="preserve">(5), 1022–1039. https://doi.org/10.1016/j.jpolmod.2018.01.008</w:t>
      </w:r>
    </w:p>
    <w:p>
      <w:pPr>
        <w:pStyle w:val="BodyText"/>
      </w:pPr>
      <w:r>
        <w:t xml:space="preserve">Cao, X., Li, P., Huang, X., &amp; Fan, L. (2022). The dual mechanism of social networks on the relationship between internationalization and firm performance: Empirical evidence from China.</w:t>
      </w:r>
      <w:r>
        <w:t xml:space="preserve"> </w:t>
      </w:r>
      <w:r>
        <w:rPr>
          <w:iCs/>
          <w:i/>
        </w:rPr>
        <w:t xml:space="preserve">PLoS ONE, 17</w:t>
      </w:r>
      <w:r>
        <w:t xml:space="preserve">(2), Article e0263674. https://doi.org/10.1371/journal.pone.0263674</w:t>
      </w:r>
    </w:p>
    <w:p>
      <w:pPr>
        <w:pStyle w:val="BodyText"/>
      </w:pPr>
      <w:r>
        <w:t xml:space="preserve">Carr, J. C., Haggard, K. S., Hmieleski, K. M., &amp; Zahra, S. A. (2010). A study of the moderating effects of firm age at internationalization on firm survival and short-term growth.</w:t>
      </w:r>
      <w:r>
        <w:t xml:space="preserve"> </w:t>
      </w:r>
      <w:r>
        <w:rPr>
          <w:iCs/>
          <w:i/>
        </w:rPr>
        <w:t xml:space="preserve">Strategic Entrepreneurship Journal, 4</w:t>
      </w:r>
      <w:r>
        <w:t xml:space="preserve">(2), 183–192. https://doi.org/10.1002/sej.90</w:t>
      </w:r>
    </w:p>
    <w:p>
      <w:pPr>
        <w:pStyle w:val="BodyText"/>
      </w:pPr>
      <w:r>
        <w:t xml:space="preserve">Chen, H., &amp; Hsu, C. (2010). Internationalization, resource allocation and firm performance.</w:t>
      </w:r>
      <w:r>
        <w:t xml:space="preserve"> </w:t>
      </w:r>
      <w:r>
        <w:rPr>
          <w:iCs/>
          <w:i/>
        </w:rPr>
        <w:t xml:space="preserve">Industrial Marketing Management, 39</w:t>
      </w:r>
      <w:r>
        <w:t xml:space="preserve">(7), 1103–1110. https://doi.org/10.1016/j.indmarman.2009.10.001</w:t>
      </w:r>
    </w:p>
    <w:p>
      <w:pPr>
        <w:pStyle w:val="BodyText"/>
      </w:pPr>
      <w:r>
        <w:t xml:space="preserve">Cuervo-Cazurra, A., Ciravegna, L., Melgarejo, M., &amp; Lopez, L. (2017). Home country uncertainty and the internationalization-performance relationship: Building an uncertainty management capability.</w:t>
      </w:r>
      <w:r>
        <w:t xml:space="preserve"> </w:t>
      </w:r>
      <w:r>
        <w:rPr>
          <w:iCs/>
          <w:i/>
        </w:rPr>
        <w:t xml:space="preserve">Journal of World Business, 53</w:t>
      </w:r>
      <w:r>
        <w:t xml:space="preserve">(2), 209–221. https://doi.org/10.1016/j.jwb.2017.11.002</w:t>
      </w:r>
    </w:p>
    <w:p>
      <w:pPr>
        <w:pStyle w:val="BodyText"/>
      </w:pPr>
      <w:r>
        <w:t xml:space="preserve">Da Cunha, H. M., Amal, M., Floriani, D. E., &amp; Fleury, M. T. L. (2023). Firm internationalization approaches and performance: The moderating role of the home country’s formal institutions.</w:t>
      </w:r>
      <w:r>
        <w:t xml:space="preserve"> </w:t>
      </w:r>
      <w:r>
        <w:rPr>
          <w:iCs/>
          <w:i/>
        </w:rPr>
        <w:t xml:space="preserve">International Journal of Emerging Markets</w:t>
      </w:r>
      <w:r>
        <w:t xml:space="preserve">. https://doi.org/10.1108/ijoem-08-2021-1299</w:t>
      </w:r>
    </w:p>
    <w:p>
      <w:pPr>
        <w:pStyle w:val="BodyText"/>
      </w:pPr>
      <w:r>
        <w:t xml:space="preserve">Debicki, B. J., Miao, C., &amp; Qian, S. (2020). Internationalization and family firm performance.</w:t>
      </w:r>
      <w:r>
        <w:t xml:space="preserve"> </w:t>
      </w:r>
      <w:r>
        <w:rPr>
          <w:iCs/>
          <w:i/>
        </w:rPr>
        <w:t xml:space="preserve">Cross Cultural &amp; Strategic Management, 27</w:t>
      </w:r>
      <w:r>
        <w:t xml:space="preserve">(1), 1–25. https://doi.org/10.1108/ccsm-04-2019-0075</w:t>
      </w:r>
    </w:p>
    <w:p>
      <w:pPr>
        <w:pStyle w:val="BodyText"/>
      </w:pPr>
      <w:r>
        <w:t xml:space="preserve">Dikova, D., &amp; Veselova, A. (2020). Performance effects of internationalization: Contingency theory analysis of Russian internationalized firms.</w:t>
      </w:r>
      <w:r>
        <w:t xml:space="preserve"> </w:t>
      </w:r>
      <w:r>
        <w:rPr>
          <w:iCs/>
          <w:i/>
        </w:rPr>
        <w:t xml:space="preserve">Management and Organization Review, 17</w:t>
      </w:r>
      <w:r>
        <w:t xml:space="preserve">(1), 173–197. https://doi.org/10.1017/mor.2020.39</w:t>
      </w:r>
    </w:p>
    <w:p>
      <w:pPr>
        <w:pStyle w:val="BodyText"/>
      </w:pPr>
      <w:r>
        <w:t xml:space="preserve">Elango, B. (2012). How industry dynamics influence the internationalization–performance relationship: Evidence from technology-intensive firms.</w:t>
      </w:r>
      <w:r>
        <w:t xml:space="preserve"> </w:t>
      </w:r>
      <w:r>
        <w:rPr>
          <w:iCs/>
          <w:i/>
        </w:rPr>
        <w:t xml:space="preserve">Thunderbird International Business Review, 54</w:t>
      </w:r>
      <w:r>
        <w:t xml:space="preserve">(5), 653–665. https://doi.org/10.1002/tie.21491</w:t>
      </w:r>
    </w:p>
    <w:p>
      <w:pPr>
        <w:pStyle w:val="BodyText"/>
      </w:pPr>
      <w:r>
        <w:t xml:space="preserve">Espinosa-Méndez, C., &amp; Jara, M. (2021). International diversification and performance in family firm: Exploring nonlinear relationships with the governance structure in an emerging economy.</w:t>
      </w:r>
      <w:r>
        <w:t xml:space="preserve"> </w:t>
      </w:r>
      <w:r>
        <w:rPr>
          <w:iCs/>
          <w:i/>
        </w:rPr>
        <w:t xml:space="preserve">Spanish Journal of Finance and Accounting, 50</w:t>
      </w:r>
      <w:r>
        <w:t xml:space="preserve">(4), 441–468. https://doi.org/10.1080/02102412.2021.1886453</w:t>
      </w:r>
    </w:p>
    <w:p>
      <w:pPr>
        <w:pStyle w:val="BodyText"/>
      </w:pPr>
      <w:r>
        <w:t xml:space="preserve">Fu, Y. (2024). Enterprises’ internationalization, R&amp;D investment and enterprise performance.</w:t>
      </w:r>
      <w:r>
        <w:t xml:space="preserve"> </w:t>
      </w:r>
      <w:r>
        <w:rPr>
          <w:iCs/>
          <w:i/>
        </w:rPr>
        <w:t xml:space="preserve">Finance Research Letters, 68</w:t>
      </w:r>
      <w:r>
        <w:t xml:space="preserve">. https://doi.org/10.1016/j.frl.2024.105721</w:t>
      </w:r>
    </w:p>
    <w:p>
      <w:pPr>
        <w:pStyle w:val="BodyText"/>
      </w:pPr>
      <w:r>
        <w:t xml:space="preserve">Hosseini, M., Brege, S., &amp; Nord, T. (2018). A combined focused industry and company size investigation of the internationalization-performance relationship: The case of small and medium-sized enterprises (SMEs) within the Swedish wood manufacturing industry.</w:t>
      </w:r>
      <w:r>
        <w:t xml:space="preserve"> </w:t>
      </w:r>
      <w:r>
        <w:rPr>
          <w:iCs/>
          <w:i/>
        </w:rPr>
        <w:t xml:space="preserve">Forest Policy and Economics</w:t>
      </w:r>
      <w:r>
        <w:t xml:space="preserve">. https://doi.org/10.1016/j.forpol.2018.09.013</w:t>
      </w:r>
    </w:p>
    <w:p>
      <w:pPr>
        <w:pStyle w:val="BodyText"/>
      </w:pPr>
      <w:r>
        <w:t xml:space="preserve">Huang, L., &amp; Marciano, D. (2020). Interdependence relationship of internationalization-performance in manufacturing firms listed in Indonesia Stock Exchange and Chinese Stock Exchanges. In</w:t>
      </w:r>
      <w:r>
        <w:t xml:space="preserve"> </w:t>
      </w:r>
      <w:r>
        <w:rPr>
          <w:iCs/>
          <w:i/>
        </w:rPr>
        <w:t xml:space="preserve">Proceedings of the 17th International Symposium on Management (INSYMA 2020)</w:t>
      </w:r>
      <w:r>
        <w:t xml:space="preserve">. https://doi.org/10.2991/aebmr.k.200127.085</w:t>
      </w:r>
    </w:p>
    <w:p>
      <w:pPr>
        <w:pStyle w:val="BodyText"/>
      </w:pPr>
      <w:r>
        <w:t xml:space="preserve">Kayaci, A. (2022). The relationship between internationalization level and financial performance: A study with BİST companies.</w:t>
      </w:r>
      <w:r>
        <w:t xml:space="preserve"> </w:t>
      </w:r>
      <w:r>
        <w:rPr>
          <w:iCs/>
          <w:i/>
        </w:rPr>
        <w:t xml:space="preserve">Cumhuriyet Üniversitesi İktisadi ve İdari Bilimler Dergisi</w:t>
      </w:r>
      <w:r>
        <w:t xml:space="preserve">. https://doi.org/10.37880/cumuiibf.1077104</w:t>
      </w:r>
    </w:p>
    <w:p>
      <w:pPr>
        <w:pStyle w:val="BodyText"/>
      </w:pPr>
      <w:r>
        <w:t xml:space="preserve">Khatua, A., Mondal, A., &amp; Dhanda, S. (2024). The internationalization and performance of INVs: Liability or learning advantages of newness?</w:t>
      </w:r>
      <w:r>
        <w:t xml:space="preserve"> </w:t>
      </w:r>
      <w:r>
        <w:rPr>
          <w:iCs/>
          <w:i/>
        </w:rPr>
        <w:t xml:space="preserve">Journal of International Entrepreneurship</w:t>
      </w:r>
      <w:r>
        <w:t xml:space="preserve">. Advance online publication. https://doi.org/10.1007/s10843-023-00345-2</w:t>
      </w:r>
    </w:p>
    <w:p>
      <w:pPr>
        <w:pStyle w:val="BodyTex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 https://doi.org/10.1016/j.intman.2010.12.004</w:t>
      </w:r>
    </w:p>
    <w:p>
      <w:pPr>
        <w:pStyle w:val="BodyText"/>
      </w:pPr>
      <w:r>
        <w:t xml:space="preserve">Manotas, E. C., &amp; Gonzalez-Perez, M. A. (2020). Internationalization and performance of small and medium-sized enterprises from emerging economies.</w:t>
      </w:r>
      <w:r>
        <w:t xml:space="preserve"> </w:t>
      </w:r>
      <w:r>
        <w:rPr>
          <w:iCs/>
          <w:i/>
        </w:rPr>
        <w:t xml:space="preserve">Competitiveness Review: An International Business Journal, 31</w:t>
      </w:r>
      <w:r>
        <w:t xml:space="preserve">(4), 642–662. https://doi.org/10.1108/cr-03-2019-0028</w:t>
      </w:r>
    </w:p>
    <w:p>
      <w:pPr>
        <w:pStyle w:val="BodyText"/>
      </w:pPr>
      <w:r>
        <w:t xml:space="preserve">Olmos, M. F., &amp; Díez-Vial, I. (2015). Internationalization pathways and the performance of SMEs.</w:t>
      </w:r>
      <w:r>
        <w:t xml:space="preserve"> </w:t>
      </w:r>
      <w:r>
        <w:rPr>
          <w:iCs/>
          <w:i/>
        </w:rPr>
        <w:t xml:space="preserve">European Journal of Marketing, 49</w:t>
      </w:r>
      <w:r>
        <w:t xml:space="preserve">(3/4), 420–443. https://doi.org/10.1108/ejm-06-2012-0365</w:t>
      </w:r>
    </w:p>
    <w:p>
      <w:pPr>
        <w:pStyle w:val="BodyText"/>
      </w:pPr>
      <w:r>
        <w:t xml:space="preserve">Phan, A. T., Nguyen, V. S., Dinh, V. T., Thai, V. H., Nguyen, C. T., Dao, Q. T., Nguyen, V. L., &amp; Do, T. H. (2021). The moderating effects of the manager’s characteristics and financial obstacles on internationalization and firm performance in Poland.</w:t>
      </w:r>
      <w:r>
        <w:t xml:space="preserve"> </w:t>
      </w:r>
      <w:r>
        <w:rPr>
          <w:iCs/>
          <w:i/>
        </w:rPr>
        <w:t xml:space="preserve">PalArch’s Journal of Archaeology of Egypt/Egyptology, 18</w:t>
      </w:r>
      <w:r>
        <w:t xml:space="preserve">(4), 4063–4081.</w:t>
      </w:r>
      <w:r>
        <w:t xml:space="preserve"> </w:t>
      </w:r>
      <w:r>
        <w:t xml:space="preserve">Phan, A. T., Do, T. H., &amp; Phan, M. T. (2020). The moderating effects of managers’ experience and gender on internationalization and firm performance of manufacturing enterprises in Turkey.</w:t>
      </w:r>
      <w:r>
        <w:t xml:space="preserve"> </w:t>
      </w:r>
      <w:r>
        <w:rPr>
          <w:iCs/>
          <w:i/>
        </w:rPr>
        <w:t xml:space="preserve">Accounting, 6</w:t>
      </w:r>
      <w:r>
        <w:t xml:space="preserve">(7), 1209–1216. https://doi.org/10.5267/j.ac.2020.9.006</w:t>
      </w:r>
      <w:r>
        <w:t xml:space="preserve"> </w:t>
      </w:r>
      <w:r>
        <w:t xml:space="preserve">Phan, A. T., Tran, T. M., &amp; Lu, T. M. (2020). The existence of W-shaped relationship between internationalization and firm performance: An empirical study of enterprises in Cameroon.</w:t>
      </w:r>
      <w:r>
        <w:t xml:space="preserve"> </w:t>
      </w:r>
      <w:r>
        <w:rPr>
          <w:iCs/>
          <w:i/>
        </w:rPr>
        <w:t xml:space="preserve">Decision Science Letters, 9</w:t>
      </w:r>
      <w:r>
        <w:t xml:space="preserve">(4), 573–580. https://doi.org/10.5267/j.dsl.2020.7.001</w:t>
      </w:r>
    </w:p>
    <w:p>
      <w:pPr>
        <w:pStyle w:val="BodyText"/>
      </w:pPr>
      <w:r>
        <w:t xml:space="preserve">Purkayastha, A., Karna, A., Sharma, S., &amp; Bhadra, D. (2024). Role of resource investment management and strategic resource deployment capabilities in internationalization-performance relationship.</w:t>
      </w:r>
      <w:r>
        <w:t xml:space="preserve"> </w:t>
      </w:r>
      <w:r>
        <w:rPr>
          <w:iCs/>
          <w:i/>
        </w:rPr>
        <w:t xml:space="preserve">Journal of International Management, 30</w:t>
      </w:r>
      <w:r>
        <w:t xml:space="preserve">(3), Article 101122. https://doi.org/10.1016/j.intman.2024.101122</w:t>
      </w:r>
    </w:p>
    <w:p>
      <w:pPr>
        <w:pStyle w:val="BodyText"/>
      </w:pPr>
      <w:r>
        <w:t xml:space="preserve">Purkayastha, A., Kumar, V., &amp; Gupta, V. (2021). Emerging market internationalizing firms: Learning through internationalization to achieve entrepreneurial orientation.</w:t>
      </w:r>
      <w:r>
        <w:t xml:space="preserve"> </w:t>
      </w:r>
      <w:r>
        <w:rPr>
          <w:iCs/>
          <w:i/>
        </w:rPr>
        <w:t xml:space="preserve">Journal of World Business, 56</w:t>
      </w:r>
      <w:r>
        <w:t xml:space="preserve">(4), Article 101207. https://doi.org/10.1016/j.jwb.2021.101207</w:t>
      </w:r>
    </w:p>
    <w:p>
      <w:pPr>
        <w:pStyle w:val="BodyText"/>
      </w:pPr>
      <w:r>
        <w:t xml:space="preserve">Rienda, L., &amp; Andreu, R. (2021). The role of family firms heterogeneity on the internationalisation and performance relationship.</w:t>
      </w:r>
      <w:r>
        <w:t xml:space="preserve"> </w:t>
      </w:r>
      <w:r>
        <w:rPr>
          <w:iCs/>
          <w:i/>
        </w:rPr>
        <w:t xml:space="preserve">European Journal of Family Business, 11</w:t>
      </w:r>
      <w:r>
        <w:t xml:space="preserve">(2). https://doi.org/10.24310/ejfbejfb.v11i2.10591</w:t>
      </w:r>
    </w:p>
    <w:p>
      <w:pPr>
        <w:pStyle w:val="BodyText"/>
      </w:pPr>
      <w:r>
        <w:t xml:space="preserve">Ruzzier, M., &amp; Ruzzier, M. K. (2014). On the relationship between firm size, resources, age at entry and internationalization: The case of Slovenian SMEs.</w:t>
      </w:r>
      <w:r>
        <w:t xml:space="preserve"> </w:t>
      </w:r>
      <w:r>
        <w:rPr>
          <w:iCs/>
          <w:i/>
        </w:rPr>
        <w:t xml:space="preserve">Journal of Business Economics and Management, 16</w:t>
      </w:r>
      <w:r>
        <w:t xml:space="preserve">(1), 52–73. https://doi.org/10.3846/16111699.2012.745812</w:t>
      </w:r>
    </w:p>
    <w:p>
      <w:pPr>
        <w:pStyle w:val="BodyText"/>
      </w:pPr>
      <w:r>
        <w:t xml:space="preserve">Schmuck, A., Lagerström, K., &amp; Sallis, J. F. (2022). Turning the tables: The relationship between performance and multinationality.</w:t>
      </w:r>
      <w:r>
        <w:t xml:space="preserve"> </w:t>
      </w:r>
      <w:r>
        <w:rPr>
          <w:iCs/>
          <w:i/>
        </w:rPr>
        <w:t xml:space="preserve">Management International Review, 62</w:t>
      </w:r>
      <w:r>
        <w:t xml:space="preserve">(1), 3–26. https://doi.org/10.1007/s11575-022-00464-3</w:t>
      </w:r>
    </w:p>
    <w:p>
      <w:pPr>
        <w:pStyle w:val="BodyText"/>
      </w:pPr>
      <w:r>
        <w:t xml:space="preserve">Singla, C., &amp; George, R. (2013). Internationalization and performance: A contextual analysis of Indian firms.</w:t>
      </w:r>
      <w:r>
        <w:t xml:space="preserve"> </w:t>
      </w:r>
      <w:r>
        <w:rPr>
          <w:iCs/>
          <w:i/>
        </w:rPr>
        <w:t xml:space="preserve">Journal of Business Research, 66</w:t>
      </w:r>
      <w:r>
        <w:t xml:space="preserve">(12), 2500–2506. https://doi.org/10.1016/j.jbusres.2013.05.041</w:t>
      </w:r>
    </w:p>
    <w:p>
      <w:pPr>
        <w:pStyle w:val="BodyText"/>
      </w:pPr>
      <w:r>
        <w:t xml:space="preserve">Sun, W., Price, J. M., &amp; Ding, Y. (2019). The longitudinal effects of internationalization on firm performance: The moderating role of marketing capability.</w:t>
      </w:r>
      <w:r>
        <w:t xml:space="preserve"> </w:t>
      </w:r>
      <w:r>
        <w:rPr>
          <w:iCs/>
          <w:i/>
        </w:rPr>
        <w:t xml:space="preserve">Journal of Business Research, 95</w:t>
      </w:r>
      <w:r>
        <w:t xml:space="preserve">, 326–337. https://doi.org/10.1016/j.jbusres.2018.08.014</w:t>
      </w:r>
    </w:p>
    <w:p>
      <w:pPr>
        <w:pStyle w:val="BodyText"/>
      </w:pPr>
      <w:r>
        <w:t xml:space="preserve">Tongurai, J., &amp; Vithessonthi, C. (2022). Learning, foreign operations and operating performance.</w:t>
      </w:r>
      <w:r>
        <w:t xml:space="preserve"> </w:t>
      </w:r>
      <w:r>
        <w:rPr>
          <w:iCs/>
          <w:i/>
        </w:rPr>
        <w:t xml:space="preserve">Global Finance Journal, 54</w:t>
      </w:r>
      <w:r>
        <w:t xml:space="preserve">, Article 100721. https://doi.org/10.1016/j.gfj.2022.100721</w:t>
      </w:r>
    </w:p>
    <w:p>
      <w:pPr>
        <w:pStyle w:val="BodyText"/>
      </w:pPr>
      <w:r>
        <w:t xml:space="preserve">Tsionas, M. G., &amp; Tzeremes, N. G. (2021). The degree of internationalization and firm productivity: Empirical evidence from large multinationals.</w:t>
      </w:r>
      <w:r>
        <w:t xml:space="preserve"> </w:t>
      </w:r>
      <w:r>
        <w:rPr>
          <w:iCs/>
          <w:i/>
        </w:rPr>
        <w:t xml:space="preserve">British Journal of Management, 32</w:t>
      </w:r>
      <w:r>
        <w:t xml:space="preserve">(4), 1032–1052. https://doi.org/10.1111/1467-8551.12560</w:t>
      </w:r>
    </w:p>
    <w:p>
      <w:pPr>
        <w:pStyle w:val="BodyText"/>
      </w:pPr>
      <w:r>
        <w:t xml:space="preserve">Vithessonthi, C., &amp; Racela, O. C. (2016). Short- and long-run effects of internationalization and R&amp;D intensity on firm performance.</w:t>
      </w:r>
      <w:r>
        <w:t xml:space="preserve"> </w:t>
      </w:r>
      <w:r>
        <w:rPr>
          <w:iCs/>
          <w:i/>
        </w:rPr>
        <w:t xml:space="preserve">Journal of Multinational Financial Management, 34</w:t>
      </w:r>
      <w:r>
        <w:t xml:space="preserve">, 28–45. https://doi.org/10.1016/j.mulfin.2015.12.001</w:t>
      </w:r>
    </w:p>
    <w:p>
      <w:pPr>
        <w:pStyle w:val="BodyText"/>
      </w:pPr>
      <w:r>
        <w:t xml:space="preserve">Wang, G., Zhang, H., Xia, B., Wu, G., &amp; Han, Y. (2020). Relationship between internationalization and financial performance: Evidence from ENR-listed Chinese firms.</w:t>
      </w:r>
      <w:r>
        <w:t xml:space="preserve"> </w:t>
      </w:r>
      <w:r>
        <w:rPr>
          <w:iCs/>
          <w:i/>
        </w:rPr>
        <w:t xml:space="preserve">Journal of Management in Engineering, 36</w:t>
      </w:r>
      <w:r>
        <w:t xml:space="preserve">(2), Article 04019044. https://doi.org/10.1061/(asce)me.1943-5479.0000736</w:t>
      </w:r>
    </w:p>
    <w:p>
      <w:pPr>
        <w:pStyle w:val="BodyText"/>
      </w:pPr>
      <w:r>
        <w:t xml:space="preserve">Wei, S., &amp; Lin, L. (2021). The relationship between extent of internationalization and firm performance (Taiwan 1992–2017).</w:t>
      </w:r>
      <w:r>
        <w:t xml:space="preserve"> </w:t>
      </w:r>
      <w:r>
        <w:rPr>
          <w:iCs/>
          <w:i/>
        </w:rPr>
        <w:t xml:space="preserve">Mathematical Problems in Engineering</w:t>
      </w:r>
      <w:r>
        <w:t xml:space="preserve">. https://doi.org/10.1155/2021/5528972</w:t>
      </w:r>
    </w:p>
    <w:p>
      <w:pPr>
        <w:pStyle w:val="BodyText"/>
      </w:pPr>
      <w:r>
        <w:t xml:space="preserve">Xiong, Z., Sun, C., &amp; Zhao, M. (2024). Internationalization speed and corporate long-term performance: Exploring the inverted U-shaped relationship.</w:t>
      </w:r>
      <w:r>
        <w:t xml:space="preserve"> </w:t>
      </w:r>
      <w:r>
        <w:rPr>
          <w:iCs/>
          <w:i/>
        </w:rPr>
        <w:t xml:space="preserve">Finance Research Letters</w:t>
      </w:r>
      <w:r>
        <w:t xml:space="preserve">. https://doi.org/10.1016/j.frl.2024.106247</w:t>
      </w:r>
    </w:p>
    <w:p>
      <w:pPr>
        <w:pStyle w:val="BodyText"/>
      </w:pPr>
      <w:r>
        <w:t xml:space="preserve">Yip, G. S., Biscarri, J. G., &amp; Monti, J. A. (2000). The role of the internationalization process in the performance of newly internationalizing firms.</w:t>
      </w:r>
      <w:r>
        <w:t xml:space="preserve"> </w:t>
      </w:r>
      <w:r>
        <w:rPr>
          <w:iCs/>
          <w:i/>
        </w:rPr>
        <w:t xml:space="preserve">Journal of International Marketing, 8</w:t>
      </w:r>
      <w:r>
        <w:t xml:space="preserve">(3), 10–35. https://doi.org/10.1509/jimk.8.3.10.19635</w:t>
      </w:r>
    </w:p>
    <w:p>
      <w:pPr>
        <w:pStyle w:val="BodyText"/>
      </w:pPr>
      <w:r>
        <w:t xml:space="preserve">Zeng, S. X., Xie, X. M., Tam, C. M., &amp; Wan, T. W. (2009). Relationships between business factors and performance in internationalization: An empirical study in China.</w:t>
      </w:r>
      <w:r>
        <w:t xml:space="preserve"> </w:t>
      </w:r>
      <w:r>
        <w:rPr>
          <w:iCs/>
          <w:i/>
        </w:rPr>
        <w:t xml:space="preserve">Management Decision, 47</w:t>
      </w:r>
      <w:r>
        <w:t xml:space="preserve">(2), 308–329. https://doi.org/10.1108/00251740910938939</w:t>
      </w:r>
    </w:p>
    <w:p>
      <w:pPr>
        <w:pStyle w:val="BodyText"/>
      </w:pPr>
      <w:r>
        <w:t xml:space="preserve">Zhou, X. (2018). Effects of foreign direct investment on the efficiency of Chinese firms.</w:t>
      </w:r>
      <w:r>
        <w:t xml:space="preserve"> </w:t>
      </w:r>
      <w:r>
        <w:rPr>
          <w:iCs/>
          <w:i/>
        </w:rPr>
        <w:t xml:space="preserve">Applied Economics, 50</w:t>
      </w:r>
      <w:r>
        <w:t xml:space="preserve">(2), 135–148. https://doi.org/10.1080/00036846.2017.1321839</w:t>
      </w:r>
    </w:p>
    <w:p>
      <w:pPr>
        <w:pStyle w:val="BodyText"/>
      </w:pPr>
      <w:r>
        <w:t xml:space="preserve">Cantele, S., Vernizzi, S., &amp; Zardini, A. (2016). Does export affect the performance of Italian SMEs? An empirical analysis.</w:t>
      </w:r>
      <w:r>
        <w:t xml:space="preserve"> </w:t>
      </w:r>
      <w:r>
        <w:rPr>
          <w:iCs/>
          <w:i/>
        </w:rPr>
        <w:t xml:space="preserve">Economia e Diritto del Terziario, 28</w:t>
      </w:r>
      <w:r>
        <w:t xml:space="preserve">(1), 5–22.</w:t>
      </w:r>
    </w:p>
    <w:p>
      <w:pPr>
        <w:pStyle w:val="BodyText"/>
      </w:pPr>
      <w:r>
        <w:t xml:space="preserve">Lee, S. M., Lim, S.-B., &amp; Pathak, R. D. (2014). Culture and entrepreneurial orientation: A multi-country study.</w:t>
      </w:r>
      <w:r>
        <w:t xml:space="preserve"> </w:t>
      </w:r>
      <w:r>
        <w:rPr>
          <w:iCs/>
          <w:i/>
        </w:rPr>
        <w:t xml:space="preserve">International Entrepreneurship and Management Journal, 10</w:t>
      </w:r>
      <w:r>
        <w:t xml:space="preserve">(1), 1–15. https://doi.org/10.1007/s11365-011-0218-8</w:t>
      </w:r>
    </w:p>
    <w:bookmarkEnd w:id="223"/>
    <w:bookmarkStart w:id="224" w:name="Xac3469c407a51be8ab1bf290cd8561897ea439c"/>
    <w:p>
      <w:pPr>
        <w:pStyle w:val="Heading2"/>
      </w:pPr>
      <w:r>
        <w:t xml:space="preserve">S. Tổng quan hệ thống 2026 — Bổ sung v2.9 (12/05/2026)</w:t>
      </w:r>
    </w:p>
    <w:p>
      <w:pPr>
        <w:pStyle w:val="BlockText"/>
      </w:pPr>
      <w:r>
        <w:t xml:space="preserve">Tài liệu bổ sung được xác định qua tổng quan hệ thống WoS/Scopus mở rộng đến tháng 1/2026. Chỉ gồm các entries CHƯA có trong các phần trên. Nghiên cứu sơ cấp ứng viên (có r): xem</w:t>
      </w:r>
      <w:r>
        <w:t xml:space="preserve"> </w:t>
      </w:r>
      <w:r>
        <w:rPr>
          <w:rStyle w:val="VerbatimChar"/>
        </w:rPr>
        <w:t xml:space="preserve">p6/p6_primary_studies_apa7.md</w:t>
      </w:r>
      <w:r>
        <w:t xml:space="preserve"> </w:t>
      </w:r>
      <w:r>
        <w:t xml:space="preserve">Phần 2.</w:t>
      </w:r>
    </w:p>
    <w:p>
      <w:pPr>
        <w:pStyle w:val="FirstParagraph"/>
      </w:pPr>
      <w:r>
        <w:t xml:space="preserve">Falahat, M., Ramayah, T., Soto-Acosta, P., &amp; Lee, Y.-Y. (2020). SMEs internationalization: The role of product innovation, market intelligence, pricing and marketing communication capabilities as drivers of SMEs’ international performance.</w:t>
      </w:r>
      <w:r>
        <w:t xml:space="preserve"> </w:t>
      </w:r>
      <w:r>
        <w:rPr>
          <w:iCs/>
          <w:i/>
        </w:rPr>
        <w:t xml:space="preserve">Technological Forecasting and Social Change, 152</w:t>
      </w:r>
      <w:r>
        <w:t xml:space="preserve">, Article 119908. https://doi.org/10.1016/j.techfore.2020.119908</w:t>
      </w:r>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https://doi.org/10.1002/gsj.1383</w:t>
      </w:r>
    </w:p>
    <w:bookmarkEnd w:id="224"/>
    <w:bookmarkStart w:id="225" w:name="X15e01107f5fc0341333f11988493a9502b35627"/>
    <w:p>
      <w:pPr>
        <w:pStyle w:val="Heading2"/>
      </w:pPr>
      <w:r>
        <w:t xml:space="preserve">U. P6 Meta-Analysis + Supplementary References v3.0 (17/05/2026)</w:t>
      </w:r>
    </w:p>
    <w:p>
      <w:pPr>
        <w:pStyle w:val="BlockText"/>
      </w:pPr>
      <w:r>
        <w:t xml:space="preserve">Các entries dưới đây được xác định qua APA7 audit toàn diện cho P6 manuscript, CD1, và CD2. Chỉ gồm entries CHƯA có dạng formatted đầy đủ trong các phần trên.</w:t>
      </w:r>
    </w:p>
    <w:p>
      <w:pPr>
        <w:pStyle w:val="FirstParagraph"/>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 https://doi.org/10.1177/0149206310370708</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Cameron, A. C., &amp; Miller, D. L. (2015). A practitioner’s guide to cluster-robust inference.</w:t>
      </w:r>
      <w:r>
        <w:t xml:space="preserve"> </w:t>
      </w:r>
      <w:r>
        <w:rPr>
          <w:iCs/>
          <w:i/>
        </w:rPr>
        <w:t xml:space="preserve">Journal of Human Resources, 50</w:t>
      </w:r>
      <w:r>
        <w:t xml:space="preserve">(2), 317–372. https://doi.org/10.3368/jhr.50.2.317</w:t>
      </w:r>
    </w:p>
    <w:p>
      <w:pPr>
        <w:pStyle w:val="BodyText"/>
      </w:pPr>
      <w:r>
        <w:t xml:space="preserve">Chodorow-Reich, G., Gopinath, G., Mishra, P., &amp; Narayanan, A. (2020). Cash and the economy: Evidence from India’s demonetization.</w:t>
      </w:r>
      <w:r>
        <w:t xml:space="preserve"> </w:t>
      </w:r>
      <w:r>
        <w:rPr>
          <w:iCs/>
          <w:i/>
        </w:rPr>
        <w:t xml:space="preserve">Quarterly Journal of Economics, 135</w:t>
      </w:r>
      <w:r>
        <w:t xml:space="preserve">(1), 57–103. https://doi.org/10.1093/qje/qjz027</w:t>
      </w:r>
      <w:r>
        <w:t xml:space="preserve"> </w:t>
      </w: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 https://doi.org/10.1111/j.2042-5805.2012.01043.x</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 https://doi.org/10.1257/000282804322970814</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 https://doi.org/10.2307/2097958</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 https://doi.org/10.1007/s11846-022-00588-8</w:t>
      </w:r>
    </w:p>
    <w:p>
      <w:pPr>
        <w:pStyle w:val="BodyText"/>
      </w:pPr>
      <w:r>
        <w:t xml:space="preserve">Landis, J. R., &amp; Koch, G. G. (1977). The measurement of observer agreement for categorical data.</w:t>
      </w:r>
      <w:r>
        <w:t xml:space="preserve"> </w:t>
      </w:r>
      <w:r>
        <w:rPr>
          <w:iCs/>
          <w:i/>
        </w:rPr>
        <w:t xml:space="preserve">Biometrics, 33</w:t>
      </w:r>
      <w:r>
        <w:t xml:space="preserve">(1), 159–174. https://doi.org/10.2307/2529310</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 https://doi.org/10.1037/0021-9010.90.1.175</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Sachs, J. D., &amp; Warner, A. M. (2001). The curse of natural resources.</w:t>
      </w:r>
      <w:r>
        <w:t xml:space="preserve"> </w:t>
      </w:r>
      <w:r>
        <w:rPr>
          <w:iCs/>
          <w:i/>
        </w:rPr>
        <w:t xml:space="preserve">European Economic Review, 45</w:t>
      </w:r>
      <w:r>
        <w:t xml:space="preserve">(4–6), 827–838. https://doi.org/10.1016/S0014-2921(01)00125-8</w:t>
      </w:r>
    </w:p>
    <w:p>
      <w:pPr>
        <w:pStyle w:val="BodyText"/>
      </w:pPr>
      <w:r>
        <w:t xml:space="preserve">Sahay, R., von Allmen, U. E., Lahreche, A., Khera, P., Ogawa, S., Bazarbash, M., &amp; Beaton, K. (2020).</w:t>
      </w:r>
      <w:r>
        <w:t xml:space="preserve"> </w:t>
      </w:r>
      <w:r>
        <w:rPr>
          <w:iCs/>
          <w:i/>
        </w:rPr>
        <w:t xml:space="preserve">The promise of fintech: Financial inclusion in the post COVID-19 era</w:t>
      </w:r>
      <w:r>
        <w:t xml:space="preserve"> </w:t>
      </w:r>
      <w:r>
        <w:t xml:space="preserve">(IMF Departmental Paper No. DP/2020/09). International Monetary Fund.</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 https://doi.org/10.1002/jrsm.1095</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Viechtbauer, W. (2010). Conducting meta-analyses in R with the metafor package.</w:t>
      </w:r>
      <w:r>
        <w:t xml:space="preserve"> </w:t>
      </w:r>
      <w:r>
        <w:rPr>
          <w:iCs/>
          <w:i/>
        </w:rPr>
        <w:t xml:space="preserve">Journal of Statistical Software, 36</w:t>
      </w:r>
      <w:r>
        <w:t xml:space="preserve">(3), 1–48. https://doi.org/10.18637/jss.v036.i03</w:t>
      </w:r>
    </w:p>
    <w:p>
      <w:pPr>
        <w:pStyle w:val="BodyText"/>
      </w:pPr>
      <w:r>
        <w:t xml:space="preserve">Williamson, O. E. (1985).</w:t>
      </w:r>
      <w:r>
        <w:t xml:space="preserve"> </w:t>
      </w:r>
      <w:r>
        <w:rPr>
          <w:iCs/>
          <w:i/>
        </w:rPr>
        <w:t xml:space="preserve">The economic institutions of capitalism</w:t>
      </w:r>
      <w:r>
        <w:t xml:space="preserve">. Free Press.</w:t>
      </w:r>
    </w:p>
    <w:p>
      <w:r>
        <w:pict>
          <v:rect style="width:0;height:1.5pt" o:hralign="center" o:hrstd="t" o:hr="t"/>
        </w:pict>
      </w:r>
    </w:p>
    <w:bookmarkEnd w:id="225"/>
    <w:bookmarkStart w:id="229" w:name="X5cd8a8b98c5930790a226592bde9793b6e0e242"/>
    <w:p>
      <w:pPr>
        <w:pStyle w:val="Heading2"/>
      </w:pPr>
      <w:r>
        <w:t xml:space="preserve">V. Citation Audit v3.1 (20/05/2026) — Entries chưa có trong refs</w:t>
      </w:r>
    </w:p>
    <w:p>
      <w:pPr>
        <w:pStyle w:val="BlockText"/>
      </w:pPr>
      <w:r>
        <w:t xml:space="preserve">Các entries dưới đây được thêm từ audit format-apa7 toàn bộ 5 chương luận án (20/05/2026). Gồm: 3 self-citations mới (P6 IBR, P7 JIBS, P8 World Dev), 8 entries từ</w:t>
      </w:r>
      <w:r>
        <w:t xml:space="preserve"> </w:t>
      </w:r>
      <w:r>
        <w:t xml:space="preserve">“</w:t>
      </w:r>
      <w:r>
        <w:t xml:space="preserve">Giữ nguyên</w:t>
      </w:r>
      <w:r>
        <w:t xml:space="preserve">”</w:t>
      </w:r>
      <w:r>
        <w:t xml:space="preserve"> </w:t>
      </w:r>
      <w:r>
        <w:t xml:space="preserve">blocks chưa được expand, và 2 auxiliary entries.</w:t>
      </w:r>
    </w:p>
    <w:bookmarkStart w:id="226" w:name="X041759103c7c799db9799d6bd71834307a428c8"/>
    <w:p>
      <w:pPr>
        <w:pStyle w:val="Heading3"/>
      </w:pPr>
      <w:r>
        <w:t xml:space="preserve">Công trình của tác giả luận án — Cập nhật Section M</w:t>
      </w:r>
    </w:p>
    <w:bookmarkEnd w:id="226"/>
    <w:bookmarkStart w:id="227" w:name="X03425170776bdc22411e9d4a6a3935a0796568a"/>
    <w:p>
      <w:pPr>
        <w:pStyle w:val="Heading3"/>
      </w:pPr>
      <w:r>
        <w:t xml:space="preserve">Phương pháp kinh tế lượng + Meta-analysis (Section J mở rộng)</w:t>
      </w:r>
    </w:p>
    <w:p>
      <w:pPr>
        <w:pStyle w:val="FirstParagraph"/>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Aterido, R., Hallward-Driemeier, M., &amp; Pagés, C. (2011). Big constraints to small firms’ growth? Business environment and employment growth across firms.</w:t>
      </w:r>
      <w:r>
        <w:t xml:space="preserve"> </w:t>
      </w:r>
      <w:r>
        <w:rPr>
          <w:iCs/>
          <w:i/>
        </w:rPr>
        <w:t xml:space="preserve">Economic Development and Cultural Change, 59</w:t>
      </w:r>
      <w:r>
        <w:t xml:space="preserve">(3), 609–647. https://doi.org/10.1086/658349</w:t>
      </w:r>
    </w:p>
    <w:p>
      <w:pPr>
        <w:pStyle w:val="BodyText"/>
      </w:pPr>
      <w:r>
        <w:t xml:space="preserve">Borenstein, M., Hedges, L. V., Higgins, J. P. T., &amp; Rothstein, H. R. (2009).</w:t>
      </w:r>
      <w:r>
        <w:t xml:space="preserve"> </w:t>
      </w:r>
      <w:r>
        <w:rPr>
          <w:iCs/>
          <w:i/>
        </w:rPr>
        <w:t xml:space="preserve">Introduction to meta-analysis</w:t>
      </w:r>
      <w:r>
        <w:t xml:space="preserve">. Wiley. https://doi.org/10.1002/9780470743386</w:t>
      </w:r>
      <w:r>
        <w:t xml:space="preserve"> </w:t>
      </w:r>
      <w:r>
        <w:rPr>
          <w:iCs/>
          <w:i/>
        </w:rPr>
        <w:t xml:space="preserve">(Lần xuất bản đầu — khác với Borenstein et al. 2021 [2nd ed.].)</w:t>
      </w:r>
    </w:p>
    <w:p>
      <w:pPr>
        <w:pStyle w:val="BodyText"/>
      </w:pPr>
      <w:r>
        <w:t xml:space="preserve">Breusch, T. S., &amp; Pagan, A. R. (1979). A simple test for heteroscedasticity and random coefficient variation.</w:t>
      </w:r>
      <w:r>
        <w:t xml:space="preserve"> </w:t>
      </w:r>
      <w:r>
        <w:rPr>
          <w:iCs/>
          <w:i/>
        </w:rPr>
        <w:t xml:space="preserve">Econometrica, 47</w:t>
      </w:r>
      <w:r>
        <w:t xml:space="preserve">(5), 1287–1294. https://doi.org/10.2307/1911963</w:t>
      </w:r>
    </w:p>
    <w:p>
      <w:pPr>
        <w:pStyle w:val="BodyText"/>
      </w:pPr>
      <w:r>
        <w:t xml:space="preserve">Hair, J. F., Black, W. C., Babin, B. J., &amp; Anderson, R. E. (2019).</w:t>
      </w:r>
      <w:r>
        <w:t xml:space="preserve"> </w:t>
      </w:r>
      <w:r>
        <w:rPr>
          <w:iCs/>
          <w:i/>
        </w:rPr>
        <w:t xml:space="preserve">Multivariate data analysis</w:t>
      </w:r>
      <w:r>
        <w:t xml:space="preserve"> </w:t>
      </w:r>
      <w:r>
        <w:t xml:space="preserve">(8th ed.). Cengage.</w:t>
      </w:r>
    </w:p>
    <w:p>
      <w:pPr>
        <w:pStyle w:val="BodyText"/>
      </w:pPr>
      <w:r>
        <w:t xml:space="preserve">Higgins, J. P. T., Thompson, S. G., Deeks, J. J., &amp; Altman, D. G. (2003). Measuring inconsistency in meta-analyses.</w:t>
      </w:r>
      <w:r>
        <w:t xml:space="preserve"> </w:t>
      </w:r>
      <w:r>
        <w:rPr>
          <w:iCs/>
          <w:i/>
        </w:rPr>
        <w:t xml:space="preserve">BMJ, 327</w:t>
      </w:r>
      <w:r>
        <w:t xml:space="preserve">(7414), 557–560. https://doi.org/10.1136/bmj.327.7414.557</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 https://doi.org/10.1017/S1876404511200046</w:t>
      </w:r>
    </w:p>
    <w:bookmarkEnd w:id="227"/>
    <w:bookmarkStart w:id="228" w:name="lý-thuyết-bổ-sung-section-ac-mở-rộng"/>
    <w:p>
      <w:pPr>
        <w:pStyle w:val="Heading3"/>
      </w:pPr>
      <w:r>
        <w:t xml:space="preserve">Lý thuyết — bổ sung (Section A/C mở rộng)</w:t>
      </w:r>
    </w:p>
    <w:p>
      <w:pPr>
        <w:pStyle w:val="FirstParagraph"/>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 15</w:t>
      </w:r>
      <w:r>
        <w:t xml:space="preserve">(6), 285–305. https://doi.org/10.1016/0048-7333(86)90027-2</w:t>
      </w:r>
      <w:r>
        <w:t xml:space="preserve"> </w:t>
      </w: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bookmarkEnd w:id="228"/>
    <w:bookmarkEnd w:id="229"/>
    <w:bookmarkStart w:id="230" w:name="Xfcfd97cb98ed3f4d1b64063e814942600c7ed0b"/>
    <w:p>
      <w:pPr>
        <w:pStyle w:val="Heading2"/>
      </w:pPr>
      <w:r>
        <w:t xml:space="preserve">Bổ sung v2.8 — Thao tác hóa FSTS trực tiếp/gián tiếp (Chương 3 §3.3.2, CĐ1 §2.2)</w:t>
      </w:r>
    </w:p>
    <w:p>
      <w:pPr>
        <w:pStyle w:val="FirstParagraph"/>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bookmarkEnd w:id="230"/>
    <w:bookmarkStart w:id="231" w:name="X0594839b64ebc9cf139e008fd0f7618dc7babbe"/>
    <w:p>
      <w:pPr>
        <w:pStyle w:val="Heading2"/>
      </w:pPr>
      <w:r>
        <w:t xml:space="preserve">Bổ sung v2.9 — Phân biệt cấu trúc số (Chương 2 §2.2.5, Chương 3 §3.3.3)</w:t>
      </w:r>
    </w:p>
    <w:p>
      <w:pPr>
        <w:pStyle w:val="FirstParagraph"/>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bookmarkEnd w:id="231"/>
    <w:bookmarkStart w:id="232" w:name="X2a802b4844355bd9a9addebe0f180df0342c84e"/>
    <w:p>
      <w:pPr>
        <w:pStyle w:val="Heading2"/>
      </w:pPr>
      <w:r>
        <w:t xml:space="preserve">Bổ sung v3.0 — Hoàn thiện entry còn thiếu (rà soát Inspector 06/2026)</w:t>
      </w:r>
    </w:p>
    <w:p>
      <w:pPr>
        <w:pStyle w:val="FirstParagraph"/>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Bloom, N., Genakos, C., Sadun, R., &amp; Van Reenen, J. (2012). Management practices across firms and countries.</w:t>
      </w:r>
      <w:r>
        <w:t xml:space="preserve"> </w:t>
      </w:r>
      <w:r>
        <w:rPr>
          <w:iCs/>
          <w:i/>
        </w:rPr>
        <w:t xml:space="preserve">Academy of Management Perspectives, 26</w:t>
      </w:r>
      <w:r>
        <w:t xml:space="preserve">(1), 12–33. https://doi.org/10.5465/amp.2011.0077</w:t>
      </w:r>
    </w:p>
    <w:p>
      <w:pPr>
        <w:pStyle w:val="BodyText"/>
      </w:pPr>
      <w:r>
        <w:t xml:space="preserve">Cameron, A. C., &amp; Trivedi, P. K. (2005).</w:t>
      </w:r>
      <w:r>
        <w:t xml:space="preserve"> </w:t>
      </w:r>
      <w:r>
        <w:rPr>
          <w:iCs/>
          <w:i/>
        </w:rPr>
        <w:t xml:space="preserve">Microeconometrics: Methods and applications</w:t>
      </w:r>
      <w:r>
        <w:t xml:space="preserve">. Cambridge University Press.</w:t>
      </w:r>
    </w:p>
    <w:p>
      <w:pPr>
        <w:pStyle w:val="BodyText"/>
      </w:pPr>
      <w:r>
        <w:t xml:space="preserve">Dawson, J. F. (2014). Moderation in management research: What, why, when, and how.</w:t>
      </w:r>
      <w:r>
        <w:t xml:space="preserve"> </w:t>
      </w:r>
      <w:r>
        <w:rPr>
          <w:iCs/>
          <w:i/>
        </w:rPr>
        <w:t xml:space="preserve">Journal of Business and Psychology, 29</w:t>
      </w:r>
      <w:r>
        <w:t xml:space="preserve">(1), 1–19. https://doi.org/10.1007/s10869-013-9308-7</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Grant, R. M. (1987). Multinationality and performance among British manufacturing companies.</w:t>
      </w:r>
      <w:r>
        <w:t xml:space="preserve"> </w:t>
      </w:r>
      <w:r>
        <w:rPr>
          <w:iCs/>
          <w:i/>
        </w:rPr>
        <w:t xml:space="preserve">Journal of International Business Studies, 18</w:t>
      </w:r>
      <w:r>
        <w:t xml:space="preserve">(3), 79–89. https://doi.org/10.1057/palgrave.jibs.8490413</w:t>
      </w:r>
    </w:p>
    <w:p>
      <w:pPr>
        <w:pStyle w:val="BodyText"/>
      </w:pPr>
      <w:r>
        <w:t xml:space="preserve">Kim, W. C., Hwang, P., &amp; Burgers, W. P. (1989). Global diversification strategy and corporate profit performance.</w:t>
      </w:r>
      <w:r>
        <w:t xml:space="preserve"> </w:t>
      </w:r>
      <w:r>
        <w:rPr>
          <w:iCs/>
          <w:i/>
        </w:rPr>
        <w:t xml:space="preserve">Strategic Management Journal, 10</w:t>
      </w:r>
      <w:r>
        <w:t xml:space="preserve">(1), 45–57. https://doi.org/10.1002/smj.4250100105</w:t>
      </w:r>
    </w:p>
    <w:p>
      <w:pPr>
        <w:pStyle w:val="BodyText"/>
      </w:pPr>
      <w:r>
        <w:t xml:space="preserve">Sambharya, R. B. (1996). Foreign experience of top management teams and international diversification strategies of U.S. multinational corporations.</w:t>
      </w:r>
      <w:r>
        <w:t xml:space="preserve"> </w:t>
      </w:r>
      <w:r>
        <w:rPr>
          <w:iCs/>
          <w:i/>
        </w:rPr>
        <w:t xml:space="preserve">Strategic Management Journal, 17</w:t>
      </w:r>
      <w:r>
        <w:t xml:space="preserve">(9), 739–746. https://doi.org/10.1002/(SICI)1097-0266(199611)17:9&lt;739::AID-SMJ846&gt;3.0.CO;2-K</w:t>
      </w:r>
    </w:p>
    <w:p>
      <w:pPr>
        <w:pStyle w:val="BodyText"/>
      </w:pPr>
      <w:r>
        <w:t xml:space="preserve">Sasabuchi, S. (1980). A test of a multivariate normal mean with composite hypotheses determined by linear inequalities.</w:t>
      </w:r>
      <w:r>
        <w:t xml:space="preserve"> </w:t>
      </w:r>
      <w:r>
        <w:rPr>
          <w:iCs/>
          <w:i/>
        </w:rPr>
        <w:t xml:space="preserve">Biometrika, 67</w:t>
      </w:r>
      <w:r>
        <w:t xml:space="preserve">(2), 429–439. https://doi.org/10.1093/biomet/67.2.429</w:t>
      </w:r>
    </w:p>
    <w:p>
      <w:pPr>
        <w:pStyle w:val="BodyText"/>
      </w:pPr>
      <w:r>
        <w:t xml:space="preserve">Scott, W. R. (1995).</w:t>
      </w:r>
      <w:r>
        <w:t xml:space="preserve"> </w:t>
      </w:r>
      <w:r>
        <w:rPr>
          <w:iCs/>
          <w:i/>
        </w:rPr>
        <w:t xml:space="preserve">Institutions and organizations</w:t>
      </w:r>
      <w:r>
        <w:t xml:space="preserve">. Sage.</w:t>
      </w:r>
    </w:p>
    <w:p>
      <w:r>
        <w:br w:type="page"/>
      </w:r>
    </w:p>
    <w:bookmarkEnd w:id="232"/>
    <w:bookmarkEnd w:id="233"/>
    <w:bookmarkStart w:id="244" w:name="Xff640a2fe7b5357a1c83c06fced6026c707611d"/>
    <w:p>
      <w:pPr>
        <w:pStyle w:val="Heading1"/>
      </w:pPr>
      <w:r>
        <w:t xml:space="preserve">PHỤ LỤC A: QUY TRÌNH HỢP NHẤT VÀ HÀI HÒA HÓA DỮ LIỆU DOANH NGHIỆP ĐA QUỐC GIA (WBES)</w:t>
      </w:r>
    </w:p>
    <w:p>
      <w:pPr>
        <w:pStyle w:val="BlockText"/>
      </w:pPr>
      <w:r>
        <w:t xml:space="preserve">Phụ lục này trình bày chi tiết, có luận chứng khoa học, quy trình hợp nhất (pooling)</w:t>
      </w:r>
      <w:r>
        <w:t xml:space="preserve"> </w:t>
      </w:r>
      <w:r>
        <w:t xml:space="preserve">và hài hòa hóa (harmonisation) các bộ khảo sát doanh nghiệp đơn lẻ theo quốc gia–năm</w:t>
      </w:r>
      <w:r>
        <w:t xml:space="preserve"> </w:t>
      </w:r>
      <w:r>
        <w:t xml:space="preserve">thành một bộ dữ liệu cấp doanh nghiệp thống nhất phục vụ phân tích thực nghiệm đa bối</w:t>
      </w:r>
      <w:r>
        <w:t xml:space="preserve"> </w:t>
      </w:r>
      <w:r>
        <w:t xml:space="preserve">cảnh của luận án (đặc biệt Nghiên cứu thành phần P7). Đây là</w:t>
      </w:r>
      <w:r>
        <w:t xml:space="preserve"> </w:t>
      </w:r>
      <w:r>
        <w:rPr>
          <w:bCs/>
          <w:b/>
        </w:rPr>
        <w:t xml:space="preserve">một cấu phần phương pháp</w:t>
      </w:r>
      <w:r>
        <w:rPr>
          <w:bCs/>
          <w:b/>
        </w:rPr>
        <w:t xml:space="preserve"> </w:t>
      </w:r>
      <w:r>
        <w:rPr>
          <w:bCs/>
          <w:b/>
        </w:rPr>
        <w:t xml:space="preserve">luận chính thức</w:t>
      </w:r>
      <w:r>
        <w:t xml:space="preserve"> </w:t>
      </w:r>
      <w:r>
        <w:t xml:space="preserve">của luận án: nó bảo đảm tính minh bạch, khả năng tái lập (replicability)</w:t>
      </w:r>
      <w:r>
        <w:t xml:space="preserve"> </w:t>
      </w:r>
      <w:r>
        <w:t xml:space="preserve">và khả năng phản biện trước hội đồng. Toàn bộ quy trình được mã hóa thành tập lệnh tái</w:t>
      </w:r>
      <w:r>
        <w:t xml:space="preserve"> </w:t>
      </w:r>
      <w:r>
        <w:t xml:space="preserve">lập (</w:t>
      </w:r>
      <w:r>
        <w:rPr>
          <w:rStyle w:val="VerbatimChar"/>
        </w:rPr>
        <w:t xml:space="preserve">scripts/build_pooled_dataset.py</w:t>
      </w:r>
      <w:r>
        <w:t xml:space="preserve">,</w:t>
      </w:r>
      <w:r>
        <w:t xml:space="preserve"> </w:t>
      </w:r>
      <w:r>
        <w:rPr>
          <w:rStyle w:val="VerbatimChar"/>
        </w:rPr>
        <w:t xml:space="preserve">scripts/wbes_canon.py</w:t>
      </w:r>
      <w:r>
        <w:t xml:space="preserve">) và báo cáo dòng dữ liệu</w:t>
      </w:r>
      <w:r>
        <w:t xml:space="preserve"> </w:t>
      </w:r>
      <w:r>
        <w:t xml:space="preserve">kèm theo (</w:t>
      </w:r>
      <w:r>
        <w:rPr>
          <w:rStyle w:val="VerbatimChar"/>
        </w:rPr>
        <w:t xml:space="preserve">data_wbes/analysis/pooled_dataflow.csv</w:t>
      </w:r>
      <w:r>
        <w:t xml:space="preserve">).</w:t>
      </w:r>
    </w:p>
    <w:bookmarkStart w:id="234" w:name="X0582f4e8341b91a67fe62cd046a843bbb6226bb"/>
    <w:p>
      <w:pPr>
        <w:pStyle w:val="Heading2"/>
      </w:pPr>
      <w:r>
        <w:t xml:space="preserve">A.1 Mục đích và vị trí trong thiết kế nghiên cứu</w:t>
      </w:r>
    </w:p>
    <w:p>
      <w:pPr>
        <w:pStyle w:val="FirstParagraph"/>
      </w:pPr>
      <w:r>
        <w:t xml:space="preserve">Luận án kiểm định mối quan hệ quốc tế hóa–hiệu quả (I–P) trên một mẫu doanh nghiệp trải</w:t>
      </w:r>
      <w:r>
        <w:t xml:space="preserve"> </w:t>
      </w:r>
      <w:r>
        <w:t xml:space="preserve">rộng nhiều nền kinh tế và nhiều đợt khảo sát. Bản chất dữ liệu là</w:t>
      </w:r>
      <w:r>
        <w:t xml:space="preserve"> </w:t>
      </w:r>
      <w:r>
        <w:rPr>
          <w:bCs/>
          <w:b/>
        </w:rPr>
        <w:t xml:space="preserve">lát cắt ngang lặp lại</w:t>
      </w:r>
      <w:r>
        <w:t xml:space="preserve"> </w:t>
      </w:r>
      <w:r>
        <w:t xml:space="preserve">(repeated cross-sections) chứ không phải bảng cân bằng (balanced panel): mỗi đợt khảo sát</w:t>
      </w:r>
      <w:r>
        <w:t xml:space="preserve"> </w:t>
      </w:r>
      <w:r>
        <w:t xml:space="preserve">WBES rút một mẫu doanh nghiệp</w:t>
      </w:r>
      <w:r>
        <w:t xml:space="preserve"> </w:t>
      </w:r>
      <w:r>
        <w:rPr>
          <w:bCs/>
          <w:b/>
        </w:rPr>
        <w:t xml:space="preserve">độc lập</w:t>
      </w:r>
      <w:r>
        <w:t xml:space="preserve"> </w:t>
      </w:r>
      <w:r>
        <w:t xml:space="preserve">từ khung mẫu của nền kinh tế tại thời điểm đó,</w:t>
      </w:r>
      <w:r>
        <w:t xml:space="preserve"> </w:t>
      </w:r>
      <w:r>
        <w:t xml:space="preserve">không theo dõi cùng một doanh nghiệp qua thời gian (Deaton, 1985; Verbeek, 2008). Đặc tính</w:t>
      </w:r>
      <w:r>
        <w:t xml:space="preserve"> </w:t>
      </w:r>
      <w:r>
        <w:t xml:space="preserve">này quy định toàn bộ chiến lược hợp nhất và nhận dạng (identification) trình bày dưới đây.</w:t>
      </w:r>
    </w:p>
    <w:p>
      <w:pPr>
        <w:pStyle w:val="BodyText"/>
      </w:pPr>
      <w:r>
        <w:t xml:space="preserve">Phụ lục A bổ sung cho Chương 3 (§3.3) ở cấp độ</w:t>
      </w:r>
      <w:r>
        <w:t xml:space="preserve"> </w:t>
      </w:r>
      <w:r>
        <w:rPr>
          <w:bCs/>
          <w:b/>
        </w:rPr>
        <w:t xml:space="preserve">thao tác chi tiết</w:t>
      </w:r>
      <w:r>
        <w:t xml:space="preserve"> </w:t>
      </w:r>
      <w:r>
        <w:t xml:space="preserve">(operational detail):</w:t>
      </w:r>
      <w:r>
        <w:t xml:space="preserve"> </w:t>
      </w:r>
      <w:r>
        <w:t xml:space="preserve">trong khi §3.3 nêu nguồn dữ liệu và định nghĩa biến, Phụ lục A tài liệu hóa từng bước</w:t>
      </w:r>
      <w:r>
        <w:t xml:space="preserve"> </w:t>
      </w:r>
      <w:r>
        <w:t xml:space="preserve">chuyển hóa từ 119 tệp khảo sát thô đến mẫu phân tích cuối cùng, cùng luận chứng cho mỗi</w:t>
      </w:r>
      <w:r>
        <w:t xml:space="preserve"> </w:t>
      </w:r>
      <w:r>
        <w:t xml:space="preserve">quyết định lọc và hài hòa.</w:t>
      </w:r>
    </w:p>
    <w:bookmarkEnd w:id="234"/>
    <w:bookmarkStart w:id="235" w:name="a.2-nguồn-dữ-liệu-và-đơn-vị-phân-tích"/>
    <w:p>
      <w:pPr>
        <w:pStyle w:val="Heading2"/>
      </w:pPr>
      <w:r>
        <w:t xml:space="preserve">A.2 Nguồn dữ liệu và đơn vị phân tích</w:t>
      </w:r>
    </w:p>
    <w:p>
      <w:pPr>
        <w:pStyle w:val="FirstParagraph"/>
      </w:pPr>
      <w:r>
        <w:t xml:space="preserve">Dữ liệu sơ cấp là</w:t>
      </w:r>
      <w:r>
        <w:t xml:space="preserve"> </w:t>
      </w:r>
      <w:r>
        <w:rPr>
          <w:bCs/>
          <w:b/>
        </w:rPr>
        <w:t xml:space="preserve">World Bank Enterprise Surveys (WBES)</w:t>
      </w:r>
      <w:r>
        <w:t xml:space="preserve">, bộ khảo sát doanh nghiệp cấp</w:t>
      </w:r>
      <w:r>
        <w:t xml:space="preserve"> </w:t>
      </w:r>
      <w:r>
        <w:t xml:space="preserve">cơ sở (establishment-level) do Nhóm Ngân hàng Thế giới thực hiện theo một bộ công cụ toàn</w:t>
      </w:r>
      <w:r>
        <w:t xml:space="preserve"> </w:t>
      </w:r>
      <w:r>
        <w:t xml:space="preserve">cầu chuẩn hóa, áp dụng</w:t>
      </w:r>
      <w:r>
        <w:t xml:space="preserve"> </w:t>
      </w:r>
      <w:r>
        <w:rPr>
          <w:bCs/>
          <w:b/>
        </w:rPr>
        <w:t xml:space="preserve">chọn mẫu ngẫu nhiên phân tầng</w:t>
      </w:r>
      <w:r>
        <w:t xml:space="preserve"> </w:t>
      </w:r>
      <w:r>
        <w:t xml:space="preserve">(stratified random sampling) theo</w:t>
      </w:r>
      <w:r>
        <w:t xml:space="preserve"> </w:t>
      </w:r>
      <w:r>
        <w:t xml:space="preserve">ba chiều: ngành (sản xuất/dịch vụ theo ISIC), quy mô lao động (nhỏ/vừa/lớn) và vùng địa lý</w:t>
      </w:r>
      <w:r>
        <w:t xml:space="preserve"> </w:t>
      </w:r>
      <w:r>
        <w:t xml:space="preserve">trong mỗi nền kinh tế (World Bank Enterprise Surveys, 2025; World Bank, 2019). Thiết kế</w:t>
      </w:r>
      <w:r>
        <w:t xml:space="preserve"> </w:t>
      </w:r>
      <w:r>
        <w:t xml:space="preserve">phân tầng này bảo đảm tính đại diện cho khu vực tư nhân chính thức phi nông nghiệp của mỗi</w:t>
      </w:r>
      <w:r>
        <w:t xml:space="preserve"> </w:t>
      </w:r>
      <w:r>
        <w:t xml:space="preserve">nền kinh tế và cho phép so sánh giữa các nước nhờ bộ câu hỏi cốt lõi đồng nhất (Aterido et</w:t>
      </w:r>
      <w:r>
        <w:t xml:space="preserve"> </w:t>
      </w:r>
      <w:r>
        <w:t xml:space="preserve">al., 2011). Đơn vị phân tích là</w:t>
      </w:r>
      <w:r>
        <w:t xml:space="preserve"> </w:t>
      </w:r>
      <w:r>
        <w:rPr>
          <w:bCs/>
          <w:b/>
        </w:rPr>
        <w:t xml:space="preserve">cơ sở kinh doanh</w:t>
      </w:r>
      <w:r>
        <w:t xml:space="preserve"> </w:t>
      </w:r>
      <w:r>
        <w:t xml:space="preserve">(establishment); biến phụ thuộc, biến</w:t>
      </w:r>
      <w:r>
        <w:t xml:space="preserve"> </w:t>
      </w:r>
      <w:r>
        <w:t xml:space="preserve">độc lập và biến điều tiết đều được đo ở cấp này.</w:t>
      </w:r>
    </w:p>
    <w:p>
      <w:pPr>
        <w:pStyle w:val="BodyText"/>
      </w:pPr>
      <w:r>
        <w:t xml:space="preserve">Một ràng buộc then chốt về tính so sánh: WBES chỉ áp dụng</w:t>
      </w:r>
      <w:r>
        <w:t xml:space="preserve"> </w:t>
      </w:r>
      <w:r>
        <w:rPr>
          <w:bCs/>
          <w:b/>
        </w:rPr>
        <w:t xml:space="preserve">phương pháp luận toàn cầu thống</w:t>
      </w:r>
      <w:r>
        <w:rPr>
          <w:bCs/>
          <w:b/>
        </w:rPr>
        <w:t xml:space="preserve"> </w:t>
      </w:r>
      <w:r>
        <w:rPr>
          <w:bCs/>
          <w:b/>
        </w:rPr>
        <w:t xml:space="preserve">nhất từ năm 2006</w:t>
      </w:r>
      <w:r>
        <w:t xml:space="preserve"> </w:t>
      </w:r>
      <w:r>
        <w:t xml:space="preserve">trở đi; các đợt trước 2006 dùng bộ công cụ và khung chọn mẫu không tương</w:t>
      </w:r>
      <w:r>
        <w:t xml:space="preserve"> </w:t>
      </w:r>
      <w:r>
        <w:t xml:space="preserve">thích (World Bank, 2019). Do đó luận án giới hạn ở các đợt khảo sát</w:t>
      </w:r>
      <w:r>
        <w:t xml:space="preserve"> </w:t>
      </w:r>
      <w:r>
        <w:rPr>
          <w:bCs/>
          <w:b/>
        </w:rPr>
        <w:t xml:space="preserve">năm ≥ 2006</w:t>
      </w:r>
      <w:r>
        <w:t xml:space="preserve"> </w:t>
      </w:r>
      <w:r>
        <w:t xml:space="preserve">để bảo</w:t>
      </w:r>
      <w:r>
        <w:t xml:space="preserve"> </w:t>
      </w:r>
      <w:r>
        <w:t xml:space="preserve">toàn tính so sánh giữa các đợt và các nước (xem A.3, Bước S1).</w:t>
      </w:r>
    </w:p>
    <w:p>
      <w:pPr>
        <w:pStyle w:val="BodyText"/>
      </w:pPr>
      <w:r>
        <w:t xml:space="preserve">Tiêu chí</w:t>
      </w:r>
      <w:r>
        <w:t xml:space="preserve"> </w:t>
      </w:r>
      <w:r>
        <w:t xml:space="preserve">“</w:t>
      </w:r>
      <w:r>
        <w:t xml:space="preserve">năm ≥ 2006</w:t>
      </w:r>
      <w:r>
        <w:t xml:space="preserve">”</w:t>
      </w:r>
      <w:r>
        <w:t xml:space="preserve"> </w:t>
      </w:r>
      <w:r>
        <w:t xml:space="preserve">là</w:t>
      </w:r>
      <w:r>
        <w:t xml:space="preserve"> </w:t>
      </w:r>
      <w:r>
        <w:rPr>
          <w:bCs/>
          <w:b/>
        </w:rPr>
        <w:t xml:space="preserve">điều kiện cần nhưng chưa đủ</w:t>
      </w:r>
      <w:r>
        <w:t xml:space="preserve">: một số nền kinh tế vẫn còn các đợt</w:t>
      </w:r>
      <w:r>
        <w:t xml:space="preserve"> </w:t>
      </w:r>
      <w:r>
        <w:t xml:space="preserve">khảo sát sau 2006 chạy trên</w:t>
      </w:r>
      <w:r>
        <w:t xml:space="preserve"> </w:t>
      </w:r>
      <w:r>
        <w:rPr>
          <w:bCs/>
          <w:b/>
        </w:rPr>
        <w:t xml:space="preserve">bộ công cụ khu vực/quốc gia cũ</w:t>
      </w:r>
      <w:r>
        <w:t xml:space="preserve"> </w:t>
      </w:r>
      <w:r>
        <w:t xml:space="preserve">(ví dụ bộ PICS khu vực MENA</w:t>
      </w:r>
      <w:r>
        <w:t xml:space="preserve"> </w:t>
      </w:r>
      <w:r>
        <w:t xml:space="preserve">hay các bảng hỏi Đông Dương đời đầu) với hệ thống mã biến riêng. Tiêu chí vận hành để một đợt</w:t>
      </w:r>
      <w:r>
        <w:t xml:space="preserve"> </w:t>
      </w:r>
      <w:r>
        <w:t xml:space="preserve">khảo sát được nhận vào khung so sánh là</w:t>
      </w:r>
      <w:r>
        <w:t xml:space="preserve"> </w:t>
      </w:r>
      <w:r>
        <w:rPr>
          <w:bCs/>
          <w:b/>
        </w:rPr>
        <w:t xml:space="preserve">sự hiện diện của các biến lõi đã hài hòa</w:t>
      </w:r>
      <w:r>
        <w:t xml:space="preserve"> </w:t>
      </w:r>
      <w:r>
        <w:t xml:space="preserve">của bộ</w:t>
      </w:r>
      <w:r>
        <w:t xml:space="preserve"> </w:t>
      </w:r>
      <w:r>
        <w:t xml:space="preserve">công cụ Standardized toàn cầu, cụ thể là</w:t>
      </w:r>
      <w:r>
        <w:t xml:space="preserve"> </w:t>
      </w:r>
      <w:r>
        <w:rPr>
          <w:rStyle w:val="VerbatimChar"/>
        </w:rPr>
        <w:t xml:space="preserve">d2</w:t>
      </w:r>
      <w:r>
        <w:t xml:space="preserve"> </w:t>
      </w:r>
      <w:r>
        <w:t xml:space="preserve">(doanh thu),</w:t>
      </w:r>
      <w:r>
        <w:t xml:space="preserve"> </w:t>
      </w:r>
      <w:r>
        <w:rPr>
          <w:rStyle w:val="VerbatimChar"/>
        </w:rPr>
        <w:t xml:space="preserve">l1</w:t>
      </w:r>
      <w:r>
        <w:t xml:space="preserve"> </w:t>
      </w:r>
      <w:r>
        <w:t xml:space="preserve">(lao động),</w:t>
      </w:r>
      <w:r>
        <w:t xml:space="preserve"> </w:t>
      </w:r>
      <w:r>
        <w:rPr>
          <w:rStyle w:val="VerbatimChar"/>
        </w:rPr>
        <w:t xml:space="preserve">d3b</w:t>
      </w:r>
      <w:r>
        <w:t xml:space="preserve">/</w:t>
      </w:r>
      <w:r>
        <w:rPr>
          <w:rStyle w:val="VerbatimChar"/>
        </w:rPr>
        <w:t xml:space="preserve">d3c</w:t>
      </w:r>
      <w:r>
        <w:t xml:space="preserve"> </w:t>
      </w:r>
      <w:r>
        <w:t xml:space="preserve">(xuất khẩu trực tiếp/gián tiếp). Ba đợt khảo sát đáp ứng năm ≥ 2006 nhưng</w:t>
      </w:r>
      <w:r>
        <w:t xml:space="preserve"> </w:t>
      </w:r>
      <w:r>
        <w:rPr>
          <w:bCs/>
          <w:b/>
        </w:rPr>
        <w:t xml:space="preserve">không</w:t>
      </w:r>
      <w:r>
        <w:t xml:space="preserve"> </w:t>
      </w:r>
      <w:r>
        <w:t xml:space="preserve">chứa các</w:t>
      </w:r>
      <w:r>
        <w:t xml:space="preserve"> </w:t>
      </w:r>
      <w:r>
        <w:t xml:space="preserve">biến lõi này, Lebanon 2009 (bộ PICS MENA, mã</w:t>
      </w:r>
      <w:r>
        <w:t xml:space="preserve"> </w:t>
      </w:r>
      <w:r>
        <w:rPr>
          <w:rStyle w:val="VerbatimChar"/>
        </w:rPr>
        <w:t xml:space="preserve">q####</w:t>
      </w:r>
      <w:r>
        <w:t xml:space="preserve">), Cambodia 2007 và Cambodia 2013 (bảng</w:t>
      </w:r>
      <w:r>
        <w:t xml:space="preserve"> </w:t>
      </w:r>
      <w:r>
        <w:t xml:space="preserve">hỏi đời đầu), được loại theo đúng nguyên tắc này, song song với việc loại các bộ công cụ phi</w:t>
      </w:r>
      <w:r>
        <w:t xml:space="preserve"> </w:t>
      </w:r>
      <w:r>
        <w:t xml:space="preserve">chuẩn (Informal, ISBS, ISES, Micro, panel). Cần phân biệt: việc loại trừ này là do</w:t>
      </w:r>
      <w:r>
        <w:t xml:space="preserve"> </w:t>
      </w:r>
      <w:r>
        <w:rPr>
          <w:bCs/>
          <w:b/>
        </w:rPr>
        <w:t xml:space="preserve">bất</w:t>
      </w:r>
      <w:r>
        <w:rPr>
          <w:bCs/>
          <w:b/>
        </w:rPr>
        <w:t xml:space="preserve"> </w:t>
      </w:r>
      <w:r>
        <w:rPr>
          <w:bCs/>
          <w:b/>
        </w:rPr>
        <w:t xml:space="preserve">tương thích bộ công cụ</w:t>
      </w:r>
      <w:r>
        <w:t xml:space="preserve">, không phải do thiếu hay hỏng dữ liệu; các đợt Standardized của</w:t>
      </w:r>
      <w:r>
        <w:t xml:space="preserve"> </w:t>
      </w:r>
      <w:r>
        <w:t xml:space="preserve">chính những nền này vẫn được giữ (Lebanon 2013 và 2019; Cambodia 2016 và 2023), và các đợt</w:t>
      </w:r>
      <w:r>
        <w:t xml:space="preserve"> </w:t>
      </w:r>
      <w:r>
        <w:t xml:space="preserve">2006–2012 của nền khác dùng bộ công cụ Standardized (ví dụ Jordan 2006) đều được nhận.</w:t>
      </w:r>
    </w:p>
    <w:bookmarkEnd w:id="235"/>
    <w:bookmarkStart w:id="236" w:name="Xd70dc06f8ccec128443ad2d01abc5c85de5037e"/>
    <w:p>
      <w:pPr>
        <w:pStyle w:val="Heading2"/>
      </w:pPr>
      <w:r>
        <w:t xml:space="preserve">A.3 Quy trình hợp nhất sáu bước (S1–S6) và dòng dữ liệu</w:t>
      </w:r>
    </w:p>
    <w:p>
      <w:pPr>
        <w:pStyle w:val="FirstParagraph"/>
      </w:pPr>
      <w:r>
        <w:t xml:space="preserve">Quy trình được thiết kế theo nguyên tắc minh bạch kiểu PRISMA cho dữ liệu thứ cấp: mỗi bước</w:t>
      </w:r>
      <w:r>
        <w:t xml:space="preserve"> </w:t>
      </w:r>
      <w:r>
        <w:t xml:space="preserve">ghi rõ tiêu chí và số quan sát còn lại, cho phép tái dựng và kiểm tra (Page et al., 2021).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Bước</w:t>
            </w:r>
          </w:p>
        </w:tc>
        <w:tc>
          <w:tcPr/>
          <w:p>
            <w:pPr>
              <w:pStyle w:val="Compact"/>
              <w:jc w:val="left"/>
            </w:pPr>
            <w:r>
              <w:t xml:space="preserve">Thao tác</w:t>
            </w:r>
          </w:p>
        </w:tc>
        <w:tc>
          <w:tcPr/>
          <w:p>
            <w:pPr>
              <w:pStyle w:val="Compact"/>
              <w:jc w:val="left"/>
            </w:pPr>
            <w:r>
              <w:t xml:space="preserve">Tiêu chí</w:t>
            </w:r>
          </w:p>
        </w:tc>
        <w:tc>
          <w:tcPr/>
          <w:p>
            <w:pPr>
              <w:pStyle w:val="Compact"/>
              <w:jc w:val="left"/>
            </w:pPr>
            <w:r>
              <w:t xml:space="preserve">Kết quả (pool chính thức)</w:t>
            </w:r>
          </w:p>
        </w:tc>
      </w:tr>
      <w:tr>
        <w:tc>
          <w:tcPr/>
          <w:p>
            <w:pPr>
              <w:pStyle w:val="Compact"/>
              <w:jc w:val="left"/>
            </w:pPr>
            <w:r>
              <w:rPr>
                <w:bCs/>
                <w:b/>
              </w:rPr>
              <w:t xml:space="preserve">S1</w:t>
            </w:r>
          </w:p>
        </w:tc>
        <w:tc>
          <w:tcPr/>
          <w:p>
            <w:pPr>
              <w:pStyle w:val="Compact"/>
              <w:jc w:val="left"/>
            </w:pPr>
            <w:r>
              <w:t xml:space="preserve">Thu thập &amp; lọc loại khảo sát</w:t>
            </w:r>
          </w:p>
        </w:tc>
        <w:tc>
          <w:tcPr/>
          <w:p>
            <w:pPr>
              <w:pStyle w:val="Compact"/>
              <w:jc w:val="left"/>
            </w:pPr>
            <w:r>
              <w:t xml:space="preserve">Giữ lát cắt ngang doanh nghiệp tư nhân chuẩn;</w:t>
            </w:r>
            <w:r>
              <w:t xml:space="preserve"> </w:t>
            </w:r>
            <w:r>
              <w:rPr>
                <w:bCs/>
                <w:b/>
              </w:rPr>
              <w:t xml:space="preserve">loại</w:t>
            </w:r>
            <w:r>
              <w:t xml:space="preserve"> </w:t>
            </w:r>
            <w:r>
              <w:t xml:space="preserve">bảng panel, Informal Sector, ISBS, ISES, Micro, và khảo sát theo dõi TGS; giữ</w:t>
            </w:r>
            <w:r>
              <w:t xml:space="preserve"> </w:t>
            </w:r>
            <w:r>
              <w:rPr>
                <w:bCs/>
                <w:b/>
              </w:rPr>
              <w:t xml:space="preserve">năm ≥ 2006</w:t>
            </w:r>
          </w:p>
        </w:tc>
        <w:tc>
          <w:tcPr/>
          <w:p>
            <w:pPr>
              <w:pStyle w:val="Compact"/>
              <w:jc w:val="left"/>
            </w:pPr>
            <w:r>
              <w:t xml:space="preserve">—</w:t>
            </w:r>
          </w:p>
        </w:tc>
      </w:tr>
      <w:tr>
        <w:tc>
          <w:tcPr/>
          <w:p>
            <w:pPr>
              <w:pStyle w:val="Compact"/>
              <w:jc w:val="left"/>
            </w:pPr>
            <w:r>
              <w:rPr>
                <w:bCs/>
                <w:b/>
              </w:rPr>
              <w:t xml:space="preserve">S2</w:t>
            </w:r>
          </w:p>
        </w:tc>
        <w:tc>
          <w:tcPr/>
          <w:p>
            <w:pPr>
              <w:pStyle w:val="Compact"/>
              <w:jc w:val="left"/>
            </w:pPr>
            <w:r>
              <w:t xml:space="preserve">Khử trùng lặp</w:t>
            </w:r>
          </w:p>
        </w:tc>
        <w:tc>
          <w:tcPr/>
          <w:p>
            <w:pPr>
              <w:pStyle w:val="Compact"/>
              <w:jc w:val="left"/>
            </w:pPr>
            <w:r>
              <w:t xml:space="preserve">Một khảo sát cho mỗi cặp (nền kinh tế × năm)</w:t>
            </w:r>
          </w:p>
        </w:tc>
        <w:tc>
          <w:tcPr/>
          <w:p>
            <w:pPr>
              <w:pStyle w:val="Compact"/>
              <w:jc w:val="left"/>
            </w:pPr>
            <w:r>
              <w:t xml:space="preserve">—</w:t>
            </w:r>
          </w:p>
        </w:tc>
      </w:tr>
      <w:tr>
        <w:tc>
          <w:tcPr/>
          <w:p>
            <w:pPr>
              <w:pStyle w:val="Compact"/>
              <w:jc w:val="left"/>
            </w:pPr>
            <w:r>
              <w:rPr>
                <w:bCs/>
                <w:b/>
              </w:rPr>
              <w:t xml:space="preserve">S3</w:t>
            </w:r>
          </w:p>
        </w:tc>
        <w:tc>
          <w:tcPr/>
          <w:p>
            <w:pPr>
              <w:pStyle w:val="Compact"/>
              <w:jc w:val="left"/>
            </w:pPr>
            <w:r>
              <w:t xml:space="preserve">Hài hòa hóa biến</w:t>
            </w:r>
          </w:p>
        </w:tc>
        <w:tc>
          <w:tcPr/>
          <w:p>
            <w:pPr>
              <w:pStyle w:val="Compact"/>
              <w:jc w:val="left"/>
            </w:pPr>
            <w:r>
              <w:t xml:space="preserve">Ánh xạ trường câu hỏi dị biệt về một lược đồ chung (A.4)</w:t>
            </w:r>
          </w:p>
        </w:tc>
        <w:tc>
          <w:tcPr/>
          <w:p>
            <w:pPr>
              <w:pStyle w:val="Compact"/>
              <w:jc w:val="left"/>
            </w:pPr>
            <w:r>
              <w:t xml:space="preserve">—</w:t>
            </w:r>
          </w:p>
        </w:tc>
      </w:tr>
      <w:tr>
        <w:tc>
          <w:tcPr/>
          <w:p>
            <w:pPr>
              <w:pStyle w:val="Compact"/>
              <w:jc w:val="left"/>
            </w:pPr>
            <w:r>
              <w:rPr>
                <w:bCs/>
                <w:b/>
              </w:rPr>
              <w:t xml:space="preserve">S4</w:t>
            </w:r>
          </w:p>
        </w:tc>
        <w:tc>
          <w:tcPr/>
          <w:p>
            <w:pPr>
              <w:pStyle w:val="Compact"/>
              <w:jc w:val="left"/>
            </w:pPr>
            <w:r>
              <w:t xml:space="preserve">Xử lý mã thiếu</w:t>
            </w:r>
          </w:p>
        </w:tc>
        <w:tc>
          <w:tcPr/>
          <w:p>
            <w:pPr>
              <w:pStyle w:val="Compact"/>
              <w:jc w:val="left"/>
            </w:pPr>
            <w:r>
              <w:t xml:space="preserve">Mã hóa mã không phản hồi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N/A</w:t>
            </w:r>
            <w:r>
              <w:t xml:space="preserve">) thành khuyết; kiểm tra miền giá trị</w:t>
            </w:r>
          </w:p>
        </w:tc>
        <w:tc>
          <w:tcPr/>
          <w:p>
            <w:pPr>
              <w:pStyle w:val="Compact"/>
              <w:jc w:val="left"/>
            </w:pPr>
            <w:r>
              <w:t xml:space="preserve">—</w:t>
            </w:r>
          </w:p>
        </w:tc>
      </w:tr>
      <w:tr>
        <w:tc>
          <w:tcPr/>
          <w:p>
            <w:pPr>
              <w:pStyle w:val="Compact"/>
              <w:jc w:val="left"/>
            </w:pPr>
            <w:r>
              <w:rPr>
                <w:bCs/>
                <w:b/>
              </w:rPr>
              <w:t xml:space="preserve">S5</w:t>
            </w:r>
          </w:p>
        </w:tc>
        <w:tc>
          <w:tcPr/>
          <w:p>
            <w:pPr>
              <w:pStyle w:val="Compact"/>
              <w:jc w:val="left"/>
            </w:pPr>
            <w:r>
              <w:t xml:space="preserve">Phân tầng thể chế ICRV</w:t>
            </w:r>
          </w:p>
        </w:tc>
        <w:tc>
          <w:tcPr/>
          <w:p>
            <w:pPr>
              <w:pStyle w:val="Compact"/>
              <w:jc w:val="left"/>
            </w:pPr>
            <w:r>
              <w:t xml:space="preserve">Gán chế độ thể chế; giới hạn khung phân tích</w:t>
            </w:r>
            <w:r>
              <w:t xml:space="preserve"> </w:t>
            </w:r>
            <w:r>
              <w:rPr>
                <w:bCs/>
                <w:b/>
              </w:rPr>
              <w:t xml:space="preserve">50 nền</w:t>
            </w:r>
            <w:r>
              <w:t xml:space="preserve"> </w:t>
            </w:r>
            <w:r>
              <w:t xml:space="preserve">Á–Thái Bình Dương (gồm Nhật Bản 2025)</w:t>
            </w:r>
          </w:p>
        </w:tc>
        <w:tc>
          <w:tcPr/>
          <w:p>
            <w:pPr>
              <w:pStyle w:val="Compact"/>
              <w:jc w:val="left"/>
            </w:pPr>
            <w:r>
              <w:t xml:space="preserve">Khung mô tả 50 nền =</w:t>
            </w:r>
            <w:r>
              <w:t xml:space="preserve"> </w:t>
            </w:r>
            <w:r>
              <w:rPr>
                <w:bCs/>
                <w:b/>
              </w:rPr>
              <w:t xml:space="preserve">88.869</w:t>
            </w:r>
            <w:r>
              <w:t xml:space="preserve"> </w:t>
            </w:r>
            <w:r>
              <w:t xml:space="preserve">DN / 103 cặp</w:t>
            </w:r>
          </w:p>
        </w:tc>
      </w:tr>
      <w:tr>
        <w:tc>
          <w:tcPr/>
          <w:p>
            <w:pPr>
              <w:pStyle w:val="Compact"/>
              <w:jc w:val="left"/>
            </w:pPr>
            <w:r>
              <w:rPr>
                <w:bCs/>
                <w:b/>
              </w:rPr>
              <w:t xml:space="preserve">S6</w:t>
            </w:r>
          </w:p>
        </w:tc>
        <w:tc>
          <w:tcPr/>
          <w:p>
            <w:pPr>
              <w:pStyle w:val="Compact"/>
              <w:jc w:val="left"/>
            </w:pPr>
            <w:r>
              <w:t xml:space="preserve">Mẫu phân tích listwise</w:t>
            </w:r>
          </w:p>
        </w:tc>
        <w:tc>
          <w:tcPr/>
          <w:p>
            <w:pPr>
              <w:pStyle w:val="Compact"/>
              <w:jc w:val="left"/>
            </w:pPr>
            <w:r>
              <w:t xml:space="preserve">Loại quan sát thiếu biến phụ thuộc hoặc biến giải thích trọng tâm</w:t>
            </w:r>
          </w:p>
        </w:tc>
        <w:tc>
          <w:tcPr/>
          <w:p>
            <w:pPr>
              <w:pStyle w:val="Compact"/>
              <w:jc w:val="left"/>
            </w:pPr>
            <w:r>
              <w:t xml:space="preserve">Mẫu phân tích mô tả =</w:t>
            </w:r>
            <w:r>
              <w:t xml:space="preserve"> </w:t>
            </w:r>
            <w:r>
              <w:rPr>
                <w:bCs/>
                <w:b/>
              </w:rPr>
              <w:t xml:space="preserve">88.869</w:t>
            </w:r>
            <w:r>
              <w:t xml:space="preserve"> </w:t>
            </w:r>
            <w:r>
              <w:t xml:space="preserve">(50 nền); N hồi quy M2 =</w:t>
            </w:r>
            <w:r>
              <w:t xml:space="preserve"> </w:t>
            </w:r>
            <w:r>
              <w:rPr>
                <w:bCs/>
                <w:b/>
              </w:rPr>
              <w:t xml:space="preserve">81.022</w:t>
            </w:r>
            <w:r>
              <w:t xml:space="preserve">; mô hình đầy đủ M5 =</w:t>
            </w:r>
            <w:r>
              <w:t xml:space="preserve"> </w:t>
            </w:r>
            <w:r>
              <w:rPr>
                <w:bCs/>
                <w:b/>
              </w:rPr>
              <w:t xml:space="preserve">79.080</w:t>
            </w:r>
          </w:p>
        </w:tc>
      </w:tr>
    </w:tbl>
    <w:p>
      <w:pPr>
        <w:pStyle w:val="BodyText"/>
      </w:pPr>
      <w:r>
        <w:rPr>
          <w:iCs/>
          <w:i/>
        </w:rPr>
        <w:t xml:space="preserve">Nguồn số chính thức: tệp pool gộp của luận án (</w:t>
      </w:r>
      <w:r>
        <w:rPr>
          <w:rStyle w:val="VerbatimChar"/>
          <w:iCs/>
          <w:i/>
        </w:rPr>
        <w:t xml:space="preserve">data_wbes/p7/p7_pooled_clean.csv</w:t>
      </w:r>
      <w:r>
        <w:rPr>
          <w:iCs/>
          <w:i/>
        </w:rPr>
        <w:t xml:space="preserve">), 106.765</w:t>
      </w:r>
      <w:r>
        <w:rPr>
          <w:iCs/>
          <w:i/>
        </w:rPr>
        <w:t xml:space="preserve"> </w:t>
      </w:r>
      <w:r>
        <w:rPr>
          <w:iCs/>
          <w:i/>
        </w:rPr>
        <w:t xml:space="preserve">bản ghi doanh nghiệp–năm từ 17 đợt khảo sát 2003–2025.</w:t>
      </w:r>
    </w:p>
    <w:p>
      <w:pPr>
        <w:pStyle w:val="BodyText"/>
      </w:pPr>
      <w:r>
        <w:rPr>
          <w:bCs/>
          <w:b/>
        </w:rPr>
        <w:t xml:space="preserve">Hình A.1.</w:t>
      </w:r>
      <w:r>
        <w:t xml:space="preserve"> </w:t>
      </w:r>
      <w:r>
        <w:rPr>
          <w:iCs/>
          <w:i/>
        </w:rPr>
        <w:t xml:space="preserve">Sơ đồ dòng dữ liệu hợp nhất WBES (kiểu PRISMA).</w:t>
      </w:r>
    </w:p>
    <w:p>
      <w:pPr>
        <w:pStyle w:val="SourceCode"/>
      </w:pPr>
      <w:r>
        <w:rPr>
          <w:rStyle w:val="VerbatimChar"/>
        </w:rPr>
        <w:t xml:space="preserve">flowchart TD</w:t>
      </w:r>
      <w:r>
        <w:br/>
      </w:r>
      <w:r>
        <w:rPr>
          <w:rStyle w:val="VerbatimChar"/>
        </w:rPr>
        <w:t xml:space="preserve">    A["119 tệp khảo sát WBES&lt;br/&gt;quốc gia–năm (thô)"] --&gt;|"S1 · lọc cross-section chuẩn;&lt;br/&gt;loại panel/Informal/ISBS/ISES/Micro/TGS; năm ≥ 2006"| B["Lát cắt ngang chuẩn ≥ 2006"]</w:t>
      </w:r>
      <w:r>
        <w:br/>
      </w:r>
      <w:r>
        <w:rPr>
          <w:rStyle w:val="VerbatimChar"/>
        </w:rPr>
        <w:t xml:space="preserve">    B --&gt;|"S2 · khử trùng lặp"| C["Một khảo sát / cặp (nền × năm)"]</w:t>
      </w:r>
      <w:r>
        <w:br/>
      </w:r>
      <w:r>
        <w:rPr>
          <w:rStyle w:val="VerbatimChar"/>
        </w:rPr>
        <w:t xml:space="preserve">    C --&gt;|"S3 · hài hòa hóa biến&lt;br/&gt;(LP, FSTS, TCI/DAI, controls)"| D["Lược đồ biến chung"]</w:t>
      </w:r>
      <w:r>
        <w:br/>
      </w:r>
      <w:r>
        <w:rPr>
          <w:rStyle w:val="VerbatimChar"/>
        </w:rPr>
        <w:t xml:space="preserve">    D --&gt;|"S4 · mã thiếu −9/−8/−7 → khuyết;&lt;br/&gt;kiểm tra miền giá trị"| E["106.765 bản ghi doanh nghiệp–năm"]</w:t>
      </w:r>
      <w:r>
        <w:br/>
      </w:r>
      <w:r>
        <w:rPr>
          <w:rStyle w:val="VerbatimChar"/>
        </w:rPr>
        <w:t xml:space="preserve">    E --&gt;|"S5 · gán chế độ thể chế ICRV&lt;br/&gt;(đủ chỉ số WGI)"| F["96.415 DN phân loại · 52 nền"]</w:t>
      </w:r>
      <w:r>
        <w:br/>
      </w:r>
      <w:r>
        <w:rPr>
          <w:rStyle w:val="VerbatimChar"/>
        </w:rPr>
        <w:t xml:space="preserve">    F --&gt;|"loại Comoros / Cyprus / Türkiye&lt;br/&gt;(ngoài Á–Thái Bình Dương); thêm Nhật Bản 2025"| G["88.869 DN, 50 nền&lt;br/&gt;(KHUNG PHÂN TÍCH)"]</w:t>
      </w:r>
      <w:r>
        <w:br/>
      </w:r>
      <w:r>
        <w:rPr>
          <w:rStyle w:val="VerbatimChar"/>
        </w:rPr>
        <w:t xml:space="preserve">    G --&gt;|"S6 · listwise tập biến trọng tâm"| H["81.022, N hồi quy M2"]</w:t>
      </w:r>
      <w:r>
        <w:br/>
      </w:r>
      <w:r>
        <w:rPr>
          <w:rStyle w:val="VerbatimChar"/>
        </w:rPr>
        <w:t xml:space="preserve">    H --&gt;|"+ đầy đủ biến kiểm soát"| I["79.080, M5 (hiệu ứng cố định hai chiều)"]</w:t>
      </w:r>
    </w:p>
    <w:p>
      <w:pPr>
        <w:pStyle w:val="FirstParagraph"/>
      </w:pPr>
      <w:r>
        <w:rPr>
          <w:bCs/>
          <w:b/>
        </w:rPr>
        <w:t xml:space="preserve">Lưu ý tái lập (replication note).</w:t>
      </w:r>
      <w:r>
        <w:t xml:space="preserve"> </w:t>
      </w:r>
      <w:r>
        <w:t xml:space="preserve">Kho dữ liệu thô tái dựng được công khai trong repo</w:t>
      </w:r>
      <w:r>
        <w:t xml:space="preserve"> </w:t>
      </w:r>
      <w:r>
        <w:t xml:space="preserve">(</w:t>
      </w:r>
      <w:r>
        <w:rPr>
          <w:rStyle w:val="VerbatimChar"/>
        </w:rPr>
        <w:t xml:space="preserve">data_wbes/raw_dta/</w:t>
      </w:r>
      <w:r>
        <w:t xml:space="preserve">, 106 sóng chuẩn từ 2006 của 50 nền, gồm Nhật Bản 2025) là</w:t>
      </w:r>
      <w:r>
        <w:t xml:space="preserve"> </w:t>
      </w:r>
      <w:r>
        <w:rPr>
          <w:bCs/>
          <w:b/>
        </w:rPr>
        <w:t xml:space="preserve">tập</w:t>
      </w:r>
      <w:r>
        <w:rPr>
          <w:bCs/>
          <w:b/>
        </w:rPr>
        <w:t xml:space="preserve"> </w:t>
      </w:r>
      <w:r>
        <w:rPr>
          <w:bCs/>
          <w:b/>
        </w:rPr>
        <w:t xml:space="preserve">con</w:t>
      </w:r>
      <w:r>
        <w:t xml:space="preserve"> </w:t>
      </w:r>
      <w:r>
        <w:t xml:space="preserve">của bộ dữ liệu đầy đủ mà nhóm tác giả đã lắp ráp (một số sóng lịch sử chưa được tải</w:t>
      </w:r>
      <w:r>
        <w:t xml:space="preserve"> </w:t>
      </w:r>
      <w:r>
        <w:t xml:space="preserve">lại). Tập lệnh</w:t>
      </w:r>
      <w:r>
        <w:t xml:space="preserve"> </w:t>
      </w:r>
      <w:r>
        <w:rPr>
          <w:rStyle w:val="VerbatimChar"/>
        </w:rPr>
        <w:t xml:space="preserve">scripts/build_pooled_dataset.py</w:t>
      </w:r>
      <w:r>
        <w:t xml:space="preserve"> </w:t>
      </w:r>
      <w:r>
        <w:t xml:space="preserve">tái lập</w:t>
      </w:r>
      <w:r>
        <w:t xml:space="preserve"> </w:t>
      </w:r>
      <w:r>
        <w:rPr>
          <w:bCs/>
          <w:b/>
        </w:rPr>
        <w:t xml:space="preserve">quy trình</w:t>
      </w:r>
      <w:r>
        <w:t xml:space="preserve"> </w:t>
      </w:r>
      <w:r>
        <w:t xml:space="preserve">S1–S6 trên kho hiện</w:t>
      </w:r>
      <w:r>
        <w:t xml:space="preserve"> </w:t>
      </w:r>
      <w:r>
        <w:t xml:space="preserve">có và cho ra dòng dữ liệu kiểm chứng; các cỡ mẫu</w:t>
      </w:r>
      <w:r>
        <w:t xml:space="preserve"> </w:t>
      </w:r>
      <w:r>
        <w:rPr>
          <w:bCs/>
          <w:b/>
        </w:rPr>
        <w:t xml:space="preserve">chính thức</w:t>
      </w:r>
      <w:r>
        <w:t xml:space="preserve"> </w:t>
      </w:r>
      <w:r>
        <w:t xml:space="preserve">của luận án trên khung 50 nền</w:t>
      </w:r>
      <w:r>
        <w:t xml:space="preserve"> </w:t>
      </w:r>
      <w:r>
        <w:t xml:space="preserve">(88.869 mẫu mô tả / 81.022 N hồi quy M2 / 79.080 M5) được ước lượng trực tiếp từ kho dữ</w:t>
      </w:r>
      <w:r>
        <w:t xml:space="preserve"> </w:t>
      </w:r>
      <w:r>
        <w:t xml:space="preserve">liệu thô và là con số được trích dẫn trong Chương 3–4. Sai khác giữa hai lớp được công bố minh bạch để hội đồng kiểm chứng.</w:t>
      </w:r>
    </w:p>
    <w:bookmarkEnd w:id="236"/>
    <w:bookmarkStart w:id="237" w:name="a.4-hài-hòa-hóa-biến-số-bước-s3"/>
    <w:p>
      <w:pPr>
        <w:pStyle w:val="Heading2"/>
      </w:pPr>
      <w:r>
        <w:t xml:space="preserve">A.4 Hài hòa hóa biến số (Bước S3)</w:t>
      </w:r>
    </w:p>
    <w:p>
      <w:pPr>
        <w:pStyle w:val="FirstParagraph"/>
      </w:pPr>
      <w:r>
        <w:t xml:space="preserve">Thách thức cốt lõi của hợp nhất đa quốc gia là</w:t>
      </w:r>
      <w:r>
        <w:t xml:space="preserve"> </w:t>
      </w:r>
      <w:r>
        <w:rPr>
          <w:bCs/>
          <w:b/>
        </w:rPr>
        <w:t xml:space="preserve">dị biệt tên trường và mã hóa</w:t>
      </w:r>
      <w:r>
        <w:t xml:space="preserve"> </w:t>
      </w:r>
      <w:r>
        <w:t xml:space="preserve">giữa các</w:t>
      </w:r>
      <w:r>
        <w:t xml:space="preserve"> </w:t>
      </w:r>
      <w:r>
        <w:t xml:space="preserve">đợt khảo sát (ví dụ, một số đợt tách xuất khẩu trực tiếp/gián tiếp, một số gộp). Luận án xây</w:t>
      </w:r>
      <w:r>
        <w:t xml:space="preserve"> </w:t>
      </w:r>
      <w:r>
        <w:t xml:space="preserve">dựng một</w:t>
      </w:r>
      <w:r>
        <w:t xml:space="preserve"> </w:t>
      </w:r>
      <w:r>
        <w:rPr>
          <w:bCs/>
          <w:b/>
        </w:rPr>
        <w:t xml:space="preserve">lược đồ biến chung</w:t>
      </w:r>
      <w:r>
        <w:t xml:space="preserve"> </w:t>
      </w:r>
      <w:r>
        <w:t xml:space="preserve">ánh xạ về các module cốt lõi bất biến của bộ công cụ WBES</w:t>
      </w:r>
      <w:r>
        <w:t xml:space="preserve"> </w:t>
      </w:r>
      <w:r>
        <w:t xml:space="preserve">toàn cầu (World Bank, 2019). Các biến trọng tâm và quy tắc xây dựng:</w:t>
      </w:r>
    </w:p>
    <w:p>
      <w:pPr>
        <w:numPr>
          <w:ilvl w:val="0"/>
          <w:numId w:val="1023"/>
        </w:numPr>
        <w:pStyle w:val="Compact"/>
      </w:pPr>
      <w:r>
        <w:rPr>
          <w:bCs/>
          <w:b/>
        </w:rPr>
        <w:t xml:space="preserve">Năng suất lao động (biến phụ thuộc chính):</w:t>
      </w:r>
      <w:r>
        <w:t xml:space="preserve"> </w:t>
      </w:r>
      <m:oMath>
        <m:r>
          <m:rPr>
            <m:sty m:val="p"/>
          </m:rPr>
          <m:t>ln</m:t>
        </m:r>
        <m:d>
          <m:dPr>
            <m:begChr m:val="("/>
            <m:endChr m:val=")"/>
            <m:sepChr m:val=""/>
            <m:grow/>
          </m:dPr>
          <m:e>
            <m:r>
              <m:rPr>
                <m:nor/>
                <m:sty m:val="p"/>
              </m:rPr>
              <m:t>LP</m:t>
            </m:r>
          </m:e>
        </m:d>
        <m:r>
          <m:rPr>
            <m:sty m:val="p"/>
          </m:rPr>
          <m:t>=</m:t>
        </m:r>
        <m:r>
          <m:rPr>
            <m:sty m:val="p"/>
          </m:rPr>
          <m:t>ln</m:t>
        </m:r>
        <m:d>
          <m:dPr>
            <m:begChr m:val="("/>
            <m:endChr m:val=")"/>
            <m:sepChr m:val=""/>
            <m:grow/>
          </m:dPr>
          <m:e>
            <m:r>
              <m:rPr>
                <m:nor/>
                <m:sty m:val="p"/>
              </m:rPr>
              <m:t>doanh thu hàng năm</m:t>
            </m:r>
            <m:r>
              <m:rPr>
                <m:sty m:val="p"/>
              </m:rPr>
              <m:t>/</m:t>
            </m:r>
            <m:r>
              <m:rPr>
                <m:nor/>
                <m:sty m:val="p"/>
              </m:rPr>
              <m:t>số lao động toàn thời gian</m:t>
            </m:r>
          </m:e>
        </m:d>
      </m:oMath>
      <w:r>
        <w:t xml:space="preserve">, từ trường</w:t>
      </w:r>
      <w:r>
        <w:t xml:space="preserve"> </w:t>
      </w:r>
      <w:r>
        <w:rPr>
          <w:rStyle w:val="VerbatimChar"/>
        </w:rPr>
        <w:t xml:space="preserve">d2</w:t>
      </w:r>
      <w:r>
        <w:t xml:space="preserve"> </w:t>
      </w:r>
      <w:r>
        <w:t xml:space="preserve">(tổng doanh thu năm tài chính gần nhất) và</w:t>
      </w:r>
      <w:r>
        <w:t xml:space="preserve"> </w:t>
      </w:r>
      <w:r>
        <w:rPr>
          <w:rStyle w:val="VerbatimChar"/>
        </w:rPr>
        <w:t xml:space="preserve">l1</w:t>
      </w:r>
      <w:r>
        <w:t xml:space="preserve"> </w:t>
      </w:r>
      <w:r>
        <w:t xml:space="preserve">(lao động thường xuyên cuối kỳ). Lựa chọn năng suất lao động làm thước đo hiệu quả là phù hợp với dữ liệu WBES vốn không có giá thị trường (Combs et al., 2005; Richard et al., 2009).</w:t>
      </w:r>
    </w:p>
    <w:p>
      <w:pPr>
        <w:numPr>
          <w:ilvl w:val="0"/>
          <w:numId w:val="1023"/>
        </w:numPr>
        <w:pStyle w:val="Compact"/>
      </w:pPr>
      <w:r>
        <w:rPr>
          <w:bCs/>
          <w:b/>
        </w:rPr>
        <w:t xml:space="preserve">Cường độ quốc tế hóa (FSTS):</w:t>
      </w:r>
      <w:r>
        <w:t xml:space="preserve"> </w:t>
      </w:r>
      <w:r>
        <w:t xml:space="preserve">tổng tỷ trọng xuất khẩu trực tiếp và gián tiếp trên doanh thu, từ</w:t>
      </w:r>
      <w:r>
        <w:t xml:space="preserve"> </w:t>
      </w:r>
      <w:r>
        <w:rPr>
          <w:rStyle w:val="VerbatimChar"/>
        </w:rPr>
        <w:t xml:space="preserve">d3b</w:t>
      </w:r>
      <w:r>
        <w:t xml:space="preserve"> </w:t>
      </w:r>
      <w:r>
        <w:t xml:space="preserve">+</w:t>
      </w:r>
      <w:r>
        <w:t xml:space="preserve"> </w:t>
      </w:r>
      <w:r>
        <w:rPr>
          <w:rStyle w:val="VerbatimChar"/>
        </w:rPr>
        <w:t xml:space="preserve">d3c</w:t>
      </w:r>
      <w:r>
        <w:t xml:space="preserve">, giới hạn miền [0, 100]. Doanh nghiệp không xuất khẩu nhận giá trị FSTS = 0 (giá trị hợp lệ, không phải khuyết).</w:t>
      </w:r>
    </w:p>
    <w:p>
      <w:pPr>
        <w:numPr>
          <w:ilvl w:val="0"/>
          <w:numId w:val="1023"/>
        </w:numPr>
        <w:pStyle w:val="Compact"/>
      </w:pPr>
      <w:r>
        <w:rPr>
          <w:bCs/>
          <w:b/>
        </w:rPr>
        <w:t xml:space="preserve">Năng lực công nghệ (TCI) và chấp nhận số (DAI):</w:t>
      </w:r>
      <w:r>
        <w:t xml:space="preserve"> </w:t>
      </w:r>
      <w:r>
        <w:t xml:space="preserve">xây dựng từ các chỉ báo nhị phân (chứng nhận chất lượng quốc tế</w:t>
      </w:r>
      <w:r>
        <w:t xml:space="preserve"> </w:t>
      </w:r>
      <w:r>
        <w:rPr>
          <w:rStyle w:val="VerbatimChar"/>
        </w:rPr>
        <w:t xml:space="preserve">b8</w:t>
      </w:r>
      <w:r>
        <w:t xml:space="preserve">; công nghệ nước ngoài cấp phép; website</w:t>
      </w:r>
      <w:r>
        <w:t xml:space="preserve"> </w:t>
      </w:r>
      <w:r>
        <w:rPr>
          <w:rStyle w:val="VerbatimChar"/>
        </w:rPr>
        <w:t xml:space="preserve">c22b</w:t>
      </w:r>
      <w:r>
        <w:t xml:space="preserve">; email; thanh toán điện tử), tách biệt theo lập luận thuần khiết cấu trúc (construct purity) ở §2.1.3 và Coltman et al. (2008).</w:t>
      </w:r>
    </w:p>
    <w:p>
      <w:pPr>
        <w:numPr>
          <w:ilvl w:val="0"/>
          <w:numId w:val="1023"/>
        </w:numPr>
        <w:pStyle w:val="Compact"/>
      </w:pPr>
      <w:r>
        <w:rPr>
          <w:bCs/>
          <w:b/>
        </w:rPr>
        <w:t xml:space="preserve">Biến kiểm soát:</w:t>
      </w:r>
      <w:r>
        <w:t xml:space="preserve"> </w:t>
      </w:r>
      <w:r>
        <w:t xml:space="preserve">tuổi doanh nghiệp (từ</w:t>
      </w:r>
      <w:r>
        <w:t xml:space="preserve"> </w:t>
      </w:r>
      <w:r>
        <w:rPr>
          <w:rStyle w:val="VerbatimChar"/>
        </w:rPr>
        <w:t xml:space="preserve">b5</w:t>
      </w:r>
      <w:r>
        <w:t xml:space="preserve">), quy mô (log lao động), sở hữu nước ngoài, đặc điểm nhà quản trị, ngành ISIC.</w:t>
      </w:r>
    </w:p>
    <w:bookmarkEnd w:id="237"/>
    <w:bookmarkStart w:id="238" w:name="X416f14599a376c8f9173525fa72cdada272c4e0"/>
    <w:p>
      <w:pPr>
        <w:pStyle w:val="Heading2"/>
      </w:pPr>
      <w:r>
        <w:t xml:space="preserve">A.5 Xử lý tính so sánh tiền tệ: vấn đề và giải pháp</w:t>
      </w:r>
    </w:p>
    <w:p>
      <w:pPr>
        <w:pStyle w:val="FirstParagraph"/>
      </w:pPr>
      <w:r>
        <w:t xml:space="preserve">Một mối đe dọa hiệu lực (validity threat) đặc thù của pool đa quốc gia là</w:t>
      </w:r>
      <w:r>
        <w:t xml:space="preserve"> </w:t>
      </w:r>
      <w:r>
        <w:rPr>
          <w:bCs/>
          <w:b/>
        </w:rPr>
        <w:t xml:space="preserve">năng suất lao</w:t>
      </w:r>
      <w:r>
        <w:rPr>
          <w:bCs/>
          <w:b/>
        </w:rPr>
        <w:t xml:space="preserve"> </w:t>
      </w:r>
      <w:r>
        <w:rPr>
          <w:bCs/>
          <w:b/>
        </w:rPr>
        <w:t xml:space="preserve">động thô được biểu thị bằng nội tệ khác nhau</w:t>
      </w:r>
      <w:r>
        <w:t xml:space="preserve"> </w:t>
      </w:r>
      <w:r>
        <w:t xml:space="preserve">(ví dụ doanh thu/lao động của Việt Nam tính</w:t>
      </w:r>
      <w:r>
        <w:t xml:space="preserve"> </w:t>
      </w:r>
      <w:r>
        <w:t xml:space="preserve">bằng VND, của Singapore bằng SGD), khiến</w:t>
      </w:r>
      <w:r>
        <w:t xml:space="preserve"> </w:t>
      </w:r>
      <w:r>
        <w:rPr>
          <w:bCs/>
          <w:b/>
        </w:rPr>
        <w:t xml:space="preserve">mức</w:t>
      </w:r>
      <w:r>
        <w:t xml:space="preserve"> </w:t>
      </w:r>
      <w:r>
        <w:t xml:space="preserve">năng suất</w:t>
      </w:r>
      <w:r>
        <w:t xml:space="preserve"> </w:t>
      </w:r>
      <w:r>
        <w:rPr>
          <w:bCs/>
          <w:b/>
        </w:rPr>
        <w:t xml:space="preserve">không so sánh trực tiếp</w:t>
      </w:r>
      <w:r>
        <w:t xml:space="preserve"> </w:t>
      </w:r>
      <w:r>
        <w:t xml:space="preserve">giữa</w:t>
      </w:r>
      <w:r>
        <w:t xml:space="preserve"> </w:t>
      </w:r>
      <w:r>
        <w:t xml:space="preserve">các nước, một dạng</w:t>
      </w:r>
      <w:r>
        <w:t xml:space="preserve"> </w:t>
      </w:r>
      <w:r>
        <w:t xml:space="preserve">“</w:t>
      </w:r>
      <w:r>
        <w:t xml:space="preserve">ảo ảnh tiền tệ</w:t>
      </w:r>
      <w:r>
        <w:t xml:space="preserve">”</w:t>
      </w:r>
      <w:r>
        <w:t xml:space="preserve"> </w:t>
      </w:r>
      <w:r>
        <w:t xml:space="preserve">(currency artefact). Luận án xử lý vấn đề này theo hai</w:t>
      </w:r>
      <w:r>
        <w:t xml:space="preserve"> </w:t>
      </w:r>
      <w:r>
        <w:t xml:space="preserve">lớp bổ trợ:</w:t>
      </w:r>
    </w:p>
    <w:p>
      <w:pPr>
        <w:numPr>
          <w:ilvl w:val="0"/>
          <w:numId w:val="1024"/>
        </w:numPr>
        <w:pStyle w:val="Compact"/>
      </w:pPr>
      <w:r>
        <w:rPr>
          <w:bCs/>
          <w:b/>
        </w:rPr>
        <w:t xml:space="preserve">Chuẩn hóa within country–year:</w:t>
      </w:r>
      <w:r>
        <w:t xml:space="preserve"> </w:t>
      </w:r>
      <w:r>
        <w:t xml:space="preserve">năng suất lao động được chuẩn hóa z (trừ trung bình,</w:t>
      </w:r>
      <w:r>
        <w:t xml:space="preserve"> </w:t>
      </w:r>
      <w:r>
        <w:t xml:space="preserve">chia độ lệch chuẩn)</w:t>
      </w:r>
      <w:r>
        <w:t xml:space="preserve"> </w:t>
      </w:r>
      <w:r>
        <w:rPr>
          <w:bCs/>
          <w:b/>
        </w:rPr>
        <w:t xml:space="preserve">trong từng cặp nền kinh tế × năm</w:t>
      </w:r>
      <w:r>
        <w:t xml:space="preserve"> </w:t>
      </w:r>
      <w:r>
        <w:t xml:space="preserve">trước khi gộp, đưa mọi quan sát</w:t>
      </w:r>
      <w:r>
        <w:t xml:space="preserve"> </w:t>
      </w:r>
      <w:r>
        <w:t xml:space="preserve">về cùng thang vị thế tương đối trong phân phối nội bộ nước–năm. Phép biến đổi này loại bỏ</w:t>
      </w:r>
      <w:r>
        <w:t xml:space="preserve"> </w:t>
      </w:r>
      <w:r>
        <w:t xml:space="preserve">khác biệt đơn vị tiền tệ và mặt bằng giá, đồng thời bảo toàn cấu trúc biến thiên bên trong</w:t>
      </w:r>
      <w:r>
        <w:t xml:space="preserve"> </w:t>
      </w:r>
      <w:r>
        <w:t xml:space="preserve">mỗi nước (nơi nhận dạng quan hệ I–P diễn ra).</w:t>
      </w:r>
    </w:p>
    <w:p>
      <w:pPr>
        <w:numPr>
          <w:ilvl w:val="0"/>
          <w:numId w:val="1024"/>
        </w:numPr>
        <w:pStyle w:val="Compact"/>
      </w:pPr>
      <w:r>
        <w:rPr>
          <w:bCs/>
          <w:b/>
        </w:rPr>
        <w:t xml:space="preserve">Hiệu ứng cố định hai chiều (two-way fixed effects):</w:t>
      </w:r>
      <w:r>
        <w:t xml:space="preserve"> </w:t>
      </w:r>
      <w:r>
        <w:t xml:space="preserve">mọi mô hình hồi quy P7 đưa vào</w:t>
      </w:r>
      <w:r>
        <w:t xml:space="preserve"> </w:t>
      </w:r>
      <w:r>
        <w:rPr>
          <w:bCs/>
          <w:b/>
        </w:rPr>
        <w:t xml:space="preserve">hiệu ứng cố định nền kinh tế</w:t>
      </w:r>
      <w:r>
        <w:t xml:space="preserve"> </w:t>
      </w:r>
      <w:r>
        <w:t xml:space="preserve">và</w:t>
      </w:r>
      <w:r>
        <w:t xml:space="preserve"> </w:t>
      </w:r>
      <w:r>
        <w:rPr>
          <w:bCs/>
          <w:b/>
        </w:rPr>
        <w:t xml:space="preserve">hiệu ứng cố định năm</w:t>
      </w:r>
      <w:r>
        <w:t xml:space="preserve">. Hiệu ứng cố định nền hấp thụ</w:t>
      </w:r>
      <w:r>
        <w:t xml:space="preserve"> </w:t>
      </w:r>
      <w:r>
        <w:t xml:space="preserve">trọn vẹn mọi khác biệt</w:t>
      </w:r>
      <w:r>
        <w:t xml:space="preserve"> </w:t>
      </w:r>
      <w:r>
        <w:rPr>
          <w:bCs/>
          <w:b/>
        </w:rPr>
        <w:t xml:space="preserve">bất biến theo nước</w:t>
      </w:r>
      <w:r>
        <w:t xml:space="preserve"> </w:t>
      </w:r>
      <w:r>
        <w:t xml:space="preserve">(gồm đơn vị tiền tệ, mặt bằng giá, thể chế</w:t>
      </w:r>
      <w:r>
        <w:t xml:space="preserve"> </w:t>
      </w:r>
      <w:r>
        <w:t xml:space="preserve">nền, văn hóa), do đó hệ số quan hệ I–P được nhận dạng</w:t>
      </w:r>
      <w:r>
        <w:t xml:space="preserve"> </w:t>
      </w:r>
      <w:r>
        <w:rPr>
          <w:bCs/>
          <w:b/>
        </w:rPr>
        <w:t xml:space="preserve">từ biến thiên bên trong nước</w:t>
      </w:r>
      <w:r>
        <w:t xml:space="preserve"> </w:t>
      </w:r>
      <w:r>
        <w:t xml:space="preserve">(within-country variation), miễn nhiễm với ảo ảnh tiền tệ ở mức (Wooldridge, 2010).</w:t>
      </w:r>
    </w:p>
    <w:p>
      <w:pPr>
        <w:pStyle w:val="FirstParagraph"/>
      </w:pPr>
      <w:r>
        <w:t xml:space="preserve">Hệ quả phương pháp luận quan trọng: vì lý do trên,</w:t>
      </w:r>
      <w:r>
        <w:t xml:space="preserve"> </w:t>
      </w:r>
      <w:r>
        <w:rPr>
          <w:bCs/>
          <w:b/>
        </w:rPr>
        <w:t xml:space="preserve">các so sánh mức năng suất thô giữa các</w:t>
      </w:r>
      <w:r>
        <w:rPr>
          <w:bCs/>
          <w:b/>
        </w:rPr>
        <w:t xml:space="preserve"> </w:t>
      </w:r>
      <w:r>
        <w:rPr>
          <w:bCs/>
          <w:b/>
        </w:rPr>
        <w:t xml:space="preserve">nước bị loại khỏi suy diễn</w:t>
      </w:r>
      <w:r>
        <w:t xml:space="preserve">; các so sánh giữa nhóm thể chế ICRV ở Chương 4 chỉ dùng</w:t>
      </w:r>
      <w:r>
        <w:t xml:space="preserve"> </w:t>
      </w:r>
      <w:r>
        <w:rPr>
          <w:bCs/>
          <w:b/>
        </w:rPr>
        <w:t xml:space="preserve">độ</w:t>
      </w:r>
      <w:r>
        <w:rPr>
          <w:bCs/>
          <w:b/>
        </w:rPr>
        <w:t xml:space="preserve"> </w:t>
      </w:r>
      <w:r>
        <w:rPr>
          <w:bCs/>
          <w:b/>
        </w:rPr>
        <w:t xml:space="preserve">phân tán</w:t>
      </w:r>
      <w:r>
        <w:t xml:space="preserve"> </w:t>
      </w:r>
      <w:r>
        <w:t xml:space="preserve">(đã chuẩn hóa/PPP–winsorize theo country–year) và</w:t>
      </w:r>
      <w:r>
        <w:t xml:space="preserve"> </w:t>
      </w:r>
      <w:r>
        <w:rPr>
          <w:bCs/>
          <w:b/>
        </w:rPr>
        <w:t xml:space="preserve">gradient điểm uốn</w:t>
      </w:r>
      <w:r>
        <w:t xml:space="preserve">, những</w:t>
      </w:r>
      <w:r>
        <w:t xml:space="preserve"> </w:t>
      </w:r>
      <w:r>
        <w:t xml:space="preserve">đại lượng bất biến với đơn vị tiền tệ (xem §4.1.1). Khi cần so sánh</w:t>
      </w:r>
      <w:r>
        <w:t xml:space="preserve"> </w:t>
      </w:r>
      <w:r>
        <w:rPr>
          <w:bCs/>
          <w:b/>
        </w:rPr>
        <w:t xml:space="preserve">mức</w:t>
      </w:r>
      <w:r>
        <w:t xml:space="preserve"> </w:t>
      </w:r>
      <w:r>
        <w:t xml:space="preserve">xuyên quốc gia,</w:t>
      </w:r>
      <w:r>
        <w:t xml:space="preserve"> </w:t>
      </w:r>
      <w:r>
        <w:t xml:space="preserve">luận án dùng tỷ suất không thứ nguyên (ví dụ ROS) hoặc điều chỉnh sức mua tương đương (PPP)</w:t>
      </w:r>
      <w:r>
        <w:t xml:space="preserve"> </w:t>
      </w:r>
      <w:r>
        <w:t xml:space="preserve">theo Bảng Penn World (Feenstra et al., 2015).</w:t>
      </w:r>
    </w:p>
    <w:bookmarkEnd w:id="238"/>
    <w:bookmarkStart w:id="239" w:name="Xcda44a616a0294a63022c370d6fafff6af411dd"/>
    <w:p>
      <w:pPr>
        <w:pStyle w:val="Heading2"/>
      </w:pPr>
      <w:r>
        <w:t xml:space="preserve">A.6 Chiến lược hợp nhất kinh tế lượng (pooled repeated cross-sections)</w:t>
      </w:r>
    </w:p>
    <w:p>
      <w:pPr>
        <w:pStyle w:val="FirstParagraph"/>
      </w:pPr>
      <w:r>
        <w:t xml:space="preserve">Vì dữ liệu là lát cắt ngang lặp lại chứ không phải panel, ước lượng tuân theo khung</w:t>
      </w:r>
      <w:r>
        <w:t xml:space="preserve"> </w:t>
      </w:r>
      <w:r>
        <w:rPr>
          <w:bCs/>
          <w:b/>
        </w:rPr>
        <w:t xml:space="preserve">pooled</w:t>
      </w:r>
      <w:r>
        <w:rPr>
          <w:bCs/>
          <w:b/>
        </w:rPr>
        <w:t xml:space="preserve"> </w:t>
      </w:r>
      <w:r>
        <w:rPr>
          <w:bCs/>
          <w:b/>
        </w:rPr>
        <w:t xml:space="preserve">cross-section với hiệu ứng cố định</w:t>
      </w:r>
      <w:r>
        <w:t xml:space="preserve"> </w:t>
      </w:r>
      <w:r>
        <w:t xml:space="preserve">thay vì mô hình panel động (Deaton, 1985; Wooldridge,</w:t>
      </w:r>
      <w:r>
        <w:t xml:space="preserve"> </w:t>
      </w:r>
      <w:r>
        <w:t xml:space="preserve">2010). Cụ thể, mô hình lõi của P7 có dạng bậc hai để nắm bắt quan hệ chữ U ngược (H1):</w:t>
      </w:r>
    </w:p>
    <w:p>
      <w:pPr>
        <w:pStyle w:val="BodyText"/>
      </w:pPr>
      <m:oMathPara>
        <m:oMathParaPr>
          <m:jc m:val="center"/>
        </m:oMathParaPr>
        <m:oMath>
          <m:r>
            <m:rPr>
              <m:sty m:val="p"/>
            </m:rPr>
            <m:t>ln</m:t>
          </m:r>
          <m:sSub>
            <m:e>
              <m:d>
                <m:dPr>
                  <m:begChr m:val="("/>
                  <m:endChr m:val=")"/>
                  <m:sepChr m:val=""/>
                  <m:grow/>
                </m:dPr>
                <m:e>
                  <m:r>
                    <m:rPr>
                      <m:nor/>
                      <m:sty m:val="p"/>
                    </m:rPr>
                    <m:t>LP</m:t>
                  </m:r>
                </m:e>
              </m:d>
            </m:e>
            <m:sub>
              <m:r>
                <m:t>i</m:t>
              </m:r>
              <m:r>
                <m:t>j</m:t>
              </m:r>
              <m:r>
                <m:t>t</m:t>
              </m:r>
            </m:sub>
          </m:sSub>
          <m:r>
            <m:rPr>
              <m:sty m:val="p"/>
            </m:rPr>
            <m:t>=</m:t>
          </m:r>
          <m:sSub>
            <m:e>
              <m:r>
                <m:t>β</m:t>
              </m:r>
            </m:e>
            <m:sub>
              <m:r>
                <m:t>1</m:t>
              </m:r>
            </m:sub>
          </m:sSub>
          <m:sSub>
            <m:e>
              <m:r>
                <m:rPr>
                  <m:nor/>
                  <m:sty m:val="p"/>
                </m:rPr>
                <m:t>FSTS</m:t>
              </m:r>
            </m:e>
            <m:sub>
              <m:r>
                <m:t>i</m:t>
              </m:r>
              <m:r>
                <m:t>j</m:t>
              </m:r>
              <m:r>
                <m:t>t</m:t>
              </m:r>
            </m:sub>
          </m:sSub>
          <m:r>
            <m:rPr>
              <m:sty m:val="p"/>
            </m:rPr>
            <m:t>+</m:t>
          </m:r>
          <m:sSub>
            <m:e>
              <m:r>
                <m:t>β</m:t>
              </m:r>
            </m:e>
            <m:sub>
              <m:r>
                <m:t>2</m:t>
              </m:r>
            </m:sub>
          </m:sSub>
          <m:sSubSup>
            <m:e>
              <m:r>
                <m:rPr>
                  <m:nor/>
                  <m:sty m:val="p"/>
                </m:rPr>
                <m:t>FSTS</m:t>
              </m:r>
            </m:e>
            <m:sub>
              <m:r>
                <m:t>i</m:t>
              </m:r>
              <m:r>
                <m:t>j</m:t>
              </m:r>
              <m:r>
                <m:t>t</m:t>
              </m:r>
            </m:sub>
            <m:sup>
              <m:r>
                <m:t>2</m:t>
              </m:r>
            </m:sup>
          </m:sSubSup>
          <m:r>
            <m:rPr>
              <m:sty m:val="p"/>
            </m:rPr>
            <m:t>+</m:t>
          </m:r>
          <m:sSub>
            <m:e>
              <m:r>
                <m:rPr>
                  <m:sty m:val="b"/>
                </m:rPr>
                <m:t>X</m:t>
              </m:r>
            </m:e>
            <m:sub>
              <m:r>
                <m:t>i</m:t>
              </m:r>
              <m:r>
                <m:t>j</m:t>
              </m:r>
              <m:r>
                <m:t>t</m:t>
              </m:r>
            </m:sub>
          </m:sSub>
          <m:r>
            <m:rPr>
              <m:sty m:val="b"/>
            </m:rPr>
            <m:t>γ</m:t>
          </m:r>
          <m:r>
            <m:rPr>
              <m:sty m:val="p"/>
            </m:rPr>
            <m:t>+</m:t>
          </m:r>
          <m:sSub>
            <m:e>
              <m:r>
                <m:t>α</m:t>
              </m:r>
            </m:e>
            <m:sub>
              <m:r>
                <m:t>j</m:t>
              </m:r>
            </m:sub>
          </m:sSub>
          <m:r>
            <m:rPr>
              <m:sty m:val="p"/>
            </m:rPr>
            <m:t>+</m:t>
          </m:r>
          <m:sSub>
            <m:e>
              <m:r>
                <m:t>τ</m:t>
              </m:r>
            </m:e>
            <m:sub>
              <m:r>
                <m:t>t</m:t>
              </m:r>
            </m:sub>
          </m:sSub>
          <m:r>
            <m:rPr>
              <m:sty m:val="p"/>
            </m:rPr>
            <m:t>+</m:t>
          </m:r>
          <m:sSub>
            <m:e>
              <m:r>
                <m:t>ε</m:t>
              </m:r>
            </m:e>
            <m:sub>
              <m:r>
                <m:t>i</m:t>
              </m:r>
              <m:r>
                <m:t>j</m:t>
              </m:r>
              <m:r>
                <m:t>t</m:t>
              </m:r>
            </m:sub>
          </m:sSub>
        </m:oMath>
      </m:oMathPara>
    </w:p>
    <w:p>
      <w:pPr>
        <w:pStyle w:val="FirstParagraph"/>
      </w:pPr>
      <w:r>
        <w:t xml:space="preserve">trong đó</w:t>
      </w:r>
      <w:r>
        <w:t xml:space="preserve"> </w:t>
      </w:r>
      <m:oMath>
        <m:r>
          <m:t>i</m:t>
        </m:r>
      </m:oMath>
      <w:r>
        <w:t xml:space="preserve"> </w:t>
      </w:r>
      <w:r>
        <w:t xml:space="preserve">là doanh nghiệp,</w:t>
      </w:r>
      <w:r>
        <w:t xml:space="preserve"> </w:t>
      </w:r>
      <m:oMath>
        <m:r>
          <m:t>j</m:t>
        </m:r>
      </m:oMath>
      <w:r>
        <w:t xml:space="preserve"> </w:t>
      </w:r>
      <w:r>
        <w:t xml:space="preserve">là nền kinh tế,</w:t>
      </w:r>
      <w:r>
        <w:t xml:space="preserve"> </w:t>
      </w:r>
      <m:oMath>
        <m:r>
          <m:t>t</m:t>
        </m:r>
      </m:oMath>
      <w:r>
        <w:t xml:space="preserve"> </w:t>
      </w:r>
      <w:r>
        <w:t xml:space="preserve">là năm khảo sát;</w:t>
      </w:r>
      <w:r>
        <w:t xml:space="preserve"> </w:t>
      </w:r>
      <m:oMath>
        <m:sSub>
          <m:e>
            <m:r>
              <m:t>α</m:t>
            </m:r>
          </m:e>
          <m:sub>
            <m:r>
              <m:t>j</m:t>
            </m:r>
          </m:sub>
        </m:sSub>
      </m:oMath>
      <w:r>
        <w:t xml:space="preserve"> </w:t>
      </w:r>
      <w:r>
        <w:t xml:space="preserve">và</w:t>
      </w:r>
      <w:r>
        <w:t xml:space="preserve"> </w:t>
      </w:r>
      <m:oMath>
        <m:sSub>
          <m:e>
            <m:r>
              <m:t>τ</m:t>
            </m:r>
          </m:e>
          <m:sub>
            <m:r>
              <m:t>t</m:t>
            </m:r>
          </m:sub>
        </m:sSub>
      </m:oMath>
      <w:r>
        <w:t xml:space="preserve"> </w:t>
      </w:r>
      <w:r>
        <w:t xml:space="preserve">lần lượt là hiệu ứng cố định nền và năm;</w:t>
      </w:r>
      <w:r>
        <w:t xml:space="preserve"> </w:t>
      </w:r>
      <m:oMath>
        <m:r>
          <m:rPr>
            <m:sty m:val="b"/>
          </m:rPr>
          <m:t>X</m:t>
        </m:r>
      </m:oMath>
      <w:r>
        <w:t xml:space="preserve"> </w:t>
      </w:r>
      <w:r>
        <w:t xml:space="preserve">là vector biến kiểm soát. Điểm uốn</w:t>
      </w:r>
      <w:r>
        <w:t xml:space="preserve"> </w:t>
      </w:r>
      <w:r>
        <w:t xml:space="preserve">(turning point) được tính</w:t>
      </w:r>
      <w:r>
        <w:t xml:space="preserve"> </w:t>
      </w:r>
      <m:oMath>
        <m:r>
          <m:rPr>
            <m:nor/>
            <m:sty m:val="p"/>
          </m:rPr>
          <m:t>TP</m:t>
        </m:r>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w:t>
      </w:r>
      <w:r>
        <w:t xml:space="preserve">và kiểm định bằng thủ tục</w:t>
      </w:r>
      <w:r>
        <w:t xml:space="preserve"> </w:t>
      </w:r>
      <w:r>
        <w:t xml:space="preserve">Lind–Mehlum (2010) cùng Sasabuchi để xác nhận tồn tại cực trị trong miền dữ liệu. Sai số</w:t>
      </w:r>
      <w:r>
        <w:t xml:space="preserve"> </w:t>
      </w:r>
      <w:r>
        <w:t xml:space="preserve">chuẩn được hiệu chỉnh phương sai thay đổi (heteroskedasticity-robust) và phân cụm theo nền</w:t>
      </w:r>
      <w:r>
        <w:t xml:space="preserve"> </w:t>
      </w:r>
      <w:r>
        <w:t xml:space="preserve">kinh tế nhằm phản ánh tương quan nội cụm của thiết kế khảo sát phân tầng (Cameron &amp; Trivedi,</w:t>
      </w:r>
      <w:r>
        <w:t xml:space="preserve"> </w:t>
      </w:r>
      <w:r>
        <w:t xml:space="preserve">2005; White, 1980). Bậc hai (quadratic) được ưu tiên hơn bậc ba (cubic) khi khối lượng phân</w:t>
      </w:r>
      <w:r>
        <w:t xml:space="preserve"> </w:t>
      </w:r>
      <w:r>
        <w:t xml:space="preserve">phối ở vùng FSTS cao không đủ để nhận dạng điểm uốn bậc ba một cách chính xác.</w:t>
      </w:r>
    </w:p>
    <w:bookmarkEnd w:id="239"/>
    <w:bookmarkStart w:id="240" w:name="a.7-phân-tầng-thể-chế-icrv-bước-s5"/>
    <w:p>
      <w:pPr>
        <w:pStyle w:val="Heading2"/>
      </w:pPr>
      <w:r>
        <w:t xml:space="preserve">A.7 Phân tầng thể chế ICRV (Bước S5)</w:t>
      </w:r>
    </w:p>
    <w:p>
      <w:pPr>
        <w:pStyle w:val="FirstParagraph"/>
      </w:pPr>
      <w:r>
        <w:t xml:space="preserve">Mỗi nền kinh tế được gán vào một trong sáu chế độ thể chế (Institutional Context Regime</w:t>
      </w:r>
      <w:r>
        <w:t xml:space="preserve"> </w:t>
      </w:r>
      <w:r>
        <w:t xml:space="preserve">Variation, ICRV) dựa trên tổ hợp các Chỉ số Quản trị Toàn cầu (Worldwide Governance</w:t>
      </w:r>
      <w:r>
        <w:t xml:space="preserve"> </w:t>
      </w:r>
      <w:r>
        <w:t xml:space="preserve">Indicators, WGI) của Kaufmann et al. (2011), mức phát triển kinh tế và đặc trưng cấu trúc</w:t>
      </w:r>
      <w:r>
        <w:t xml:space="preserve"> </w:t>
      </w:r>
      <w:r>
        <w:t xml:space="preserve">thể chế, mở rộng từ khung khoảng trống thể chế của Khanna và Palepu (2010). Việc gán nhóm</w:t>
      </w:r>
      <w:r>
        <w:t xml:space="preserve"> </w:t>
      </w:r>
      <w:r>
        <w:t xml:space="preserve">đòi hỏi đủ chỉ số WGI; các doanh nghiệp ở nước–năm thiếu chỉ số thể chế không được phân loại</w:t>
      </w:r>
      <w:r>
        <w:t xml:space="preserve"> </w:t>
      </w:r>
      <w:r>
        <w:t xml:space="preserve">(chênh lệch giữa 106.765 bản ghi thô và 96.415 bản ghi phân loại được ở Bước S5). Khung phân</w:t>
      </w:r>
      <w:r>
        <w:t xml:space="preserve"> </w:t>
      </w:r>
      <w:r>
        <w:t xml:space="preserve">tích cuối cùng giới hạn ở</w:t>
      </w:r>
      <w:r>
        <w:t xml:space="preserve"> </w:t>
      </w:r>
      <w:r>
        <w:rPr>
          <w:bCs/>
          <w:b/>
        </w:rPr>
        <w:t xml:space="preserve">50 nền kinh tế châu Á và Thái Bình Dương</w:t>
      </w:r>
      <w:r>
        <w:t xml:space="preserve"> </w:t>
      </w:r>
      <w:r>
        <w:t xml:space="preserve">(gồm Nhật Bản 2025), loại ba nền ngoài</w:t>
      </w:r>
      <w:r>
        <w:t xml:space="preserve"> </w:t>
      </w:r>
      <w:r>
        <w:t xml:space="preserve">khu vực (Comoros, Cyprus, Türkiye) khỏi mẫu phân tích chính trong khi vẫn giữ chúng ở pool</w:t>
      </w:r>
      <w:r>
        <w:t xml:space="preserve"> </w:t>
      </w:r>
      <w:r>
        <w:t xml:space="preserve">phân loại 52 nền cho mục đích độ vững (riêng Comoros được dùng trong kiểm định độ vững</w:t>
      </w:r>
      <w:r>
        <w:t xml:space="preserve"> </w:t>
      </w:r>
      <w:r>
        <w:t xml:space="preserve">mở rộng của P8).</w:t>
      </w:r>
    </w:p>
    <w:bookmarkEnd w:id="240"/>
    <w:bookmarkStart w:id="241" w:name="a.8-trọng-số-mẫu-và-tính-đại-diện"/>
    <w:p>
      <w:pPr>
        <w:pStyle w:val="Heading2"/>
      </w:pPr>
      <w:r>
        <w:t xml:space="preserve">A.8 Trọng số mẫu và tính đại diện</w:t>
      </w:r>
    </w:p>
    <w:p>
      <w:pPr>
        <w:pStyle w:val="FirstParagraph"/>
      </w:pPr>
      <w:r>
        <w:t xml:space="preserve">Vì thiết kế WBES là phân tầng với xác suất chọn không đều, các thống kê</w:t>
      </w:r>
      <w:r>
        <w:t xml:space="preserve"> </w:t>
      </w:r>
      <w:r>
        <w:rPr>
          <w:bCs/>
          <w:b/>
        </w:rPr>
        <w:t xml:space="preserve">mô tả cấp quần</w:t>
      </w:r>
      <w:r>
        <w:rPr>
          <w:bCs/>
          <w:b/>
        </w:rPr>
        <w:t xml:space="preserve"> </w:t>
      </w:r>
      <w:r>
        <w:rPr>
          <w:bCs/>
          <w:b/>
        </w:rPr>
        <w:t xml:space="preserve">thể</w:t>
      </w:r>
      <w:r>
        <w:t xml:space="preserve"> </w:t>
      </w:r>
      <w:r>
        <w:t xml:space="preserve">(population-level) cần dùng trọng số chọn mẫu để bảo đảm tính đại diện. Tuy nhiên, đối</w:t>
      </w:r>
      <w:r>
        <w:t xml:space="preserve"> </w:t>
      </w:r>
      <w:r>
        <w:t xml:space="preserve">với</w:t>
      </w:r>
      <w:r>
        <w:t xml:space="preserve"> </w:t>
      </w:r>
      <w:r>
        <w:rPr>
          <w:bCs/>
          <w:b/>
        </w:rPr>
        <w:t xml:space="preserve">suy diễn hồi quy có hiệu ứng cố định</w:t>
      </w:r>
      <w:r>
        <w:t xml:space="preserve">, luận án theo khuyến nghị của Solon, Haider và</w:t>
      </w:r>
      <w:r>
        <w:t xml:space="preserve"> </w:t>
      </w:r>
      <w:r>
        <w:t xml:space="preserve">Wooldridge (2015): khi mô hình đã kiểm soát các chiều phân tầng (quy mô, ngành qua biến kiểm</w:t>
      </w:r>
      <w:r>
        <w:t xml:space="preserve"> </w:t>
      </w:r>
      <w:r>
        <w:t xml:space="preserve">soát; nền qua hiệu ứng cố định), ước lượng OLS không trọng số cho hệ số nhất quán và thường</w:t>
      </w:r>
      <w:r>
        <w:t xml:space="preserve"> </w:t>
      </w:r>
      <w:r>
        <w:t xml:space="preserve">hiệu quả hơn; trọng số được dùng trong phân tích độ vững để kiểm tra tính ổn định. Cách tiếp</w:t>
      </w:r>
      <w:r>
        <w:t xml:space="preserve"> </w:t>
      </w:r>
      <w:r>
        <w:t xml:space="preserve">cận này cân bằng giữa tính đại diện và hiệu quả ước lượng một cách có luận chứng.</w:t>
      </w:r>
    </w:p>
    <w:bookmarkEnd w:id="241"/>
    <w:bookmarkStart w:id="242" w:name="a.9-xử-lý-dữ-liệu-thiếu-bước-s4-s6"/>
    <w:p>
      <w:pPr>
        <w:pStyle w:val="Heading2"/>
      </w:pPr>
      <w:r>
        <w:t xml:space="preserve">A.9 Xử lý dữ liệu thiếu (Bước S4 &amp; S6)</w:t>
      </w:r>
    </w:p>
    <w:p>
      <w:pPr>
        <w:pStyle w:val="FirstParagraph"/>
      </w:pPr>
      <w:r>
        <w:t xml:space="preserve">Mã không phản hồi của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Not Applicable</w:t>
      </w:r>
      <w:r>
        <w:t xml:space="preserve">) được mã hóa</w:t>
      </w:r>
      <w:r>
        <w:t xml:space="preserve"> </w:t>
      </w:r>
      <w:r>
        <w:t xml:space="preserve">nhất quán thành giá trị khuyết trước mọi phép tính. Mẫu phân tích áp dụng</w:t>
      </w:r>
      <w:r>
        <w:t xml:space="preserve"> </w:t>
      </w:r>
      <w:r>
        <w:rPr>
          <w:bCs/>
          <w:b/>
        </w:rPr>
        <w:t xml:space="preserve">xóa theo danh</w:t>
      </w:r>
      <w:r>
        <w:rPr>
          <w:bCs/>
          <w:b/>
        </w:rPr>
        <w:t xml:space="preserve"> </w:t>
      </w:r>
      <w:r>
        <w:rPr>
          <w:bCs/>
          <w:b/>
        </w:rPr>
        <w:t xml:space="preserve">sách</w:t>
      </w:r>
      <w:r>
        <w:t xml:space="preserve"> </w:t>
      </w:r>
      <w:r>
        <w:t xml:space="preserve">(listwise deletion) trên tập biến trọng tâm, khiến N giảm dần khi thêm biến kiểm soát</w:t>
      </w:r>
      <w:r>
        <w:t xml:space="preserve"> </w:t>
      </w:r>
      <w:r>
        <w:t xml:space="preserve">(rõ nhất ở biến sở hữu nước ngoài, khuyết ~50% ở các nền nhỏ và sóng sớm). Giả định nền tảng</w:t>
      </w:r>
      <w:r>
        <w:t xml:space="preserve"> </w:t>
      </w:r>
      <w:r>
        <w:t xml:space="preserve">là dữ liệu khuyết ngẫu nhiên có điều kiện (missing at random) trên các hiệp biến quan sát</w:t>
      </w:r>
      <w:r>
        <w:t xml:space="preserve"> </w:t>
      </w:r>
      <w:r>
        <w:t xml:space="preserve">được; luận án báo cáo minh bạch sự suy giảm N qua các đặc tả và kiểm tra tính ổn định của</w:t>
      </w:r>
      <w:r>
        <w:t xml:space="preserve"> </w:t>
      </w:r>
      <w:r>
        <w:t xml:space="preserve">điểm uốn để bảo đảm kết quả không bị chi phối bởi cơ chế khuyết (Little &amp; Rubin, 2019).</w:t>
      </w:r>
    </w:p>
    <w:bookmarkEnd w:id="242"/>
    <w:bookmarkStart w:id="243" w:name="a.10-khả-năng-tái-lập-và-hạn-chế"/>
    <w:p>
      <w:pPr>
        <w:pStyle w:val="Heading2"/>
      </w:pPr>
      <w:r>
        <w:t xml:space="preserve">A.10 Khả năng tái lập và hạn chế</w:t>
      </w:r>
    </w:p>
    <w:p>
      <w:pPr>
        <w:pStyle w:val="FirstParagraph"/>
      </w:pPr>
      <w:r>
        <w:rPr>
          <w:bCs/>
          <w:b/>
        </w:rPr>
        <w:t xml:space="preserve">Tái lập.</w:t>
      </w:r>
      <w:r>
        <w:t xml:space="preserve"> </w:t>
      </w:r>
      <w:r>
        <w:t xml:space="preserve">Toàn bộ quy trình được mã hóa xác định (deterministic) và công khai:</w:t>
      </w:r>
      <w:r>
        <w:t xml:space="preserve"> </w:t>
      </w:r>
      <w:r>
        <w:rPr>
          <w:rStyle w:val="VerbatimChar"/>
        </w:rPr>
        <w:t xml:space="preserve">scripts/wbes_canon.py</w:t>
      </w:r>
      <w:r>
        <w:t xml:space="preserve"> </w:t>
      </w:r>
      <w:r>
        <w:t xml:space="preserve">(chuẩn hóa định danh nước–năm, quy tắc lọc),</w:t>
      </w:r>
      <w:r>
        <w:t xml:space="preserve"> </w:t>
      </w:r>
      <w:r>
        <w:rPr>
          <w:rStyle w:val="VerbatimChar"/>
        </w:rPr>
        <w:t xml:space="preserve">scripts/build_pooled_dataset.py</w:t>
      </w:r>
      <w:r>
        <w:t xml:space="preserve"> </w:t>
      </w:r>
      <w:r>
        <w:t xml:space="preserve">(hợp nhất + hài hòa + dòng dữ liệu), với báo cáo</w:t>
      </w:r>
      <w:r>
        <w:t xml:space="preserve"> </w:t>
      </w:r>
      <w:r>
        <w:rPr>
          <w:rStyle w:val="VerbatimChar"/>
        </w:rPr>
        <w:t xml:space="preserve">data_wbes/analysis/pooled_dataflow.csv</w:t>
      </w:r>
      <w:r>
        <w:t xml:space="preserve">.</w:t>
      </w:r>
      <w:r>
        <w:t xml:space="preserve"> </w:t>
      </w:r>
      <w:r>
        <w:t xml:space="preserve">Việc xử lý do thiếu Stata được thực hiện bằng Python (pandas/numpy), một giải pháp thay thế</w:t>
      </w:r>
      <w:r>
        <w:t xml:space="preserve"> </w:t>
      </w:r>
      <w:r>
        <w:t xml:space="preserve">hợp lệ cho phân tích kinh tế lượng lát cắt ngang gộp khi không có license Stata.</w:t>
      </w:r>
    </w:p>
    <w:p>
      <w:pPr>
        <w:pStyle w:val="BodyText"/>
      </w:pPr>
      <w:r>
        <w:rPr>
          <w:bCs/>
          <w:b/>
        </w:rPr>
        <w:t xml:space="preserve">Hạn chế.</w:t>
      </w:r>
      <w:r>
        <w:t xml:space="preserve"> </w:t>
      </w:r>
      <w:r>
        <w:t xml:space="preserve">(i) Dữ liệu lát cắt ngang lặp lại không cho phép theo dõi quỹ đạo doanh nghiệp,</w:t>
      </w:r>
      <w:r>
        <w:t xml:space="preserve"> </w:t>
      </w:r>
      <w:r>
        <w:t xml:space="preserve">hạn chế suy diễn nhân quả động; (ii) năng suất lao động là proxy cho hiệu quả, không phải</w:t>
      </w:r>
      <w:r>
        <w:t xml:space="preserve"> </w:t>
      </w:r>
      <w:r>
        <w:t xml:space="preserve">TFPR trực tiếp; (iii) đo lường DAI bị giới hạn ở proxy website cấp nền tảng do ràng buộc dữ</w:t>
      </w:r>
      <w:r>
        <w:t xml:space="preserve"> </w:t>
      </w:r>
      <w:r>
        <w:t xml:space="preserve">liệu; (iv) kho thô tái lập hiện là tập con của bộ lắp ráp đầy đủ. Các hạn chế này được nêu</w:t>
      </w:r>
      <w:r>
        <w:t xml:space="preserve"> </w:t>
      </w:r>
      <w:r>
        <w:t xml:space="preserve">nhất quán với phần hạn chế ở Chương 5.</w:t>
      </w:r>
    </w:p>
    <w:p>
      <w:r>
        <w:pict>
          <v:rect style="width:0;height:1.5pt" o:hralign="center" o:hrstd="t" o:hr="t"/>
        </w:pict>
      </w:r>
    </w:p>
    <w:p>
      <w:pPr>
        <w:pStyle w:val="FirstParagraph"/>
      </w:pPr>
      <w:r>
        <w:rPr>
          <w:iCs/>
          <w:i/>
        </w:rPr>
        <w:t xml:space="preserve">Liên kết tập lệnh &amp; dữ liệu:</w:t>
      </w:r>
      <w:r>
        <w:rPr>
          <w:iCs/>
          <w:i/>
        </w:rPr>
        <w:t xml:space="preserve"> </w:t>
      </w:r>
      <w:r>
        <w:rPr>
          <w:rStyle w:val="VerbatimChar"/>
          <w:iCs/>
          <w:i/>
        </w:rPr>
        <w:t xml:space="preserve">scripts/build_pooled_dataset.py</w:t>
      </w:r>
      <w:r>
        <w:rPr>
          <w:iCs/>
          <w:i/>
        </w:rPr>
        <w:t xml:space="preserve">,</w:t>
      </w:r>
      <w:r>
        <w:rPr>
          <w:iCs/>
          <w:i/>
        </w:rPr>
        <w:t xml:space="preserve"> </w:t>
      </w:r>
      <w:r>
        <w:rPr>
          <w:rStyle w:val="VerbatimChar"/>
          <w:iCs/>
          <w:i/>
        </w:rPr>
        <w:t xml:space="preserve">scripts/wbes_canon.py</w:t>
      </w:r>
      <w:r>
        <w:rPr>
          <w:iCs/>
          <w:i/>
        </w:rPr>
        <w:t xml:space="preserve">,</w:t>
      </w:r>
      <w:r>
        <w:rPr>
          <w:iCs/>
          <w:i/>
        </w:rPr>
        <w:t xml:space="preserve"> </w:t>
      </w:r>
      <w:r>
        <w:rPr>
          <w:rStyle w:val="VerbatimChar"/>
          <w:iCs/>
          <w:i/>
        </w:rPr>
        <w:t xml:space="preserve">scripts/cd1_descriptives_pipeline.py</w:t>
      </w:r>
      <w:r>
        <w:rPr>
          <w:iCs/>
          <w:i/>
        </w:rPr>
        <w:t xml:space="preserve">;</w:t>
      </w:r>
      <w:r>
        <w:rPr>
          <w:iCs/>
          <w:i/>
        </w:rPr>
        <w:t xml:space="preserve"> </w:t>
      </w:r>
      <w:r>
        <w:rPr>
          <w:rStyle w:val="VerbatimChar"/>
          <w:iCs/>
          <w:i/>
        </w:rPr>
        <w:t xml:space="preserve">data_wbes/analysis/pooled_dataflow.csv</w:t>
      </w:r>
      <w:r>
        <w:rPr>
          <w:iCs/>
          <w:i/>
        </w:rPr>
        <w:t xml:space="preserve">,</w:t>
      </w:r>
      <w:r>
        <w:rPr>
          <w:iCs/>
          <w:i/>
        </w:rPr>
        <w:t xml:space="preserve"> </w:t>
      </w:r>
      <w:r>
        <w:rPr>
          <w:rStyle w:val="VerbatimChar"/>
          <w:iCs/>
          <w:i/>
        </w:rPr>
        <w:t xml:space="preserve">DATA_UPDATE_MANIFEST.md</w:t>
      </w:r>
      <w:r>
        <w:rPr>
          <w:iCs/>
          <w:i/>
        </w:rPr>
        <w:t xml:space="preserve">,</w:t>
      </w:r>
      <w:r>
        <w:rPr>
          <w:iCs/>
          <w:i/>
        </w:rPr>
        <w:t xml:space="preserve"> </w:t>
      </w:r>
      <w:r>
        <w:rPr>
          <w:rStyle w:val="VerbatimChar"/>
          <w:iCs/>
          <w:i/>
        </w:rPr>
        <w:t xml:space="preserve">CANONICAL_RECONCILIATION.md</w:t>
      </w:r>
      <w:r>
        <w:rPr>
          <w:iCs/>
          <w:i/>
        </w:rPr>
        <w:t xml:space="preserve">.</w:t>
      </w:r>
    </w:p>
    <w:p>
      <w:r>
        <w:br w:type="page"/>
      </w:r>
    </w:p>
    <w:bookmarkEnd w:id="243"/>
    <w:bookmarkEnd w:id="244"/>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7" Target="media/rId67.png" /><Relationship Type="http://schemas.openxmlformats.org/officeDocument/2006/relationships/image" Id="rId150" Target="media/rId15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2026-06-15T09:18:16Z</dcterms:created>
  <dcterms:modified xsi:type="dcterms:W3CDTF">2026-06-15T09:18:16Z</dcterms:modified>
</cp:coreProperties>
</file>

<file path=docProps/custom.xml><?xml version="1.0" encoding="utf-8"?>
<Properties xmlns="http://schemas.openxmlformats.org/officeDocument/2006/custom-properties" xmlns:vt="http://schemas.openxmlformats.org/officeDocument/2006/docPropsVTypes"/>
</file>