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49.png" ContentType="image/png"/>
  <Override PartName="/word/media/rId64.png" ContentType="image/png"/>
  <Override PartName="/word/media/rId58.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6e49602a40cc64ed14c452ca6f8935cac55689a"/>
    <w:p>
      <w:pPr>
        <w:pStyle w:val="Heading1"/>
      </w:pPr>
      <w:r>
        <w:t xml:space="preserve">CHUYÊN ĐỀ TIẾN SĨ SỐ 1 — THỰC TRẠNG VỀ HIỆU QUẢ HOẠT ĐỘNG KINH DOANH CỦA CÁC DOANH NGHIỆP Ở CHÂU Á</w:t>
      </w:r>
    </w:p>
    <w:p>
      <w:pPr>
        <w:pStyle w:val="BlockText"/>
      </w:pPr>
      <w:r>
        <w:t xml:space="preserve">Căn cứ Quyết định số 4768/QĐ-ĐHCT ngày 15/10/2024 của Hiệu trưởng Trường Đại học Cần Thơ về việc giao chuyên đề và tiểu luận tổng quan tiến sĩ.</w:t>
      </w:r>
      <w:r>
        <w:t xml:space="preserve"> </w:t>
      </w:r>
      <w:r>
        <w:t xml:space="preserve">Bố cục tuân thủ Hướng dẫn QĐ 1799/QĐ-ĐHCT (18/6/2021) — Phần 1 Thông tin chung + Phần 2 Nội dung chuyên đề (§2.1 Đặt vấn đề / §2.2 PPNC / §2.3 Kết quả+thảo luận / §2.4 Kết luận+đề xuất).</w:t>
      </w:r>
    </w:p>
    <w:bookmarkStart w:id="20" w:name="phần-1-thông-tin-chung"/>
    <w:p>
      <w:pPr>
        <w:pStyle w:val="Heading2"/>
      </w:pPr>
      <w:r>
        <w:t xml:space="preserve">PHẦN 1 — THÔNG TIN CHUNG</w:t>
      </w:r>
    </w:p>
    <w:p>
      <w:pPr>
        <w:pStyle w:val="BlockText"/>
      </w:pPr>
      <w:r>
        <w:t xml:space="preserve">Căn cứ Quyết định số 4768/QĐ-ĐHCT ngày 15/10/2024 (giao chuyên đề); Quyết định số 4769/QĐ-ĐHCT ngày 15/10/2024 (tên luận án:</w:t>
      </w:r>
      <w:r>
        <w:t xml:space="preserve"> </w:t>
      </w:r>
      <w:r>
        <w:t xml:space="preserve">“</w:t>
      </w:r>
      <w:r>
        <w:t xml:space="preserve">Châu Á</w:t>
      </w:r>
      <w:r>
        <w:t xml:space="preserve">”</w:t>
      </w:r>
      <w:r>
        <w:t xml:space="preserve">).</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End w:id="20"/>
    <w:bookmarkStart w:id="21"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1"/>
    <w:bookmarkStart w:id="22"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2"/>
    <w:bookmarkStart w:id="23" w:name="tóm-tắt"/>
    <w:p>
      <w:pPr>
        <w:pStyle w:val="Heading2"/>
      </w:pPr>
      <w:r>
        <w:t xml:space="preserve">TÓM TẮT</w:t>
      </w:r>
    </w:p>
    <w:p>
      <w:pPr>
        <w:pStyle w:val="FirstParagraph"/>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ICRV): Advanced đổi mới sáng tạo dẫn dắt (innovation-driven, 5 nước), Advanced tài nguyên dẫn dắt (resource-driven, 5 nước), Upper-middle (6 nước), Emerging (7 nước), Frontier (17 nước), và Quốc đảo nhỏ Thái Bình Dương (Small Island Developing States, SIDS, 7 nước,</w:t>
      </w:r>
      <w:r>
        <w:t xml:space="preserve"> </w:t>
      </w:r>
      <w:r>
        <w:rPr>
          <w:bCs/>
          <w:b/>
        </w:rPr>
        <w:t xml:space="preserve">boundary case extension</w:t>
      </w:r>
      <w:r>
        <w:t xml:space="preserve">).</w:t>
      </w:r>
    </w:p>
    <w:p>
      <w:pPr>
        <w:pStyle w:val="BlockText"/>
      </w:pPr>
      <w:r>
        <w:rPr>
          <w:bCs/>
          <w:b/>
        </w:rPr>
        <w:t xml:space="preserve">Lưu ý phạm vi (scope clarification)</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đặc biệt H6 (forced internationalization penalty) trong CĐ2. Chi tiết phân tích firm-level cho SIDS Pacific được trình bày trong phần phân tích các quốc đảo nhỏ Thái Bình Dương (SIDS) của luận án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sáu tiểu cảnh trong scope chính; SIDS Thái Bình Dương,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r>
        <w:pict>
          <v:rect style="width:0;height:1.5pt" o:hralign="center" o:hrstd="t" o:hr="t"/>
        </w:pict>
      </w:r>
    </w:p>
    <w:bookmarkEnd w:id="23"/>
    <w:bookmarkStart w:id="24"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w:t>
      </w:r>
      <w:r>
        <w:t xml:space="preserve"> </w:t>
      </w:r>
      <w:r>
        <w:rPr>
          <w:bCs/>
          <w:b/>
        </w:rPr>
        <w:t xml:space="preserve">boundary case extension</w:t>
      </w:r>
      <w:r>
        <w:t xml:space="preserve">).</w:t>
      </w:r>
    </w:p>
    <w:p>
      <w:pPr>
        <w:pStyle w:val="BlockText"/>
      </w:pPr>
      <w:r>
        <w:rPr>
          <w:bCs/>
          <w:b/>
        </w:rPr>
        <w:t xml:space="preserve">Scope clarification</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and Indian Ocean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and Indian Ocean SIDS (n=1,371,</w:t>
      </w:r>
      <w:r>
        <w:t xml:space="preserve"> </w:t>
      </w:r>
      <w:r>
        <w:rPr>
          <w:bCs/>
          <w:b/>
        </w:rPr>
        <w:t xml:space="preserve">1.4% of pool</w:t>
      </w:r>
      <w:r>
        <w:t xml:space="preserve">) does NOT belong to the primary scope but is included to illuminate Asian patterns through contrast, particularly H6 (forced internationalization penalty) in Specialty Essay 2. Detailed firm-level analysis for Pacific and Indian Ocean SIDS is presented in the dissertation’s own Pacific Small Island Developing States (SIDS) analysis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 orienting contributions for the dissertation and Specialty Essay 2.</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4"/>
    <w:bookmarkStart w:id="25"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5"/>
    <w:bookmarkStart w:id="26" w:name="danh-mục-bảng"/>
    <w:p>
      <w:pPr>
        <w:pStyle w:val="Heading2"/>
      </w:pPr>
      <w:r>
        <w:t xml:space="preserve">DANH MỤC BẢNG</w:t>
      </w:r>
    </w:p>
    <w:p>
      <w:pPr>
        <w:pStyle w:val="FirstParagraph"/>
      </w:pPr>
      <w:r>
        <w:t xml:space="preserve">(10 bảng từ §2.1 đến §2.3.3.1, danh mục tự động tạo khi xuất Word/PDF.)</w:t>
      </w:r>
    </w:p>
    <w:bookmarkEnd w:id="26"/>
    <w:bookmarkStart w:id="27" w:name="danh-mục-hình"/>
    <w:p>
      <w:pPr>
        <w:pStyle w:val="Heading2"/>
      </w:pPr>
      <w:r>
        <w:t xml:space="preserve">DANH MỤC HÌNH</w:t>
      </w:r>
    </w:p>
    <w:p>
      <w:pPr>
        <w:pStyle w:val="FirstParagraph"/>
      </w:pPr>
      <w:r>
        <w:t xml:space="preserve">(11 hình ở</w:t>
      </w:r>
      <w:r>
        <w:t xml:space="preserve"> </w:t>
      </w:r>
      <w:r>
        <w:rPr>
          <w:rStyle w:val="VerbatimChar"/>
        </w:rPr>
        <w:t xml:space="preserve">thesis/figures/</w:t>
      </w:r>
      <w:r>
        <w:t xml:space="preserve">, danh mục tự động tạo khi xuất Word/PDF.)</w:t>
      </w:r>
    </w:p>
    <w:bookmarkEnd w:id="27"/>
    <w:bookmarkStart w:id="28" w:name="danh-mục-từ-viết-tắt"/>
    <w:p>
      <w:pPr>
        <w:pStyle w:val="Heading2"/>
      </w:pPr>
      <w:r>
        <w:t xml:space="preserve">DANH MỤC TỪ VIẾT TẮT</w:t>
      </w:r>
    </w:p>
    <w:p>
      <w:pPr>
        <w:pStyle w:val="FirstParagraph"/>
      </w:pPr>
      <w:r>
        <w:t xml:space="preserve">(Hơn 30 từ viết tắt với giải thích Việt-Anh.)</w:t>
      </w:r>
    </w:p>
    <w:p>
      <w:r>
        <w:pict>
          <v:rect style="width:0;height:1.5pt" o:hralign="center" o:hrstd="t" o:hr="t"/>
        </w:pict>
      </w:r>
    </w:p>
    <w:bookmarkEnd w:id="28"/>
    <w:bookmarkStart w:id="104" w:name="phần-2-nội-dung-chuyên-đề"/>
    <w:p>
      <w:pPr>
        <w:pStyle w:val="Heading2"/>
      </w:pPr>
      <w:r>
        <w:t xml:space="preserve">PHẦN 2 — NỘI DUNG CHUYÊN ĐỀ</w:t>
      </w:r>
    </w:p>
    <w:bookmarkStart w:id="35" w:name="đặt-vấn-đề"/>
    <w:p>
      <w:pPr>
        <w:pStyle w:val="Heading3"/>
      </w:pPr>
      <w:r>
        <w:t xml:space="preserve">2.1 Đặt vấn đề</w:t>
      </w:r>
    </w:p>
    <w:bookmarkStart w:id="29" w:name="giới-thiệu"/>
    <w:p>
      <w:pPr>
        <w:pStyle w:val="Heading4"/>
      </w:pPr>
      <w:r>
        <w:t xml:space="preserve">2.1.1 Giới thiệu</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ctv.,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(tác giả, ghi chú phân tích nội bộ, 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VEFR) đã mở rộng phạm vi WBES đến 17 nền kinh tế châu Á mới nổi với ~40.633 doanh nghiệp, ghi nhận pattern</w:t>
      </w:r>
      <w:r>
        <w:t xml:space="preserve"> </w:t>
      </w:r>
      <w:r>
        <w:t xml:space="preserve">“</w:t>
      </w:r>
      <w:r>
        <w:rPr>
          <w:bCs/>
          <w:b/>
        </w:rPr>
        <w:t xml:space="preserve">hiệu ứng thay thế số cho thể chế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gấp 2,5 lần phạm vi của Đỗ &amp; Phan (2026, VEFR). Đây là phạm vi rộng nhất từng có cho nghiên cứu I→P trong các nghiên cứu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mục §2.3.1 chuyên đề)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Website không phải chiến lược marketing mà là cánh cửa duy nhất kết nối với thế giới</w:t>
      </w:r>
      <w:r>
        <w:t xml:space="preserve"> </w:t>
      </w:r>
      <w:r>
        <w:t xml:space="preserve">(tác giả, ghi chú phân tích nội bộ, 2026). Ẩn dụ này dẫn vào §2.6 (3 điều kiện cấu trúc của U-curve) và §2.3.2.7 (SIDS Pacific case mục §2.3.2–§2.4 chuyên đề), nơi điều kiện biên của lý thuyết Lu &amp; Beamish (2004) được thiết lập rõ ràng.</w:t>
      </w:r>
    </w:p>
    <w:bookmarkEnd w:id="29"/>
    <w:bookmarkStart w:id="30" w:name="mục-tiêu-chuyên-đề"/>
    <w:p>
      <w:pPr>
        <w:pStyle w:val="Heading4"/>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các nghiên cứu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30"/>
    <w:bookmarkStart w:id="31" w:name="nội-dung-phương-pháp-tiếp-cận-tổng-quan"/>
    <w:p>
      <w:pPr>
        <w:pStyle w:val="Heading4"/>
      </w:pPr>
      <w:r>
        <w:t xml:space="preserve">2.1.3 Nội dung (phương pháp tiếp cận tổng quan)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11 hình); (c) phân tích hai biến (bivariate). Khung PESTEL bổ trợ ở cấp độ giải thích bối cảnh.</w:t>
      </w:r>
    </w:p>
    <w:p>
      <w:pPr>
        <w:pStyle w:val="BodyText"/>
      </w:pPr>
      <w:r>
        <w:rPr>
          <w:bCs/>
          <w:b/>
        </w:rPr>
        <w:t xml:space="preserve">Áp dụng nguyên tắc transparent data section của Aguinis ctv. (2019,</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trong Spec 1, multi-component trong Spec 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theo Kafouros ctv. (2023,</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giải thích sự phân tán R&amp;D, ISO và TCI; (c)</w:t>
      </w:r>
      <w:r>
        <w:t xml:space="preserve"> </w:t>
      </w:r>
      <w:r>
        <w:rPr>
          <w:bCs/>
          <w:b/>
        </w:rPr>
        <w:t xml:space="preserve">trao đổi giữa các doanh nghiệp</w:t>
      </w:r>
      <w:r>
        <w:t xml:space="preserve"> </w:t>
      </w:r>
      <w:r>
        <w:t xml:space="preserve">(interfirm market exchange), giải thích phân tán năng suất nội bộ. Khung 3 cơ chế này là cơ sở để CĐ2 thiết lập các mô hình điều tiết (moderation) cho giả thuyết H7 mới: tương tác giữa chất lượng thể chế và động học ngành (industry × institutional dynamism interaction).</w:t>
      </w:r>
    </w:p>
    <w:p>
      <w:pPr>
        <w:pStyle w:val="BodyText"/>
      </w:pPr>
      <w:r>
        <w:rPr>
          <w:bCs/>
          <w:b/>
        </w:rPr>
        <w:t xml:space="preserve">Khung 3 trụ cột bổ sung theo IFC Private Sector Development Blueprint</w:t>
      </w:r>
      <w:r>
        <w:t xml:space="preserve">: Báo cáo IFC (n.d.,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lao động, tài chính, năng lượng, internet); (iii)</w:t>
      </w:r>
      <w:r>
        <w:t xml:space="preserve"> </w:t>
      </w:r>
      <w:r>
        <w:rPr>
          <w:bCs/>
          <w:b/>
        </w:rPr>
        <w:t xml:space="preserve">động lực thị trường</w:t>
      </w:r>
      <w:r>
        <w:t xml:space="preserve"> </w:t>
      </w:r>
      <w:r>
        <w:t xml:space="preserve">(market dynamics: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§2.3.3 yếu tố giải thích trong CĐ1 v3.x,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Hệ thống phân loại quốc gia FY26 + n.d., Tài liệu tóm tắt chỉ số Enterprise Surveys; file 04 v2.5).</w:t>
      </w:r>
    </w:p>
    <w:bookmarkEnd w:id="31"/>
    <w:bookmarkStart w:id="32" w:name="giới-hạn-phạm-vi-và-đối-tượng-nghiên-cứu"/>
    <w:p>
      <w:pPr>
        <w:pStyle w:val="Heading4"/>
      </w:pPr>
      <w:r>
        <w:t xml:space="preserve">2.1.4 Giới hạn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vì các ngành này có cấu trúc thể chế đặc thù không phù hợp với khung phân tích doanh nghiệp tư nhân chính thức (cited World Bank, n.d.,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biên giới Đông – Tây Á về địa lý).</w:t>
      </w:r>
    </w:p>
    <w:p>
      <w:pPr>
        <w:pStyle w:val="BlockText"/>
      </w:pPr>
      <w:r>
        <w:rPr>
          <w:bCs/>
          <w:b/>
        </w:rPr>
        <w:t xml:space="preserve">Lưu ý phân biệt phạm vi ICRV vs WB geographic scope</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w:t>
      </w:r>
      <w:r>
        <w:t xml:space="preserve"> </w:t>
      </w:r>
      <w:r>
        <w:t xml:space="preserve">“</w:t>
      </w:r>
      <w:r>
        <w:t xml:space="preserve">Emerging/Central Asia</w:t>
      </w:r>
      <w:r>
        <w:t xml:space="preserve">”</w:t>
      </w:r>
      <w:r>
        <w:t xml:space="preserve"> </w:t>
      </w:r>
      <w:r>
        <w:t xml:space="preserve">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ctv.,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đảm bảo so sánh nhất quán với các nghiên cứu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đặc biệt H6 (forced internationalization penalty) trong Chuyên đề 2. Kiribati 2025 với FSTS 1,03%, FDI 0,7%, website 18,7% là extreme nhất pool (xem §2.3.2.7);</w:t>
      </w:r>
    </w:p>
    <w:p>
      <w:pPr>
        <w:numPr>
          <w:ilvl w:val="0"/>
          <w:numId w:val="1004"/>
        </w:numPr>
      </w:pPr>
      <w:r>
        <w:rPr>
          <w:bCs/>
          <w:b/>
        </w:rPr>
        <w:t xml:space="preserve">Lý thuyết phenomenon-based</w:t>
      </w:r>
      <w:r>
        <w:t xml:space="preserve"> </w:t>
      </w:r>
      <w:r>
        <w:t xml:space="preserve">(Meyer ctv.,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đặc biệt §2.3.2.7 SIDS Thái Bình Dương và §2.4.3.1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Bertram, 2006; vulnerability, Briguglio, 1995) được trình bày trong</w:t>
      </w:r>
      <w:r>
        <w:t xml:space="preserve"> </w:t>
      </w:r>
      <w:r>
        <w:rPr>
          <w:bCs/>
          <w:b/>
        </w:rPr>
        <w:t xml:space="preserve">phần phân tích các quốc đảo nhỏ Thái Bình Dương (SIDS) của luận án</w:t>
      </w:r>
      <w:r>
        <w:t xml:space="preserve"> </w:t>
      </w:r>
      <w:r>
        <w:t xml:space="preserve">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gồm năng suất lao động, lợi nhuận, tăng trưởng, đổi mới sáng tạo, cấu trúc doanh nghiệp.</w:t>
      </w:r>
    </w:p>
    <w:bookmarkEnd w:id="32"/>
    <w:bookmarkStart w:id="33" w:name="ý-nghĩa-và-đóng-góp-dự-kiến"/>
    <w:p>
      <w:pPr>
        <w:pStyle w:val="Heading4"/>
      </w:pPr>
      <w:r>
        <w:t xml:space="preserve">2.1.5 Ý nghĩa và đóng góp dự kiến</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phạm vi rộng nhất trong các nghiên cứu IB hiện hành (Wu ctv.,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phát hiện lý thuyết mới chưa có trong các nghiên cứu hiện hành (kể cả Đỗ &amp; Phan, 2026, VEFR vốn chỉ tập trung emerging Asia). Tỷ số phân tán Singapore (1,03) so với Vùng Vịnh (0,49) ≈</w:t>
      </w:r>
      <w:r>
        <w:t xml:space="preserve"> </w:t>
      </w:r>
      <w:r>
        <w:rPr>
          <w:bCs/>
          <w:b/>
        </w:rPr>
        <w:t xml:space="preserve">2,1 lần</w:t>
      </w:r>
      <w:r>
        <w:t xml:space="preserve"> </w:t>
      </w:r>
      <w:r>
        <w:t xml:space="preserve">(xem §2.3.2.2 + Hình 4.1).</w:t>
      </w:r>
    </w:p>
    <w:p>
      <w:pPr>
        <w:numPr>
          <w:ilvl w:val="0"/>
          <w:numId w:val="1005"/>
        </w:numPr>
      </w:pPr>
      <w:r>
        <w:rPr>
          <w:bCs/>
          <w:b/>
        </w:rPr>
        <w:t xml:space="preserve">Nhảy vọt số (digital leapfrog)</w:t>
      </w:r>
      <w:r>
        <w:t xml:space="preserve"> </w:t>
      </w:r>
      <w:r>
        <w:t xml:space="preserve">ở Frontier và Emerging châu Á 2018–2025, mở rộng pattern hiệu ứng thay thế số cho thể chế (digital shield effect) từ 17 nước (Đỗ &amp; Phan, 2026, VEFR) lên 47 nước (xem §2.3.1.4 và §2.3.1.6). Phân tách hai tầng (Tier) đo lường:</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multi-component, 5 thành phần: website + email + thanh toán di động (smartphone POS) + thương mại điện tử (e-commerce) + điện toán đám mây (cloud), đo trong Spec 2 2018–2025),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§2.3.1.4.5 mục §2.3.1 chuyên đề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bốn lần đảo dấu xuyên phân nhóm con thể chế (xem §2.3.3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w:t>
      </w:r>
      <w:r>
        <w:rPr>
          <w:bCs/>
          <w:b/>
        </w:rPr>
        <w:t xml:space="preserve"> </w:t>
      </w:r>
      <w:r>
        <w:rPr>
          <w:iCs/>
          <w:i/>
          <w:bCs/>
          <w:b/>
        </w:rPr>
        <w:t xml:space="preserve">Global Strategy Journal</w:t>
      </w:r>
      <w:r>
        <w:rPr>
          <w:bCs/>
          <w:b/>
        </w:rPr>
        <w:t xml:space="preserve">)</w:t>
      </w:r>
      <w:r>
        <w:t xml:space="preserve"> </w:t>
      </w:r>
      <w:r>
        <w:t xml:space="preserve">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§2.3.3 và §2.4.3.3).</w:t>
      </w:r>
      <w:r>
        <w:t xml:space="preserve"> </w:t>
      </w:r>
      <w:r>
        <w:rPr>
          <w:bCs/>
          <w:b/>
        </w:rPr>
        <w:t xml:space="preserve">Thứ hai</w:t>
      </w:r>
      <w:r>
        <w:t xml:space="preserve">,</w:t>
      </w:r>
      <w:r>
        <w:t xml:space="preserve"> </w:t>
      </w:r>
      <w:r>
        <w:rPr>
          <w:bCs/>
          <w:b/>
        </w:rPr>
        <w:t xml:space="preserve">Kafouros ctv. (2023,</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rPr>
          <w:iCs/>
          <w:i/>
        </w:rPr>
        <w:t xml:space="preserve">industry × institutional dynamism interaction effect</w:t>
      </w:r>
      <w:r>
        <w:t xml:space="preserve">) và cho biểu đồ Bảng 4.8.1 dynamism profile theo Kafouros (xem §2.3.1.8 mục §2.3.1 chuyên đề).</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bằng chứng firm-level đầu tiên trong các nghiên cứu IB cho hiện tượng này (xem §2.3.2.7).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minh họa qua tương phản. Chi tiết phân tích cho SIDS Pacific được trình bày trong phần phân tích các quốc đảo nhỏ Thái Bình Dương (SIDS) của luận án.</w:t>
      </w:r>
    </w:p>
    <w:bookmarkEnd w:id="33"/>
    <w:bookmarkStart w:id="34" w:name="kết-cấu-chuyên-đề"/>
    <w:p>
      <w:pPr>
        <w:pStyle w:val="Heading4"/>
      </w:pPr>
      <w:r>
        <w:t xml:space="preserve">2.1.6 Kết cấu chuyên đề</w:t>
      </w:r>
    </w:p>
    <w:p>
      <w:pPr>
        <w:pStyle w:val="FirstParagraph"/>
      </w:pPr>
      <w:r>
        <w:t xml:space="preserve">Phần 2 (Nội dung chuyên đề) gồm bốn mục theo chuẩn QĐ 1799/QĐ-ĐHCT: §2.1 Đặt vấn đề (giới thiệu, mục tiêu, nội dung, giới hạn, ý nghĩa); §2.2 Phương pháp nghiên cứu (cơ sở lý luận về hiệu quả hoạt động kinh doanh, khung phân loại 6 sub-regime ICRV, nguồn dữ liệu WBES và phương pháp mô tả-chẩn đoán); §2.3 Kết quả và thảo luận (thực trạng tổng thể 47 nền kinh tế châu Á 2009-2025 qua 10 chỉ báo §2.3.1.1-§2.3.1.10; bảy tiểu cảnh điển hình §2.3.2 gồm 6 quốc gia châu Á chính + 1 SIDS boundary case; các yếu tố giải thích sơ bộ §2.3.3); §2.4 Kết luận và đề xuất (khoảng trống nghiên cứu thực tiễn, kết luận chính, hàm ý cho luận án và Chuyên đề 2, hạn chế và kế hoạch hoàn thiện).</w:t>
      </w:r>
    </w:p>
    <w:p>
      <w:r>
        <w:pict>
          <v:rect style="width:0;height:1.5pt" o:hralign="center" o:hrstd="t" o:hr="t"/>
        </w:pict>
      </w:r>
    </w:p>
    <w:bookmarkEnd w:id="34"/>
    <w:bookmarkEnd w:id="35"/>
    <w:bookmarkStart w:id="41" w:name="phương-pháp-nghiên-cứu"/>
    <w:p>
      <w:pPr>
        <w:pStyle w:val="Heading3"/>
      </w:pPr>
      <w:r>
        <w:t xml:space="preserve">2.2 Phương pháp nghiên cứu</w:t>
      </w:r>
    </w:p>
    <w:bookmarkStart w:id="38" w:name="Xb7f628376877e6b3394a2ce7cb98209bea18ab9"/>
    <w:p>
      <w:pPr>
        <w:pStyle w:val="Heading4"/>
      </w:pPr>
      <w:r>
        <w:t xml:space="preserve">2.2.1 Cơ sở lý luận về hiệu quả hoạt động kinh doanh</w:t>
      </w:r>
    </w:p>
    <w:p>
      <w:pPr>
        <w:pStyle w:val="FirstParagraph"/>
      </w:pPr>
      <w:r>
        <w:t xml:space="preserve">(Năm tiểu mục đầy đủ §2.1–§2.5: khái niệm; chiều đo lường; meta-analysis; chuẩn hóa xuyên quốc gia; ba khung lý thuyết.)</w:t>
      </w:r>
    </w:p>
    <w:bookmarkStart w:id="36" w:name="X1a8b5920726a715638e9b692b5093988b2836eb"/>
    <w:p>
      <w:pPr>
        <w:pStyle w:val="Heading5"/>
      </w:pPr>
      <w:r>
        <w:t xml:space="preserve">2.2.1.1 Điều kiện biên cho U-curve Lu &amp; Beamish (2004)</w:t>
      </w:r>
    </w:p>
    <w:p>
      <w:pPr>
        <w:pStyle w:val="FirstParagraph"/>
      </w:pPr>
      <w:r>
        <w:t xml:space="preserve">Ghi chú phân tích nội bộ của tác giả (2026) lưu ý: việc nhét khái niệm</w:t>
      </w:r>
      <w:r>
        <w:t xml:space="preserve"> </w:t>
      </w:r>
      <w:r>
        <w:t xml:space="preserve">“</w:t>
      </w:r>
      <w:r>
        <w:t xml:space="preserve">chi phí buộc phải quốc tế hóa SIDS Pacific</w:t>
      </w:r>
      <w:r>
        <w:t xml:space="preserve">”</w:t>
      </w:r>
      <w:r>
        <w:t xml:space="preserve"> </w:t>
      </w:r>
      <w:r>
        <w:t xml:space="preserve">vào §2.3.1.4 mục §2.3.1 chuyên đề làm mờ ranh giới giữa hai loại điều tiết thể chế: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không phải dị biệt ngẫu nhiên mà là điều kiện biên (boundary condition,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mục §2.3.1 chuyên đề/16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ctv. (2018); Banalieva &amp; Dhanaraj (2019); Xu (2024) cho de jure–de facto gap ở trạng thái B; tác giả, ghi chú phân tích nội bộ (2026).</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tách 3 trạng thái thay vì gộp;</w:t>
      </w:r>
      <w:r>
        <w:t xml:space="preserve"> </w:t>
      </w:r>
      <w:r>
        <w:t xml:space="preserve">-</w:t>
      </w:r>
      <w:r>
        <w:t xml:space="preserve"> </w:t>
      </w:r>
      <w:r>
        <w:rPr>
          <w:bCs/>
          <w:b/>
        </w:rPr>
        <w:t xml:space="preserve">§2.3.2.2 (Singapore archetype)</w:t>
      </w:r>
      <w:r>
        <w:t xml:space="preserve"> </w:t>
      </w:r>
      <w:r>
        <w:t xml:space="preserve">+</w:t>
      </w:r>
      <w:r>
        <w:t xml:space="preserve"> </w:t>
      </w:r>
      <w:r>
        <w:rPr>
          <w:bCs/>
          <w:b/>
        </w:rPr>
        <w:t xml:space="preserve">§2.3.2.7 (Pacific and Indian Ocean SIDS case)</w:t>
      </w:r>
      <w:r>
        <w:t xml:space="preserve"> </w:t>
      </w:r>
      <w:r>
        <w:t xml:space="preserve">trong mục §2.3.2–§2.4 chuyên đề;</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Hệ số FSTS ở SIDS sẽ không-significant hoặc đảo dấu so với Advanced/Emerging.</w:t>
      </w:r>
    </w:p>
    <w:bookmarkEnd w:id="36"/>
    <w:bookmarkStart w:id="37" w:name="X71ac781f72fe6d265727e71a6fb014eb7d17761"/>
    <w:p>
      <w:pPr>
        <w:pStyle w:val="Heading5"/>
      </w:pPr>
      <w:r>
        <w:t xml:space="preserve">2.2.1.2 Khung 4-Tier chuyển đổi số và Mô hình năng lực số phụ thuộc bối cảnh (CDCM)</w:t>
      </w:r>
    </w:p>
    <w:p>
      <w:pPr>
        <w:pStyle w:val="FirstParagraph"/>
      </w:pPr>
      <w:r>
        <w:t xml:space="preserve">Việc đối chiếu phân tích Singapore và Việt Nam của luận án chỉ ra một construct validity gap quan trọng: DAI đo lường trong cả hai bối cảnh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trước khi báo cáo descriptive results,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ctv. (2021,</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CDCM)</w:t>
      </w:r>
      <w:r>
        <w:t xml:space="preserve">, đóng góp lý thuyết mới hợp nhất hai tuyến phân tích quốc gia.</w:t>
      </w:r>
      <w:r>
        <w:t xml:space="preserve"> </w:t>
      </w:r>
      <w:r>
        <w:rPr>
          <w:iCs/>
          <w:i/>
        </w:rPr>
        <w:t xml:space="preserve">Định vị xuyên portfolio:</w:t>
      </w:r>
      <w:r>
        <w:t xml:space="preserve"> </w:t>
      </w:r>
      <w:r>
        <w:t xml:space="preserve">CDCM ở đây là</w:t>
      </w:r>
      <w:r>
        <w:t xml:space="preserve"> </w:t>
      </w:r>
      <w:r>
        <w:rPr>
          <w:iCs/>
          <w:i/>
        </w:rPr>
        <w:t xml:space="preserve">lớp signature</w:t>
      </w:r>
      <w:r>
        <w:t xml:space="preserve"> </w:t>
      </w:r>
      <w:r>
        <w:t xml:space="preserve">(observable signature ở cấp doanh nghiệp) trong khung tích hợp ba lớp</w:t>
      </w:r>
      <w:r>
        <w:t xml:space="preserve"> </w:t>
      </w:r>
      <w:r>
        <w:rPr>
          <w:bCs/>
          <w:b/>
        </w:rPr>
        <w:t xml:space="preserve">CIMT–ICRV–CDCM</w:t>
      </w:r>
      <w:r>
        <w:t xml:space="preserve"> </w:t>
      </w:r>
      <w:r>
        <w:t xml:space="preserve">mà luận án phát triển ở Chương 2 §2.5.1–2.5.4. Cụ thể, CIMT (Capability–Institution Mismatch Theory) là cơ chế bao trùm tầm trung tích hợp ba kênh đã khẳng định trong văn liệu IB (rent protection, LoF attenuation, institutional-void amplification); ICRV là taxonomy phân loại bối cảnh thể chế; CDCM là bằng chứng quan sát được ở cấp doanh nghiệp dưới điều kiện số hóa. CĐ1 đóng vai trò</w:t>
      </w:r>
      <w:r>
        <w:t xml:space="preserve"> </w:t>
      </w:r>
      <w:r>
        <w:rPr>
          <w:iCs/>
          <w:i/>
        </w:rPr>
        <w:t xml:space="preserve">empirical genesis</w:t>
      </w:r>
      <w:r>
        <w:t xml:space="preserve"> </w:t>
      </w:r>
      <w:r>
        <w:t xml:space="preserve">của lớp CDCM thông qua đối chiếu Việt Nam–Singapore.</w:t>
      </w:r>
    </w:p>
    <w:p>
      <w:pPr>
        <w:pStyle w:val="BodyText"/>
      </w:pPr>
      <w:r>
        <w:t xml:space="preserve">CDCM hợp nhất phát hiện từ phân tích Singapore và Việt Nam của luận án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w:t>
      </w:r>
      <w:r>
        <w:t xml:space="preserve"> </w:t>
      </w:r>
      <w:r>
        <w:rPr>
          <w:iCs/>
          <w:i/>
        </w:rPr>
        <w:t xml:space="preserve">scarce advantage</w:t>
      </w:r>
      <w:r>
        <w:t xml:space="preserve"> </w:t>
      </w:r>
      <w:r>
        <w:t xml:space="preserve">giúp doanh nghiệp vượt rào cản quốc tế hóa (TCIz IV β=1,639, p&lt;,001 robust 2SLS). Singapore:</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theo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§2.3.1.4.5 ICT exclusion test mục §2.3.1 chuyên đề);</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replication pattern Singapore phân tích Singapore;</w:t>
      </w:r>
      <w:r>
        <w:t xml:space="preserve"> </w:t>
      </w:r>
      <w:r>
        <w:t xml:space="preserve">-</w:t>
      </w:r>
      <w:r>
        <w:t xml:space="preserve"> </w:t>
      </w:r>
      <w:r>
        <w:rPr>
          <w:bCs/>
          <w:b/>
        </w:rPr>
        <w:t xml:space="preserve">Robustness check #10</w:t>
      </w:r>
      <w:r>
        <w:t xml:space="preserve"> </w:t>
      </w:r>
      <w:r>
        <w:t xml:space="preserve">(mới): cross-validation construct boundary,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ctv. (2021); Bharadwaj ctv. (2013); Brynjolfsson &amp; McAfee (2014); Đỗ &amp; Phan (2026a,</w:t>
      </w:r>
      <w:r>
        <w:t xml:space="preserve"> </w:t>
      </w:r>
      <w:r>
        <w:rPr>
          <w:iCs/>
          <w:i/>
        </w:rPr>
        <w:t xml:space="preserve">VEFR</w:t>
      </w:r>
      <w:r>
        <w:t xml:space="preserve">); Coase (1937); Williamson (1985); Banalieva &amp; Dhanaraj (2019).</w:t>
      </w:r>
    </w:p>
    <w:p>
      <w:r>
        <w:pict>
          <v:rect style="width:0;height:1.5pt" o:hralign="center" o:hrstd="t" o:hr="t"/>
        </w:pict>
      </w:r>
    </w:p>
    <w:bookmarkEnd w:id="37"/>
    <w:bookmarkEnd w:id="38"/>
    <w:bookmarkStart w:id="39" w:name="khung-phân-loại-6-sub-regime-icrv"/>
    <w:p>
      <w:pPr>
        <w:pStyle w:val="Heading4"/>
      </w:pPr>
      <w:r>
        <w:t xml:space="preserve">2.2.2 Khung phân loại 6 sub-regime ICRV</w:t>
      </w:r>
    </w:p>
    <w:p>
      <w:pPr>
        <w:pStyle w:val="FirstParagraph"/>
      </w:pPr>
      <w:r>
        <w:t xml:space="preserve">(§3.1–§3.5 đầy đủ với Bảng 3.1, 3.2 và logic phân nhóm con. Hàng SIDS Pacific được giữ với phần làm rõ ở §1.3 rằng đây là phần mở rộng trường hợp biên.)</w:t>
      </w:r>
    </w:p>
    <w:p>
      <w:r>
        <w:pict>
          <v:rect style="width:0;height:1.5pt" o:hralign="center" o:hrstd="t" o:hr="t"/>
        </w:pict>
      </w:r>
    </w:p>
    <w:bookmarkEnd w:id="39"/>
    <w:bookmarkStart w:id="40" w:name="Xa4cbce00f46aae4bc9fb6aeff66349c57699688"/>
    <w:p>
      <w:pPr>
        <w:pStyle w:val="Heading4"/>
      </w:pPr>
      <w:r>
        <w:t xml:space="preserve">2.2.3 Nguồn dữ liệu WBES và phương pháp mô tả-chẩn đoán</w:t>
      </w:r>
    </w:p>
    <w:p>
      <w:pPr>
        <w:pStyle w:val="FirstParagraph"/>
      </w:pPr>
      <w:r>
        <w:t xml:space="preserve">Chuyên đề khai thác dữ liệu vi mô của</w:t>
      </w:r>
      <w:r>
        <w:t xml:space="preserve"> </w:t>
      </w:r>
      <w:r>
        <w:rPr>
          <w:iCs/>
          <w:i/>
        </w:rPr>
        <w:t xml:space="preserve">World Bank Enterprise Surveys (WBES)</w:t>
      </w:r>
      <w:r>
        <w:t xml:space="preserve"> </w:t>
      </w:r>
      <w:r>
        <w:t xml:space="preserve">trên 47 nền kinh tế châu Á và Thái Bình Dương trong giai đoạn 2009-2025, với tổng cộng 101.185 quan sát doanh nghiệp trên 108 cặp quốc gia × năm và 14 mốc khảo sát. Cấu trúc dữ liệu trải qua ba thế hệ lược đồ (PICS3 2009-2013; Standardized 2014-2018; BREADY/BEE 2019-2025) và đã được hài hòa theo</w:t>
      </w:r>
      <w:r>
        <w:t xml:space="preserve"> </w:t>
      </w:r>
      <w:r>
        <w:rPr>
          <w:iCs/>
          <w:i/>
        </w:rPr>
        <w:t xml:space="preserve">WBES harmonization protocol</w:t>
      </w:r>
      <w:r>
        <w:t xml:space="preserve"> </w:t>
      </w:r>
      <w:r>
        <w:t xml:space="preserve">trình bày ở Phụ lục A của luận án. Mẫu phân tích chính của chuyên đề tập trung vào</w:t>
      </w:r>
      <w:r>
        <w:t xml:space="preserve"> </w:t>
      </w:r>
      <w:r>
        <w:rPr>
          <w:iCs/>
          <w:i/>
        </w:rPr>
        <w:t xml:space="preserve">41 nền kinh tế châu Á trong scope chính của Quyết định 4769/QĐ-ĐHCT</w:t>
      </w:r>
      <w:r>
        <w:t xml:space="preserve"> </w:t>
      </w:r>
      <w:r>
        <w:t xml:space="preserve">(~99.814 doanh nghiệp), bổ sung 7 SIDS Thái Bình Dương (n=1.371, 1,4% pool) làm</w:t>
      </w:r>
      <w:r>
        <w:t xml:space="preserve"> </w:t>
      </w:r>
      <w:r>
        <w:rPr>
          <w:iCs/>
          <w:i/>
        </w:rPr>
        <w:t xml:space="preserve">trường hợp biên mở rộng</w:t>
      </w:r>
      <w:r>
        <w:t xml:space="preserve"> </w:t>
      </w:r>
      <w:r>
        <w:t xml:space="preserve">(boundary case extension) để minh họa các pattern châu Á qua tương phản.</w:t>
      </w:r>
    </w:p>
    <w:p>
      <w:pPr>
        <w:pStyle w:val="BodyText"/>
      </w:pPr>
      <w:r>
        <w:t xml:space="preserve">Phương pháp chủ đạo là</w:t>
      </w:r>
      <w:r>
        <w:t xml:space="preserve"> </w:t>
      </w:r>
      <w:r>
        <w:rPr>
          <w:iCs/>
          <w:i/>
        </w:rPr>
        <w:t xml:space="preserve">phân tích mô tả-chẩn đoán</w:t>
      </w:r>
      <w:r>
        <w:t xml:space="preserve"> </w:t>
      </w:r>
      <w:r>
        <w:t xml:space="preserve">(descriptive-diagnostic analysis) đa chiều, không phải kiểm định nhân quả. Mục tiêu của chuyên đề là</w:t>
      </w:r>
      <w:r>
        <w:t xml:space="preserve"> </w:t>
      </w:r>
      <w:r>
        <w:rPr>
          <w:iCs/>
          <w:i/>
        </w:rPr>
        <w:t xml:space="preserve">vẽ bản đồ thực trạng</w:t>
      </w:r>
      <w:r>
        <w:t xml:space="preserve"> </w:t>
      </w:r>
      <w:r>
        <w:t xml:space="preserve">hiệu quả hoạt động kinh doanh ở 47 nền kinh tế để định hướng câu hỏi nghiên cứu cho Chuyên đề 2 và luận án, chứ không phải đưa ra ước lượng nhân quả. Hiệu quả hoạt động kinh doanh được tiếp cận theo bốn chiều: (i)</w:t>
      </w:r>
      <w:r>
        <w:t xml:space="preserve"> </w:t>
      </w:r>
      <w:r>
        <w:rPr>
          <w:iCs/>
          <w:i/>
        </w:rPr>
        <w:t xml:space="preserve">năng suất lao động</w:t>
      </w:r>
      <w:r>
        <w:t xml:space="preserve"> </w:t>
      </w:r>
      <w:r>
        <w:t xml:space="preserve">(labor productivity, đo bằng log doanh thu/lao động); (ii)</w:t>
      </w:r>
      <w:r>
        <w:t xml:space="preserve"> </w:t>
      </w:r>
      <w:r>
        <w:rPr>
          <w:iCs/>
          <w:i/>
        </w:rPr>
        <w:t xml:space="preserve">lợi nhuận và biên lợi nhuận</w:t>
      </w:r>
      <w:r>
        <w:t xml:space="preserve"> </w:t>
      </w:r>
      <w:r>
        <w:t xml:space="preserve">(profit margin, ROA proxy); (iii)</w:t>
      </w:r>
      <w:r>
        <w:t xml:space="preserve"> </w:t>
      </w:r>
      <w:r>
        <w:rPr>
          <w:iCs/>
          <w:i/>
        </w:rPr>
        <w:t xml:space="preserve">tăng trưởng</w:t>
      </w:r>
      <w:r>
        <w:t xml:space="preserve"> </w:t>
      </w:r>
      <w:r>
        <w:t xml:space="preserve">(sales growth, employment growth); và (iv)</w:t>
      </w:r>
      <w:r>
        <w:t xml:space="preserve"> </w:t>
      </w:r>
      <w:r>
        <w:rPr>
          <w:iCs/>
          <w:i/>
        </w:rPr>
        <w:t xml:space="preserve">đổi mới sáng tạo và cấu trúc doanh nghiệp</w:t>
      </w:r>
      <w:r>
        <w:t xml:space="preserve"> </w:t>
      </w:r>
      <w:r>
        <w:t xml:space="preserve">(innovation activity, formal/informal status, gender ownership). Các công cụ phân tích bao gồm: thống kê mô tả phân vị, đồ thị phân bố (boxplot, kernel density), bảng so sánh chéo theo ICRV sub-regime và theo ngành (2-digit ISIC), và phân tích hai biến (bivariate analysis) giữa hiệu quả và các yếu tố thể chế / năng lực số / đặc điểm quản trị. Phân tích đa biến (multivariate regression) và kiểm định nhân quả thuộc phạm vi của Chuyên đề 2 và luận án.</w:t>
      </w:r>
    </w:p>
    <w:bookmarkEnd w:id="40"/>
    <w:bookmarkEnd w:id="41"/>
    <w:bookmarkStart w:id="93" w:name="kết-quả-và-thảo-luận"/>
    <w:p>
      <w:pPr>
        <w:pStyle w:val="Heading3"/>
      </w:pPr>
      <w:r>
        <w:t xml:space="preserve">2.3 Kết quả và thảo luận</w:t>
      </w:r>
    </w:p>
    <w:bookmarkStart w:id="77" w:name="Xa84786746cd8ccb733bfe9392856c0a0831b320"/>
    <w:p>
      <w:pPr>
        <w:pStyle w:val="Heading4"/>
      </w:pPr>
      <w:r>
        <w:t xml:space="preserve">2.3.1 Thực trạng tổng thể hiệu quả doanh nghiệp châu Á 2009-2025</w:t>
      </w:r>
    </w:p>
    <w:bookmarkStart w:id="48" w:name="X3f3f719f88bf0ed42bff718572107a40145c645"/>
    <w:p>
      <w:pPr>
        <w:pStyle w:val="Heading5"/>
      </w:pPr>
      <w:r>
        <w:t xml:space="preserve">2.3.1.1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17.107 doanh nghiệp.</w:t>
      </w:r>
    </w:p>
    <w:p>
      <w:pPr>
        <w:pStyle w:val="CaptionedFigure"/>
      </w:pPr>
      <w:r>
        <w:drawing>
          <wp:inline>
            <wp:extent cx="5753100" cy="3141580"/>
            <wp:effectExtent b="0" l="0" r="0" t="0"/>
            <wp:docPr descr="Hình 4.1.1, Phân bố pool 5 phân nhóm con thể chế (n=101.185 doanh nghiệp)" title="" id="43" name="Picture"/>
            <a:graphic>
              <a:graphicData uri="http://schemas.openxmlformats.org/drawingml/2006/picture">
                <pic:pic>
                  <pic:nvPicPr>
                    <pic:cNvPr descr="figures/fig_4_1_pool_composition.png" id="44" name="Picture"/>
                    <pic:cNvPicPr>
                      <a:picLocks noChangeArrowheads="1" noChangeAspect="1"/>
                    </pic:cNvPicPr>
                  </pic:nvPicPr>
                  <pic:blipFill>
                    <a:blip r:embed="rId42"/>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4.1.1, Phân bố pool 5 phân nhóm con thể chế (n=101.185 doanh nghiệp)</w:t>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CaptionedFigure"/>
      </w:pPr>
      <w:r>
        <w:drawing>
          <wp:inline>
            <wp:extent cx="5753100" cy="2577276"/>
            <wp:effectExtent b="0" l="0" r="0" t="0"/>
            <wp:docPr descr="Hình 4.0, Phân bố mẫu 101.185 doanh nghiệp xuyên 17 năm (2009–2025) theo 3 thế hệ schema WBES" title="" id="46" name="Picture"/>
            <a:graphic>
              <a:graphicData uri="http://schemas.openxmlformats.org/drawingml/2006/picture">
                <pic:pic>
                  <pic:nvPicPr>
                    <pic:cNvPr descr="figures/fig_4_0_pool_by_year.png" id="47" name="Picture"/>
                    <pic:cNvPicPr>
                      <a:picLocks noChangeArrowheads="1" noChangeAspect="1"/>
                    </pic:cNvPicPr>
                  </pic:nvPicPr>
                  <pic:blipFill>
                    <a:blip r:embed="rId45"/>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4.0, Phân bố mẫu 101.185 doanh nghiệp xuyên 17 năm (2009–2025) theo 3 thế hệ schema WBES</w:t>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17.107 doanh nghiệp = 16,9%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48"/>
    <w:bookmarkStart w:id="52" w:name="Xdd19b3ee5869884c11531c8fa1248eb07b4817a"/>
    <w:p>
      <w:pPr>
        <w:pStyle w:val="Heading5"/>
      </w:pPr>
      <w:r>
        <w:t xml:space="preserve">2.3.1.2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(mẫu phụ đủ dữ liệu năng suất, productivity-complete subset).</w:t>
      </w:r>
    </w:p>
    <w:p>
      <w:pPr>
        <w:pStyle w:val="BlockText"/>
      </w:pPr>
      <w:r>
        <w:rPr>
          <w:bCs/>
          <w:b/>
        </w:rPr>
        <w:t xml:space="preserve">Ghi chú đầu bảng (header note)</w:t>
      </w:r>
      <w:r>
        <w:t xml:space="preserve">: Cột</w:t>
      </w:r>
      <w:r>
        <w:t xml:space="preserve"> </w:t>
      </w:r>
      <w:r>
        <w:rPr>
          <w:rStyle w:val="VerbatimChar"/>
        </w:rPr>
        <w:t xml:space="preserve">n_firms</w:t>
      </w:r>
      <w:r>
        <w:t xml:space="preserve"> </w:t>
      </w:r>
      <w:r>
        <w:t xml:space="preserve">ở Bảng 4.1 là</w:t>
      </w:r>
      <w:r>
        <w:t xml:space="preserve"> </w:t>
      </w:r>
      <w:r>
        <w:rPr>
          <w:bCs/>
          <w:b/>
        </w:rPr>
        <w:t xml:space="preserve">số doanh nghiệp có đầy đủ dữ liệu log năng suất</w:t>
      </w:r>
      <w:r>
        <w:t xml:space="preserve"> </w:t>
      </w:r>
      <w:r>
        <w:t xml:space="preserve">(productivity-complete subset, n=86.457), khác với</w:t>
      </w:r>
      <w:r>
        <w:t xml:space="preserve"> </w:t>
      </w:r>
      <w:r>
        <w:rPr>
          <w:bCs/>
          <w:b/>
        </w:rPr>
        <w:t xml:space="preserve">tổng pool mô tả là 101.185 doanh nghiệp</w:t>
      </w:r>
      <w:r>
        <w:t xml:space="preserve"> </w:t>
      </w:r>
      <w:r>
        <w:t xml:space="preserve">(Mục 4.1, dùng cho các thống kê không đòi hỏi biến năng suất). Tương tự, cột</w:t>
      </w:r>
      <w:r>
        <w:t xml:space="preserve"> </w:t>
      </w:r>
      <w:r>
        <w:rPr>
          <w:rStyle w:val="VerbatimChar"/>
        </w:rPr>
        <w:t xml:space="preserve">Cặp QG×năm</w:t>
      </w:r>
      <w:r>
        <w:t xml:space="preserve"> </w:t>
      </w:r>
      <w:r>
        <w:t xml:space="preserve">ở đây đếm số cặp quốc gia × năm còn lại sau khi loại các cặp không đủ quan sát để ước lượng phân tán năng suất, nên cộng bằng</w:t>
      </w:r>
      <w:r>
        <w:t xml:space="preserve"> </w:t>
      </w:r>
      <w:r>
        <w:rPr>
          <w:bCs/>
          <w:b/>
        </w:rPr>
        <w:t xml:space="preserve">103 cặp</w:t>
      </w:r>
      <w:r>
        <w:t xml:space="preserve"> </w:t>
      </w:r>
      <w:r>
        <w:t xml:space="preserve">chứ không phải 108 cặp của tổng pool.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tỷ số phân tán Singapore (1,03) so với Vùng Vịnh (0,49) ≈</w:t>
      </w:r>
      <w:r>
        <w:rPr>
          <w:iCs/>
          <w:i/>
        </w:rPr>
        <w:t xml:space="preserve"> </w:t>
      </w:r>
      <w:r>
        <w:rPr>
          <w:bCs/>
          <w:b/>
          <w:iCs/>
          <w:i/>
        </w:rPr>
        <w:t xml:space="preserve">2,1 lần</w:t>
      </w:r>
      <w:r>
        <w:rPr>
          <w:iCs/>
          <w:i/>
        </w:rPr>
        <w:t xml:space="preserve">. SIDS row gồm Kiribati 2025 (n=150, sd log 1,48).</w:t>
      </w:r>
    </w:p>
    <w:p>
      <w:pPr>
        <w:pStyle w:val="BodyText"/>
      </w:pPr>
      <w:r>
        <w:rPr>
          <w:iCs/>
          <w:i/>
        </w:rPr>
        <w:t xml:space="preserve">Ghi chú đối chiếu n_firms (Bảng 4.1 vs Mục 4.1)</w:t>
      </w:r>
      <w:r>
        <w:t xml:space="preserve">: Chênh lệch giữa tổng pool mô tả (101.185) và mẫu phụ đủ dữ liệu năng suất (86.457, ≈ −14,6%) là hệ quả của ràng buộc khả dụng đồng thời ba biến cấu thành log năng suất (doanh thu, số lao động, năm tham chiếu). Mức loại bỏ không đồng đều giữa các phân nhóm con: Advanced −10,8%, Upper-middle −9,1%, Emerging −5,1%, SIDS −20,0%, và</w:t>
      </w:r>
      <w:r>
        <w:t xml:space="preserve"> </w:t>
      </w:r>
      <w:r>
        <w:rPr>
          <w:bCs/>
          <w:b/>
        </w:rPr>
        <w:t xml:space="preserve">Frontier mất nhiều nhất (−34,2%, từ 28.678 còn 18.877)</w:t>
      </w:r>
      <w:r>
        <w:t xml:space="preserve">. Tỷ lệ loại bỏ Frontier cao bất thường vì nhóm này tập hợp các nền kinh tế dùng schema PICS3/MENA-WBES cũ (2009–2012) cùng các vùng xung đột (Afghanistan, Yemen, Iraq) nơi câu hỏi doanh thu (</w:t>
      </w:r>
      <w:r>
        <w:rPr>
          <w:rStyle w:val="VerbatimChar"/>
        </w:rPr>
        <w:t xml:space="preserve">d2</w:t>
      </w:r>
      <w:r>
        <w:t xml:space="preserve">) và số lao động (</w:t>
      </w:r>
      <w:r>
        <w:rPr>
          <w:rStyle w:val="VerbatimChar"/>
        </w:rPr>
        <w:t xml:space="preserve">l1</w:t>
      </w:r>
      <w:r>
        <w:t xml:space="preserve">) có tỷ lệ khuyết và từ chối trả lời cao, đồng thời nhiều doanh nghiệp Frontier chỉ khai báo biến mô tả (website, FDI) mà bỏ trống biến tài chính cần để dựng log năng suất. Vì vậy các trị số mô tả không đòi hỏi năng suất (FSTS, website, đổi mới ở Bảng 4.3–4.6) vẫn dùng tổng pool 101.185, còn các trị số phân tán năng suất (Bảng 4.1) dùng mẫu phụ 86.457; hai con số phục vụ hai mục đích khác nhau và không mâu thuẫn.</w:t>
      </w:r>
    </w:p>
    <w:p>
      <w:pPr>
        <w:pStyle w:val="CaptionedFigure"/>
      </w:pPr>
      <w:r>
        <w:drawing>
          <wp:inline>
            <wp:extent cx="5753100" cy="3401496"/>
            <wp:effectExtent b="0" l="0" r="0" t="0"/>
            <wp:docPr descr="Hình 4.2, Phân phối năng suất theo 6 phân nhóm con (kernel density, n=101.185)" title="" id="50" name="Picture"/>
            <a:graphic>
              <a:graphicData uri="http://schemas.openxmlformats.org/drawingml/2006/picture">
                <pic:pic>
                  <pic:nvPicPr>
                    <pic:cNvPr descr="figures/fig_4_2_productivity_density.png" id="51" name="Picture"/>
                    <pic:cNvPicPr>
                      <a:picLocks noChangeArrowheads="1" noChangeAspect="1"/>
                    </pic:cNvPicPr>
                  </pic:nvPicPr>
                  <pic:blipFill>
                    <a:blip r:embed="rId49"/>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4.2, Phân phối năng suất theo 6 phân nhóm con (kernel density, n=101.185)</w:t>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là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(4) tỷ số P90/P10 tăng đơn điệu theo phân nhóm con; (5) bằng chứng cho H5, tức điều tiết thể chế (institutional moderation).</w:t>
      </w:r>
    </w:p>
    <w:bookmarkEnd w:id="52"/>
    <w:bookmarkStart w:id="53" w:name="Xcc3eee4fbea372afb82cb0ae0b2af37656e40ee"/>
    <w:p>
      <w:pPr>
        <w:pStyle w:val="Heading5"/>
      </w:pPr>
      <w:r>
        <w:t xml:space="preserve">2.3.1.3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cho thấy phân phối phân cực mạnh; SIDS có CAGR việc làm cao nhất.</w:t>
      </w:r>
    </w:p>
    <w:bookmarkEnd w:id="53"/>
    <w:bookmarkStart w:id="54" w:name="X6ea576e0e3fd0e159d48e7775c34a2628d38d6f"/>
    <w:p>
      <w:pPr>
        <w:pStyle w:val="Heading5"/>
      </w:pPr>
      <w:r>
        <w:t xml:space="preserve">2.3.1.4 Thực trạng đổi mới sáng tạo và năng lực số</w:t>
      </w:r>
    </w:p>
    <w:bookmarkEnd w:id="54"/>
    <w:bookmarkStart w:id="55" w:name="X8666dd8f0f3c1c92c67df5477ad8df09b427492"/>
    <w:p>
      <w:pPr>
        <w:pStyle w:val="Heading5"/>
      </w:pPr>
      <w:r>
        <w:t xml:space="preserve">2.3.1.4.0 Khung 5 lĩnh vực chỉ số WBES — định vị §2.3.1.4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Đây là khung phân tích chuẩn của World Bank được dùng nhất quán xuyên các báo cáo WBES châu Á và châu lục khác. Bảng dưới định vị §2.3.1.4 hiện tại trong tổng thể 5 lĩnh vực:</w:t>
      </w:r>
    </w:p>
    <w:p>
      <w:pPr>
        <w:pStyle w:val="BodyText"/>
      </w:pPr>
      <w:r>
        <w:rPr>
          <w:bCs/>
          <w:b/>
        </w:rPr>
        <w:t xml:space="preserve">Bảng 4.4.0</w:t>
      </w:r>
      <w:r>
        <w:t xml:space="preserve">.</w:t>
      </w:r>
      <w:r>
        <w:t xml:space="preserve"> </w:t>
      </w:r>
      <w:r>
        <w:rPr>
          <w:iCs/>
          <w:i/>
        </w:rPr>
        <w:t xml:space="preserve">Khung 5 lĩnh vực chỉ số WBES, định vị phạm vi đo lường của §2.3.1.4.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§2.3.1.5.5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§2.3.1.4 đo gián tiếp qua quy trình mới</w:t>
            </w:r>
            <w:r>
              <w:t xml:space="preserve">;</w:t>
            </w:r>
            <w:r>
              <w:t xml:space="preserve"> </w:t>
            </w:r>
            <w:r>
              <w:rPr>
                <w:bCs/>
                <w:b/>
              </w:rPr>
              <w:t xml:space="preserve">§2.3.1.5.5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§2.3.1.3); cạnh tranh phi chính thức ở §2.3.1.5.5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(phân biệt rõ trong §2.3.1.7.5)</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§2.3.1.4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(§2.3.1.10) hoặc rào cản hàng đầu (§2.3.1.5.5), nhưng chưa được phân tích sâu. Đây là</w:t>
      </w:r>
      <w:r>
        <w:t xml:space="preserve"> </w:t>
      </w:r>
      <w:r>
        <w:rPr>
          <w:bCs/>
          <w:b/>
        </w:rPr>
        <w:t xml:space="preserve">scope mở rộng cho CĐ2</w:t>
      </w:r>
      <w:r>
        <w:t xml:space="preserve"> </w:t>
      </w:r>
      <w:r>
        <w:t xml:space="preserve">với 5 control variables mới (xem §2.3.1.5.5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mà Đỗ &amp; Phan (2026,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55"/>
    <w:bookmarkStart w:id="56" w:name="X3d285362798247fb6677c6c4e1561f49678ad58"/>
    <w:p>
      <w:pPr>
        <w:pStyle w:val="Heading5"/>
      </w:pPr>
      <w:r>
        <w:t xml:space="preserve">2.3.1.4.5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Nhưng đây là</w:t>
      </w:r>
      <w:r>
        <w:t xml:space="preserve"> </w:t>
      </w:r>
      <w:r>
        <w:rPr>
          <w:bCs/>
          <w:b/>
        </w:rPr>
        <w:t xml:space="preserve">ảo ảnh thống kê</w:t>
      </w:r>
      <w:r>
        <w:t xml:space="preserve"> </w:t>
      </w:r>
      <w:r>
        <w:t xml:space="preserve">do đo lường sơ sài, không phải thực tế kinh tế. Một ẩn dụ minh họa (tác giả, ghi chú phân tích nội bộ, 2026): đo lường năng lực số bằng website nhị phân chẳng khác nào đánh giá hiệu suất một mạng lưới logistic vận hành bằng AI hiện đại nhưng lại dùng bản đồ trạm điện tín thế kỷ 19.</w:t>
      </w:r>
    </w:p>
    <w:p>
      <w:pPr>
        <w:pStyle w:val="BodyText"/>
      </w:pPr>
      <w:r>
        <w:rPr>
          <w:bCs/>
          <w:b/>
        </w:rPr>
        <w:t xml:space="preserve">Đề xuất tái định danh biến</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§2.3.1.8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Vì vậy biến này không còn discriminate năng suất giữa các firms ở Advanced.</w:t>
      </w:r>
      <w:r>
        <w:rPr>
          <w:iCs/>
          <w:i/>
        </w:rPr>
        <w:t xml:space="preserve">”</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kế thừa Banalieva &amp; Dhanaraj, 2019 layered framework).</w:t>
      </w:r>
    </w:p>
    <w:bookmarkEnd w:id="56"/>
    <w:bookmarkStart w:id="57" w:name="X38a0a6c6411b5adcdadbe8a42712fac8d35d825"/>
    <w:p>
      <w:pPr>
        <w:pStyle w:val="Heading5"/>
      </w:pPr>
      <w:r>
        <w:t xml:space="preserve">2.3.1.4.5.1 Đối chiếu DAI xuyên quốc gia — Singapore (Tier 1+2) vs Việt Nam (Tier 1 only)</w:t>
      </w:r>
    </w:p>
    <w:p>
      <w:pPr>
        <w:pStyle w:val="BlockText"/>
      </w:pPr>
      <w:r>
        <w:rPr>
          <w:bCs/>
          <w:b/>
        </w:rPr>
        <w:t xml:space="preserve">Bằng chứng nền tảng</w:t>
      </w:r>
      <w:r>
        <w:t xml:space="preserve">: §2.7 mục §2.1–§2.2 chuyên đề (Khung 4-Tier Verhoef + CDCM); phân tích Singapore; phân tích Việt Nam.</w:t>
      </w:r>
    </w:p>
    <w:p>
      <w:pPr>
        <w:pStyle w:val="FirstParagraph"/>
      </w:pPr>
      <w:r>
        <w:t xml:space="preserve">Ghi chú phân tích nội bộ của tác giả (2026) chỉ ra một</w:t>
      </w:r>
      <w:r>
        <w:t xml:space="preserve"> </w:t>
      </w:r>
      <w:r>
        <w:rPr>
          <w:bCs/>
          <w:b/>
        </w:rPr>
        <w:t xml:space="preserve">tương phản cốt lõi</w:t>
      </w:r>
      <w:r>
        <w:t xml:space="preserve"> </w:t>
      </w:r>
      <w:r>
        <w:t xml:space="preserve">giữa hai bản thảo: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tức observable signature của CIMT (kênh institutional-void amplification) trong điều kiện số hóa, theo định vị phân tầng tại luận án Chương 2 §2.5.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iCs/>
          <w:i/>
        </w:rPr>
        <w:t xml:space="preserve">Ghi chú cỡ mẫu: Việt Nam n=2.958 là mẫu phụ đủ biến hồi quy (complete-case), nhỏ hơn tổng n=3.077 doanh nghiệp Việt Nam trong pool (chênh 119 doanh nghiệp, 3,9%) do dữ liệu khuyết ở một số biến giải thích, xem ghi chú đối chiếu cỡ mẫu tại §2.3.2.3 mục §2.3.2–§2.4 chuyên đề.</w:t>
      </w:r>
    </w:p>
    <w:p>
      <w:pPr>
        <w:pStyle w:val="BodyText"/>
      </w:pPr>
      <w:r>
        <w:rPr>
          <w:bCs/>
          <w:b/>
        </w:rPr>
        <w:t xml:space="preserve">Hàm ý cho lập luận §2.3.1.4.5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ở §2.3.1.4.5)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phân tích Singapore.</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 đóng góp lý thuyết mạnh cho CDCM (Đỗ &amp; Phan, 2026a/2026b mở rộng sang luận án). Nếu không confirm → cần Tier 3 (ERP/CRM) hoặc Tier 4 (AI) để nắm cơ chế thực sự, hàm ý cho data collection tương lai (limitations §2.4.3.4 mục §2.3.2–§2.4 chuyên đề).</w:t>
      </w:r>
    </w:p>
    <w:bookmarkEnd w:id="57"/>
    <w:bookmarkStart w:id="61" w:name="thực-trạng-cấu-trúc-doanh-nghiệp"/>
    <w:p>
      <w:pPr>
        <w:pStyle w:val="Heading5"/>
      </w:pPr>
      <w:r>
        <w:t xml:space="preserve">2.3.1.5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CaptionedFigure"/>
      </w:pPr>
      <w:r>
        <w:drawing>
          <wp:inline>
            <wp:extent cx="5753100" cy="3545232"/>
            <wp:effectExtent b="0" l="0" r="0" t="0"/>
            <wp:docPr descr="Hình 4.6, Phân phối quy mô doanh nghiệp theo phân nhóm con (n=101.185)" title="" id="59" name="Picture"/>
            <a:graphic>
              <a:graphicData uri="http://schemas.openxmlformats.org/drawingml/2006/picture">
                <pic:pic>
                  <pic:nvPicPr>
                    <pic:cNvPr descr="figures/fig_4_6_firm_size.png" id="60" name="Picture"/>
                    <pic:cNvPicPr>
                      <a:picLocks noChangeArrowheads="1" noChangeAspect="1"/>
                    </pic:cNvPicPr>
                  </pic:nvPicPr>
                  <pic:blipFill>
                    <a:blip r:embed="rId58"/>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4.6, Phân phối quy mô doanh nghiệp theo phân nhóm con (n=101.185)</w:t>
      </w:r>
    </w:p>
    <w:p>
      <w:pPr>
        <w:pStyle w:val="BodyText"/>
      </w:pPr>
      <w:r>
        <w:rPr>
          <w:iCs/>
          <w:i/>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End w:id="61"/>
    <w:bookmarkStart w:id="62" w:name="X59024c0b6ba75f32b72136ec1a93cd061cbee07"/>
    <w:p>
      <w:pPr>
        <w:pStyle w:val="Heading5"/>
      </w:pPr>
      <w:r>
        <w:t xml:space="preserve">2.3.1.5.5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§2.3.1.4 (đổi mới + năng lực số) và §2.3.1.5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ctv. (2011) — formative composite measurement; Coltman ctv.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ctv.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8"/>
        </w:numPr>
      </w:pPr>
      <w:r>
        <w:rPr>
          <w:bCs/>
          <w:b/>
        </w:rPr>
        <w:t xml:space="preserve">Rào cản 1,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§2.3.1.4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numPr>
          <w:ilvl w:val="0"/>
          <w:numId w:val="1008"/>
        </w:numPr>
      </w:pP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ctv., 2023). Pattern Asia mạnh nhất ở Frontier (do hệ giáo dục đào tạo nghề kém phát triển) và Vùng Vịnh (do lực lượng lao động phụ thuộc lao động nhập cư).</w:t>
      </w:r>
    </w:p>
    <w:p>
      <w:pPr>
        <w:numPr>
          <w:ilvl w:val="0"/>
          <w:numId w:val="1008"/>
        </w:numPr>
      </w:pPr>
      <w:r>
        <w:rPr>
          <w:bCs/>
          <w:b/>
        </w:rPr>
        <w:t xml:space="preserve">Rào cản 3,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§2.3.1.4</w:t>
      </w:r>
      <w:r>
        <w:t xml:space="preserve"> </w:t>
      </w:r>
      <w:r>
        <w:rPr>
          <w:iCs/>
          <w:i/>
        </w:rPr>
        <w:t xml:space="preserve">Δ R&amp;D Emerging giảm -42,1 đpt</w:t>
      </w:r>
      <w:r>
        <w:t xml:space="preserve">.</w:t>
      </w:r>
    </w:p>
    <w:p>
      <w:pPr>
        <w:numPr>
          <w:ilvl w:val="0"/>
          <w:numId w:val="1008"/>
        </w:numPr>
      </w:pP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§2.3.1.2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(§2.3.1.8) và phân nhóm con thể chế (Chương 3 mục §2.1–§2.2 chuyên đề), CĐ2 sẽ có</w:t>
      </w:r>
      <w:r>
        <w:t xml:space="preserve"> </w:t>
      </w:r>
      <w:r>
        <w:rPr>
          <w:bCs/>
          <w:b/>
        </w:rPr>
        <w:t xml:space="preserve">specification đầy đủ 5 lĩnh vực WBES</w:t>
      </w:r>
      <w:r>
        <w:t xml:space="preserve">, không chỉ 2 lĩnh vực (đổi mới + năng lực số) như §2.3.1.4 hiện đang phân tích.</w:t>
      </w:r>
    </w:p>
    <w:bookmarkEnd w:id="62"/>
    <w:bookmarkStart w:id="63" w:name="X139dc698771487ae151b0ada3bdbb2cf58e2e95"/>
    <w:p>
      <w:pPr>
        <w:pStyle w:val="Heading5"/>
      </w:pPr>
      <w:r>
        <w:t xml:space="preserve">2.3.1.5.6 Giới tính quản lý cấp cao và sở hữu — bằng chứng từ WBES pool</w:t>
      </w:r>
    </w:p>
    <w:p>
      <w:pPr>
        <w:pStyle w:val="BlockText"/>
      </w:pPr>
      <w:r>
        <w:rPr>
          <w:bCs/>
          <w:b/>
        </w:rPr>
        <w:t xml:space="preserve">Nguồn chuẩn</w:t>
      </w:r>
      <w:r>
        <w:t xml:space="preserve">: Carboni ctv. (2024/2025,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 xem §2.3.3.1)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 matrilineal land tenure culture</w:t>
            </w:r>
          </w:p>
        </w:tc>
      </w:tr>
    </w:tbl>
    <w:p>
      <w:pPr>
        <w:pStyle w:val="BodyText"/>
      </w:pPr>
      <w:r>
        <w:rPr>
          <w:iCs/>
          <w:i/>
        </w:rPr>
        <w:t xml:space="preserve">Lưu ý: Số liệu tỷ lệ phần trăm là ước tính theo phân nhóm con ICRV dựa trên tổng hợp WBES pool,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(mục §2.3.2–§2.4 chuyên đề §2.3.3.1) cung cấp số liệu chính xác theo vùng WB.</w:t>
      </w:r>
    </w:p>
    <w:p>
      <w:pPr>
        <w:pStyle w:val="BodyText"/>
      </w:pPr>
      <w:r>
        <w:rPr>
          <w:bCs/>
          <w:b/>
        </w:rPr>
        <w:t xml:space="preserve">Ba phát hiện nổi bật</w:t>
      </w:r>
      <w:r>
        <w:t xml:space="preserve">:</w:t>
      </w:r>
    </w:p>
    <w:p>
      <w:pPr>
        <w:numPr>
          <w:ilvl w:val="0"/>
          <w:numId w:val="1009"/>
        </w:numPr>
      </w:pPr>
      <w:r>
        <w:rPr>
          <w:bCs/>
          <w:b/>
        </w:rPr>
        <w:t xml:space="preserve">EAP paradox, dẫn đầu về representation nhưng không về performance gap</w:t>
      </w:r>
      <w:r>
        <w:t xml:space="preserve">: Dữ liệu WBES EAP 33,4% nữ TMT cao nhất toàn cầu, nhưng Carboni ctv.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numPr>
          <w:ilvl w:val="0"/>
          <w:numId w:val="1009"/>
        </w:numPr>
      </w:pP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numPr>
          <w:ilvl w:val="0"/>
          <w:numId w:val="1009"/>
        </w:numPr>
      </w:pP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FirstParagraph"/>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ctv. (2025,</w:t>
      </w:r>
      <w:r>
        <w:t xml:space="preserve"> </w:t>
      </w:r>
      <w:r>
        <w:rPr>
          <w:iCs/>
          <w:i/>
        </w:rPr>
        <w:t xml:space="preserve">IJHRM</w:t>
      </w:r>
      <w:r>
        <w:t xml:space="preserve">). Carboni ctv.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63"/>
    <w:bookmarkStart w:id="70" w:name="bức-tranh-thay-đổi-theo-thời-gian"/>
    <w:p>
      <w:pPr>
        <w:pStyle w:val="Heading5"/>
      </w:pPr>
      <w:r>
        <w:t xml:space="preserve">2.3.1.6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CaptionedFigure"/>
      </w:pPr>
      <w:r>
        <w:drawing>
          <wp:inline>
            <wp:extent cx="5753100" cy="2590690"/>
            <wp:effectExtent b="0" l="0" r="0" t="0"/>
            <wp:docPr descr="Hình 4.4, Slope chart 2009–2012 vs 2018–2025 (Δ điểm phần trăm 5 chỉ số)" title="" id="65" name="Picture"/>
            <a:graphic>
              <a:graphicData uri="http://schemas.openxmlformats.org/drawingml/2006/picture">
                <pic:pic>
                  <pic:nvPicPr>
                    <pic:cNvPr descr="figures/fig_4_4_growth_pathway.png" id="66" name="Picture"/>
                    <pic:cNvPicPr>
                      <a:picLocks noChangeArrowheads="1" noChangeAspect="1"/>
                    </pic:cNvPicPr>
                  </pic:nvPicPr>
                  <pic:blipFill>
                    <a:blip r:embed="rId64"/>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4.4, Slope chart 2009–2012 vs 2018–2025 (Δ điểm phần trăm 5 chỉ số)</w:t>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CaptionedFigure"/>
      </w:pPr>
      <w:r>
        <w:drawing>
          <wp:inline>
            <wp:extent cx="5753100" cy="2222977"/>
            <wp:effectExtent b="0" l="0" r="0" t="0"/>
            <wp:docPr descr="Hình 4.7, Spider chart 5 chiều × 2 mốc thời gian (Advanced, Emerging, SIDS)" title="" id="68" name="Picture"/>
            <a:graphic>
              <a:graphicData uri="http://schemas.openxmlformats.org/drawingml/2006/picture">
                <pic:pic>
                  <pic:nvPicPr>
                    <pic:cNvPr descr="figures/fig_4_7_spider_chart.png" id="69" name="Picture"/>
                    <pic:cNvPicPr>
                      <a:picLocks noChangeArrowheads="1" noChangeAspect="1"/>
                    </pic:cNvPicPr>
                  </pic:nvPicPr>
                  <pic:blipFill>
                    <a:blip r:embed="rId67"/>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Spider chart 5 chiều × 2 mốc thời gian (Advanced, Emerging, SIDS)</w:t>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70"/>
    <w:bookmarkStart w:id="71" w:name="Xf9df93bb474e03b33e5eb8b9166e3e3f4caa8ec"/>
    <w:p>
      <w:pPr>
        <w:pStyle w:val="Heading5"/>
      </w:pPr>
      <w:r>
        <w:t xml:space="preserve">2.3.1.7 Tổng hợp Chương 4 (mở rộng D4 — 10 kết luận chính)</w:t>
      </w:r>
    </w:p>
    <w:p>
      <w:pPr>
        <w:pStyle w:val="FirstParagraph"/>
      </w:pPr>
      <w:r>
        <w:t xml:space="preserve">Mục §2.3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các nghiên cứu IB, mở rộng từ 17 nước châu Á mới nổi (Đỗ &amp; Phan, 2026,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đã được tách trực quan trong</w:t>
      </w:r>
      <w:r>
        <w:t xml:space="preserve"> </w:t>
      </w:r>
      <w:r>
        <w:rPr>
          <w:bCs/>
          <w:b/>
        </w:rPr>
        <w:t xml:space="preserve">Bảng 4.1</w:t>
      </w:r>
      <w:r>
        <w:t xml:space="preserve">.</w:t>
      </w:r>
    </w:p>
    <w:p>
      <w:pPr>
        <w:pStyle w:val="BodyText"/>
      </w:pPr>
      <w:r>
        <w:rPr>
          <w:bCs/>
          <w:b/>
        </w:rPr>
        <w:t xml:space="preserve">(iii) Dị biệt nội bộ phân nhóm Emerging, 3 phân nhóm con</w:t>
      </w:r>
      <w:r>
        <w:t xml:space="preserve"> </w:t>
      </w:r>
      <w:r>
        <w:rPr>
          <w:iCs/>
          <w:i/>
        </w:rPr>
        <w:t xml:space="preserve">(NEW D1, §2.3.1.9)</w:t>
      </w:r>
      <w:r>
        <w:t xml:space="preserve">. FDI dẫn dắt SEA (VNM+IDN+PHL, FSTS 13,2%) ≠ dân số lớn (IND+LKA+JOR, FSTS 7,2%) ≠ tài nguyên (MNG, FSTS 5,0%). TCI ngược dấu:</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rPr>
          <w:bCs/>
          <w:b/>
        </w:rPr>
        <w:t xml:space="preserve">: Cần phân biệt</w:t>
      </w:r>
      <w:r>
        <w:rPr>
          <w:bCs/>
          <w:b/>
        </w:rPr>
        <w:t xml:space="preserve"> </w:t>
      </w:r>
      <w:r>
        <w:t xml:space="preserve">Tier-1 Digital Presence** (website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xem §2.3.1.4.5 ICT exclusion test.</w:t>
      </w:r>
    </w:p>
    <w:p>
      <w:pPr>
        <w:pStyle w:val="BodyText"/>
      </w:pPr>
      <w:r>
        <w:rPr>
          <w:bCs/>
          <w:b/>
        </w:rPr>
        <w:t xml:space="preserve">(vii) Pattern phi tuyến FDI ≥10%</w:t>
      </w:r>
      <w:r>
        <w:t xml:space="preserve">, dạng chữ U với cực tiểu Emerging (4,7%): Advanced 11,1% → Upper-middle 8,4% → Emerging 4,7% → Frontier 5,9% →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17.107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§2.3.1.8)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10"/>
        </w:numPr>
        <w:pStyle w:val="Compact"/>
      </w:pPr>
      <w:r>
        <w:rPr>
          <w:bCs/>
          <w:b/>
        </w:rPr>
        <w:t xml:space="preserve">Hệ giả thuyết H1–H6 (phát biểu hình thức)</w:t>
      </w:r>
      <w:r>
        <w:t xml:space="preserve">. Mỗi giả thuyết nêu rõ dấu dự đoán, cơ chế lý thuyết được định danh và liên kết vận hành hóa với bằng chứng mô tả của CĐ1. Đây là</w:t>
      </w:r>
      <w:r>
        <w:t xml:space="preserve"> </w:t>
      </w:r>
      <w:r>
        <w:rPr>
          <w:iCs/>
          <w:i/>
        </w:rPr>
        <w:t xml:space="preserve">existence evidence</w:t>
      </w:r>
      <w:r>
        <w:t xml:space="preserve"> </w:t>
      </w:r>
      <w:r>
        <w:t xml:space="preserve">(bằng chứng tồn tại) của CĐ1;</w:t>
      </w:r>
      <w:r>
        <w:t xml:space="preserve"> </w:t>
      </w:r>
      <w:r>
        <w:rPr>
          <w:iCs/>
          <w:i/>
        </w:rPr>
        <w:t xml:space="preserve">magnitude evidence</w:t>
      </w:r>
      <w:r>
        <w:t xml:space="preserve"> </w:t>
      </w:r>
      <w:r>
        <w:t xml:space="preserve">(bằng chứng cường độ) sẽ do mô hình kiểm định của CĐ2 và phân tích tổng hợp bổ sung.</w:t>
      </w:r>
    </w:p>
    <w:p>
      <w:pPr>
        <w:numPr>
          <w:ilvl w:val="0"/>
          <w:numId w:val="1011"/>
        </w:numPr>
      </w:pPr>
      <w:r>
        <w:rPr>
          <w:bCs/>
          <w:b/>
        </w:rPr>
        <w:t xml:space="preserve">H1 (Quan hệ quốc tế hóa–năng suất phi tuyến)</w:t>
      </w:r>
      <w:r>
        <w:t xml:space="preserve">: Quan hệ giữa cường độ xuất khẩu (FSTS) và log năng suất có dạng chữ U ngược (inverted-U): hệ số bậc nhất β₁ &gt; 0 và hệ số bậc hai β₂ &lt; 0. Cơ chế là chi phí điều phối xuyên biên giới tăng phi tuyến vượt một ngưỡng tối ưu (Lu &amp; Beamish, 2004), khuếch đại bởi chi phí giao dịch thể chế (Coase, 1937; Williamson, 1985). Vận hành hóa: FSTS =</w:t>
      </w:r>
      <w:r>
        <w:t xml:space="preserve"> </w:t>
      </w:r>
      <w:r>
        <w:rPr>
          <w:rStyle w:val="VerbatimChar"/>
        </w:rPr>
        <w:t xml:space="preserve">d3b + d3c</w:t>
      </w:r>
      <w:r>
        <w:t xml:space="preserve">, FSTS² là bình phương đã trung tâm hóa; kiểm định Lind–Mehlum cho điểm uốn nội miền. Bằng chứng CĐ1 (Mục 6.1.2): điểm uốn Việt Nam ≈ 39–46% (Lind–Mehlum p &lt; 0,013), Trung Quốc ≈ 47,2–49,4% (kiểm định Paternoster bền vững).</w:t>
      </w:r>
    </w:p>
    <w:p>
      <w:pPr>
        <w:numPr>
          <w:ilvl w:val="0"/>
          <w:numId w:val="1011"/>
        </w:numPr>
      </w:pPr>
      <w:r>
        <w:rPr>
          <w:bCs/>
          <w:b/>
        </w:rPr>
        <w:t xml:space="preserve">H2 (TCI điều tiết quan hệ I–P)</w:t>
      </w:r>
      <w:r>
        <w:t xml:space="preserve">: Năng lực công nghệ (TCI = R&amp;D + ISO) điều tiết quan hệ FSTS–năng suất theo hướng</w:t>
      </w:r>
      <w:r>
        <w:t xml:space="preserve"> </w:t>
      </w:r>
      <w:r>
        <w:rPr>
          <w:iCs/>
          <w:i/>
        </w:rPr>
        <w:t xml:space="preserve">làm phẳng</w:t>
      </w:r>
      <w:r>
        <w:t xml:space="preserve"> </w:t>
      </w:r>
      <w:r>
        <w:t xml:space="preserve">đường cong chữ U ngược (hệ số tương tác TCI × FSTS² &gt; 0, tức giảm độ cong âm). Cơ chế là năng lực hấp thụ (absorptive capacity, Cohen &amp; Levinthal, 1990) giúp doanh nghiệp duy trì lợi ích quốc tế hóa ở mức xuất khẩu cao hơn. Vận hành hóa: TCI là chỉ số tổ hợp aspirational; tương tác TCI × FSTS và TCI × FSTS². Bằng chứng CĐ1 (Bảng 6.1): tương quan TCI–năng suất dương ở Advanced (+0,128) và SIDS (+0,155); ở Việt Nam TCI vận hành như</w:t>
      </w:r>
      <w:r>
        <w:t xml:space="preserve"> </w:t>
      </w:r>
      <w:r>
        <w:rPr>
          <w:iCs/>
          <w:i/>
        </w:rPr>
        <w:t xml:space="preserve">scarce advantage</w:t>
      </w:r>
      <w:r>
        <w:t xml:space="preserve"> </w:t>
      </w:r>
      <w:r>
        <w:t xml:space="preserve">(TCIz IV β = 1,639, p &lt; 0,001).</w:t>
      </w:r>
    </w:p>
    <w:p>
      <w:pPr>
        <w:numPr>
          <w:ilvl w:val="0"/>
          <w:numId w:val="1011"/>
        </w:numPr>
      </w:pPr>
      <w:r>
        <w:rPr>
          <w:bCs/>
          <w:b/>
        </w:rPr>
        <w:t xml:space="preserve">H3 (DAI có hiệu lực phụ thuộc cấp tầng và bối cảnh)</w:t>
      </w:r>
      <w:r>
        <w:t xml:space="preserve">: Tác động của áp dụng số (DAI) lên năng suất phụ thuộc điều kiện cấp tầng số hóa và chế độ thể chế: ở cấp Tier-1 (website đơn thành phần) tại Advanced đã bão hòa, hệ số tiến về không hoặc âm; ở cấp Tier-1+2 (đa thành phần) hệ số dương và tương tác DAI × FSTS² &gt; 0. Cơ chế là Mô hình Năng lực số phụ thuộc bối cảnh (CDCM) đặt trên khung 4 tầng của Verhoef ctv. (2021): công cụ số chỉ tạo đòn bẩy khi cấp độ số hóa tương thích với mật độ giao dịch quốc tế. Vận hành hóa: DAI Tier-1 (website nhị phân, Spec 1) và DAI Tier-1+2 (5 thành phần, Spec 2). Bằng chứng CĐ1 (Bảng 4.4.5.1, 6.1.2): hệ số âm giả tạo −0,129 ở Advanced biến mất sau ICT exclusion test; tương tác DAI × FSTS² = +3,119 (p = 0,005) ở Singapore so với DAI × FSTS = −0,912 (p = 0,043) ở Việt Nam Tier-1.</w:t>
      </w:r>
    </w:p>
    <w:p>
      <w:pPr>
        <w:numPr>
          <w:ilvl w:val="0"/>
          <w:numId w:val="1011"/>
        </w:numPr>
      </w:pPr>
      <w:r>
        <w:rPr>
          <w:bCs/>
          <w:b/>
        </w:rPr>
        <w:t xml:space="preserve">H4 (Dị biệt theo phân nhóm con thể chế)</w:t>
      </w:r>
      <w:r>
        <w:t xml:space="preserve">: Dấu và cường độ của các hệ số FSTS, TCI, DAI khác biệt có hệ thống giữa các phân nhóm con ICRV (đảo dấu cross-regime), không thể quy về một hệ số chung. Cơ chế là biến thể chế kiểu Các biến thể của chủ nghĩa tư bản (Varieties of Capitalism, Hall &amp; Soskice, 2001) cùng khoảng cách de jure–de facto (Xu, 2024). Vận hành hóa: hiệu ứng cố định (fixed effects) theo</w:t>
      </w:r>
      <w:r>
        <w:t xml:space="preserve"> </w:t>
      </w:r>
      <w:r>
        <w:rPr>
          <w:bCs/>
          <w:b/>
        </w:rPr>
        <w:t xml:space="preserve">8 phân nhóm con</w:t>
      </w:r>
      <w:r>
        <w:t xml:space="preserve"> </w:t>
      </w:r>
      <w:r>
        <w:t xml:space="preserve">(liệt kê ở mục (b)) cùng các số hạng tương tác phân nhóm con × biến cốt lõi. Bằng chứng CĐ1 (Bảng 6.1): bốn lần đảo dấu xuyên phân nhóm con cho FDI, FSTS, TCI, DAI.</w:t>
      </w:r>
    </w:p>
    <w:p>
      <w:pPr>
        <w:numPr>
          <w:ilvl w:val="0"/>
          <w:numId w:val="1011"/>
        </w:numPr>
      </w:pPr>
      <w:r>
        <w:rPr>
          <w:bCs/>
          <w:b/>
        </w:rPr>
        <w:t xml:space="preserve">H5 (Cụm tài nguyên thu hẹp phân tán và đảo chiều phân bổ sai)</w:t>
      </w:r>
      <w:r>
        <w:t xml:space="preserve">: Các nền kinh tế tài nguyên dẫn dắt (Advanced resource-driven Vùng Vịnh) thể hiện phân tán năng suất hẹp hơn và tương quan FSTS–năng suất yếu hơn so với nhóm đổi mới sáng tạo dẫn dắt cùng cấp. Cơ chế là logic nhà nước tô (rentier state, Beblawi, 1987; Hertog, 2010) bóp méo kỷ luật thị trường. Vận hành hóa: chỉ báo phân nhóm con resource-driven và độ lệch chuẩn log năng suất theo cụm. Bằng chứng CĐ1 (Bảng 4.1, Mục 5.2): sd log Vùng Vịnh 0,31–0,49 so với Singapore 1,03 (tỷ số ≈ 2,1 lần).</w:t>
      </w:r>
    </w:p>
    <w:p>
      <w:pPr>
        <w:numPr>
          <w:ilvl w:val="0"/>
          <w:numId w:val="1011"/>
        </w:numPr>
      </w:pPr>
      <w:r>
        <w:rPr>
          <w:bCs/>
          <w:b/>
        </w:rPr>
        <w:t xml:space="preserve">H6 (Chi phí buộc phải quốc tế hóa ở SIDS biên)</w:t>
      </w:r>
      <w:r>
        <w:t xml:space="preserve">: Ở các SIDS Thái Bình Dương biên (đặc biệt Kiribati cực đoan), quan hệ FSTS–năng suất không vận hành theo chữ U ngược (hệ số FSTS không có ý nghĩa thống kê hoặc đảo dấu so với Advanced/Emerging) vì quốc tế hóa là</w:t>
      </w:r>
      <w:r>
        <w:t xml:space="preserve"> </w:t>
      </w:r>
      <w:r>
        <w:rPr>
          <w:iCs/>
          <w:i/>
        </w:rPr>
        <w:t xml:space="preserve">buộc phải</w:t>
      </w:r>
      <w:r>
        <w:t xml:space="preserve"> </w:t>
      </w:r>
      <w:r>
        <w:t xml:space="preserve">chứ không phải lựa chọn tối ưu. Cơ chế là tính dễ tổn thương cấu trúc của nền kinh tế đảo nhỏ (Briguglio, 1995) và mô hình MIRAB (Bertram, 2006), làm thất bại ba điều kiện cấu trúc của đường cong U (Bảng 2.6.1 mục §2.1–§2.2 chuyên đề). Vận hành hóa: chỉ báo phân nhóm con SIDS và số hạng tương tác SIDS × FSTS. Bằng chứng CĐ1 (Mục 5.7): Kiribati 2025 với FSTS 1,03%, FDI 0,7%, website 18,7%, ISO 1,3% là trường hợp biên cực đoan nhất pool.</w:t>
      </w:r>
    </w:p>
    <w:p>
      <w:pPr>
        <w:numPr>
          <w:ilvl w:val="0"/>
          <w:numId w:val="1012"/>
        </w:numPr>
      </w:pPr>
      <w:r>
        <w:rPr>
          <w:bCs/>
          <w:b/>
        </w:rPr>
        <w:t xml:space="preserve">Tám phân nhóm con với hiệu ứng cố định cho CĐ2</w:t>
      </w:r>
      <w:r>
        <w:t xml:space="preserve"> </w:t>
      </w:r>
      <w:r>
        <w:t xml:space="preserve">(số đếm chốt thống nhất là</w:t>
      </w:r>
      <w:r>
        <w:t xml:space="preserve"> </w:t>
      </w:r>
      <w:r>
        <w:rPr>
          <w:bCs/>
          <w:b/>
        </w:rPr>
        <w:t xml:space="preserve">8</w:t>
      </w:r>
      <w:r>
        <w:t xml:space="preserve">).</w:t>
      </w:r>
      <w:r>
        <w:t xml:space="preserve"> </w:t>
      </w:r>
      <w:r>
        <w:rPr>
          <w:iCs/>
          <w:i/>
        </w:rPr>
        <w:t xml:space="preserve">Phân biệt hai khái niệm</w:t>
      </w:r>
      <w:r>
        <w:t xml:space="preserve">: (i)</w:t>
      </w:r>
      <w:r>
        <w:t xml:space="preserve"> </w:t>
      </w:r>
      <w:r>
        <w:rPr>
          <w:bCs/>
          <w:b/>
        </w:rPr>
        <w:t xml:space="preserve">6 phân vùng ICRV (canonical taxonomy)</w:t>
      </w:r>
      <w:r>
        <w:t xml:space="preserve"> </w:t>
      </w:r>
      <w:r>
        <w:t xml:space="preserve">— đơn vị phân loại lý thuyết của ICRV gồm Advanced-innovation, Advanced-resource, Upper-middle, Emerging, Frontier, SIDS; (ii)</w:t>
      </w:r>
      <w:r>
        <w:t xml:space="preserve"> </w:t>
      </w:r>
      <w:r>
        <w:rPr>
          <w:bCs/>
          <w:b/>
        </w:rPr>
        <w:t xml:space="preserve">8 phân nhóm con ước lượng (estimation subgroups)</w:t>
      </w:r>
      <w:r>
        <w:t xml:space="preserve"> </w:t>
      </w:r>
      <w:r>
        <w:t xml:space="preserve">— đơn vị fixed effects cho thiết kế hồi quy của CĐ2, tách thêm phân nhóm Emerging làm 3 nhóm con (FDI-led SEA, dân số lớn, tài nguyên) để chống nhiễu nội bộ. Danh sách 8 nhóm: (1) Advanced đổi mới sáng tạo dẫn dắt; (2) Advanced tài nguyên dẫn dắt; (3) Upper-middle; (4) Emerging, FDI dẫn dắt SEA (VNM, IDN, PHL); (5) Emerging, dân số lớn (IND, LKA, JOR); (6) Emerging, tài nguyên (MNG); (7) Frontier; (8) SIDS Thái Bình Dương. Cách đếm này tách phân nhóm con Advanced làm hai (innovation- vs resource-driven, Mục 4.2 + 5.2) và tách phân nhóm con Emerging làm ba (Bảng 4.9), tổng cộng 8.</w:t>
      </w:r>
      <w:r>
        <w:t xml:space="preserve"> </w:t>
      </w:r>
      <w:r>
        <w:rPr>
          <w:bCs/>
          <w:b/>
        </w:rPr>
        <w:t xml:space="preserve">Phương án mở rộng tùy chọn 9 phân nhóm con</w:t>
      </w:r>
      <w:r>
        <w:t xml:space="preserve"> </w:t>
      </w:r>
      <w:r>
        <w:t xml:space="preserve">chỉ xuất hiện như một biến thể kiểm định độ vững, khi tách thêm SIDS thành</w:t>
      </w:r>
      <w:r>
        <w:t xml:space="preserve"> </w:t>
      </w:r>
      <w:r>
        <w:t xml:space="preserve">“</w:t>
      </w:r>
      <w:r>
        <w:t xml:space="preserve">high-digital</w:t>
      </w:r>
      <w:r>
        <w:t xml:space="preserve">”</w:t>
      </w:r>
      <w:r>
        <w:t xml:space="preserve"> </w:t>
      </w:r>
      <w:r>
        <w:t xml:space="preserve">(Fiji, Maldives) so với</w:t>
      </w:r>
      <w:r>
        <w:t xml:space="preserve"> </w:t>
      </w:r>
      <w:r>
        <w:t xml:space="preserve">“</w:t>
      </w:r>
      <w:r>
        <w:t xml:space="preserve">isolated rural</w:t>
      </w:r>
      <w:r>
        <w:t xml:space="preserve">”</w:t>
      </w:r>
      <w:r>
        <w:t xml:space="preserve"> </w:t>
      </w:r>
      <w:r>
        <w:t xml:space="preserve">(Kiribati), xem Bảng 4.10 phát hiện (7) và hàm ý (f); con số nền tảng dùng xuyên CĐ1/CĐ2 là 8.</w:t>
      </w:r>
    </w:p>
    <w:p>
      <w:pPr>
        <w:numPr>
          <w:ilvl w:val="0"/>
          <w:numId w:val="1012"/>
        </w:numPr>
      </w:pPr>
      <w:r>
        <w:rPr>
          <w:bCs/>
          <w:b/>
        </w:rPr>
        <w:t xml:space="preserve">Hai đặc tả mô hình kiểm định vững</w:t>
      </w:r>
      <w:r>
        <w:t xml:space="preserve">: Đặc tả 1: phạm vi đầy đủ (n=101.185); Đặc tả 2: 2018-2025 (n≈50.000, DAI/TCI 5 thành phần).</w:t>
      </w:r>
    </w:p>
    <w:p>
      <w:pPr>
        <w:numPr>
          <w:ilvl w:val="0"/>
          <w:numId w:val="1012"/>
        </w:numPr>
      </w:pPr>
      <w:r>
        <w:rPr>
          <w:bCs/>
          <w:b/>
        </w:rPr>
        <w:t xml:space="preserve">Industry FE + 5 kiểm định vững mẫu con</w:t>
      </w:r>
      <w:r>
        <w:t xml:space="preserve"> </w:t>
      </w:r>
      <w:r>
        <w:rPr>
          <w:iCs/>
          <w:i/>
        </w:rPr>
        <w:t xml:space="preserve">(NEW D3)</w:t>
      </w:r>
      <w:r>
        <w:t xml:space="preserve">.</w:t>
      </w:r>
    </w:p>
    <w:p>
      <w:pPr>
        <w:pStyle w:val="FirstParagraph"/>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End w:id="71"/>
    <w:bookmarkStart w:id="72" w:name="X34a9f8f22bd59439dbbb370c5527a9d482450a4"/>
    <w:p>
      <w:pPr>
        <w:pStyle w:val="Heading5"/>
      </w:pPr>
      <w:r>
        <w:t xml:space="preserve">2.3.1.7.5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các nghiên cứu chính sách Việt Nam.</w:t>
      </w:r>
    </w:p>
    <w:p>
      <w:pPr>
        <w:pStyle w:val="BodyText"/>
      </w:pPr>
      <w:r>
        <w:rPr>
          <w:bCs/>
          <w:b/>
        </w:rPr>
        <w:t xml:space="preserve">Bảng 4.7.5</w:t>
      </w:r>
      <w:r>
        <w:t xml:space="preserve">.</w:t>
      </w:r>
      <w:r>
        <w:t xml:space="preserve"> </w:t>
      </w:r>
      <w:r>
        <w:rPr>
          <w:iCs/>
          <w:i/>
        </w:rPr>
        <w:t xml:space="preserve">Phân biệt 3 chỉ số tham nhũng WBES,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tham nhũng phổ biến nhưng mỗi giao dịch ít) và</w:t>
      </w:r>
      <w:r>
        <w:t xml:space="preserve"> </w:t>
      </w:r>
      <w:r>
        <w:t xml:space="preserve">“</w:t>
      </w:r>
      <w:r>
        <w:t xml:space="preserve">intensive corruption</w:t>
      </w:r>
      <w:r>
        <w:t xml:space="preserve">”</w:t>
      </w:r>
      <w:r>
        <w:t xml:space="preserve"> </w:t>
      </w:r>
      <w:r>
        <w:t xml:space="preserve">(Incidence thấp, Depth cao, chỉ một số ít DN nhưng giao dịch nào cũng tham nhũng).</w:t>
      </w:r>
      <w:r>
        <w:t xml:space="preserve"> </w:t>
      </w:r>
      <w:r>
        <w:t xml:space="preserve">-</w:t>
      </w:r>
      <w:r>
        <w:t xml:space="preserve"> </w:t>
      </w:r>
      <w:r>
        <w:rPr>
          <w:bCs/>
          <w:b/>
        </w:rPr>
        <w:t xml:space="preserve">(3) Liên kết với §2.3.1.5.5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§2.3.1.8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72"/>
    <w:bookmarkStart w:id="73" w:name="X116b9dc63d324a4899d8e0a49782bce0c578162"/>
    <w:p>
      <w:pPr>
        <w:pStyle w:val="Heading5"/>
      </w:pPr>
      <w:r>
        <w:t xml:space="preserve">2.3.1.8 Khung phân tích cấp ngành (industry-level) — kế hoạch CĐ2</w:t>
      </w:r>
    </w:p>
    <w:p>
      <w:pPr>
        <w:pStyle w:val="BlockText"/>
      </w:pPr>
      <w:r>
        <w:t xml:space="preserve">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 Bảng 4.8.1 bổ sung cột</w:t>
      </w:r>
      <w:r>
        <w:t xml:space="preserve"> </w:t>
      </w:r>
      <w:r>
        <w:t xml:space="preserve">“</w:t>
      </w:r>
      <w:r>
        <w:t xml:space="preserve">Dynamism profile (Kafouros 2023)</w:t>
      </w:r>
      <w:r>
        <w:t xml:space="preserve">”</w:t>
      </w:r>
      <w:r>
        <w:t xml:space="preserve"> </w:t>
      </w:r>
      <w:r>
        <w:t xml:space="preserve">cùng đoạn lý giải về tương tác industry × institutional quality và hàm ý phương pháp luận (f) về số hạng tương tác.</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ctv.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ctv. (2023,</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§2.3.1.4 và lập luận Tier-1 saturation)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13"/>
        </w:numPr>
        <w:pStyle w:val="Compact"/>
      </w:pPr>
      <w:r>
        <w:t xml:space="preserve">Industry FE 9 ngành theo Bảng 4.8.1.</w:t>
      </w:r>
    </w:p>
    <w:p>
      <w:pPr>
        <w:numPr>
          <w:ilvl w:val="0"/>
          <w:numId w:val="1013"/>
        </w:numPr>
        <w:pStyle w:val="Compact"/>
      </w:pPr>
      <w:r>
        <w:t xml:space="preserve">Manufacturing-only subsample, tách cho high-tech vs low-tech theo Kafouros (2023) classification.</w:t>
      </w:r>
    </w:p>
    <w:p>
      <w:pPr>
        <w:numPr>
          <w:ilvl w:val="0"/>
          <w:numId w:val="1013"/>
        </w:numPr>
        <w:pStyle w:val="Compact"/>
      </w:pPr>
      <w:r>
        <w:t xml:space="preserve">Tourism separation cho SIDS Pacific (boundary case extension §1.3).</w:t>
      </w:r>
    </w:p>
    <w:p>
      <w:pPr>
        <w:numPr>
          <w:ilvl w:val="0"/>
          <w:numId w:val="1013"/>
        </w:numPr>
        <w:pStyle w:val="Compact"/>
      </w:pPr>
      <w:r>
        <w:t xml:space="preserve">Construction subsample test Vùng Vịnh resource-driven Advanced.</w:t>
      </w:r>
    </w:p>
    <w:p>
      <w:pPr>
        <w:numPr>
          <w:ilvl w:val="0"/>
          <w:numId w:val="1013"/>
        </w:numPr>
        <w:pStyle w:val="Compact"/>
      </w:pPr>
      <w:r>
        <w:t xml:space="preserve">ICT exclusion test cho DAI, đặc biệt liên quan việc tái định danh Tier-1 Digital Presence (§2.3.1.4.5).</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ctv.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đóng góp lý thuyết của luận án.</w:t>
      </w:r>
    </w:p>
    <w:bookmarkEnd w:id="73"/>
    <w:bookmarkStart w:id="74" w:name="X6137fe898ea43b8b79c4fbf5a7a9f2b335b5fcf"/>
    <w:p>
      <w:pPr>
        <w:pStyle w:val="Heading5"/>
      </w:pPr>
      <w:r>
        <w:t xml:space="preserve">2.3.1.9 Phân nhóm con Emerging — phát hiện dị biệt nội bộ</w:t>
      </w:r>
    </w:p>
    <w:p>
      <w:pPr>
        <w:pStyle w:val="BlockText"/>
      </w:pPr>
      <w:r>
        <w:t xml:space="preserve">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rPr>
          <w:iCs/>
          <w:i/>
        </w:rPr>
        <w:t xml:space="preserve">Ghi chú phân rã cấp quốc gia hàng</w:t>
      </w:r>
      <w:r>
        <w:rPr>
          <w:iCs/>
          <w:i/>
        </w:rPr>
        <w:t xml:space="preserve"> </w:t>
      </w:r>
      <w:r>
        <w:rPr>
          <w:iCs/>
          <w:i/>
        </w:rPr>
        <w:t xml:space="preserve">“</w:t>
      </w:r>
      <w:r>
        <w:rPr>
          <w:iCs/>
          <w:i/>
        </w:rPr>
        <w:t xml:space="preserve">Emerging, FDI dẫn dắt SEA</w:t>
      </w:r>
      <w:r>
        <w:rPr>
          <w:iCs/>
          <w:i/>
        </w:rPr>
        <w:t xml:space="preserve">”</w:t>
      </w:r>
      <w:r>
        <w:rPr>
          <w:iCs/>
          <w:i/>
        </w:rPr>
        <w:t xml:space="preserve"> </w:t>
      </w:r>
      <w:r>
        <w:rPr>
          <w:iCs/>
          <w:i/>
        </w:rPr>
        <w:t xml:space="preserve">(n=13.779)</w:t>
      </w:r>
      <w:r>
        <w:t xml:space="preserve">: Ba nước cấu thành gồm Việt Nam (VNM, n=3.077, khớp với tổng doanh nghiệp Việt Nam trong pool ở Mục 5.3 mục §2.3.2–§2.4 chuyên đề), Indonesia (IDN, n≈7.500) và Philippines (PHL, n≈3.200); tổng đối chiếu ≈ 13.777, sai số làm tròn so với 13.779. Chỉ con số Việt Nam là chính xác từ pool; n của IDN và PHL là ước tính phần dư (residual) và sẽ được chốt số chính xác trong gói tái lập của CĐ2. Lưu ý rằng số liệu hồi quy phụ của Việt Nam ở Bảng 6.1.2 (mục §2.3.2–§2.4 chuyên đề) dùng mẫu phụ complete-case n=2.958, nhỏ hơn 3.077 ở đây vì ràng buộc đủ biến giải thích (xem ghi chú đối chiếu cỡ mẫu §2.3.2.3 mục §2.3.2–§2.4 chuyên đề).</w:t>
      </w:r>
    </w:p>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74"/>
    <w:bookmarkStart w:id="75" w:name="phân-tích-sâu-đợt-khảo-sát-2025"/>
    <w:p>
      <w:pPr>
        <w:pStyle w:val="Heading5"/>
      </w:pPr>
      <w:r>
        <w:t xml:space="preserve">2.3.1.10 Phân tích sâu đợt khảo sát 2025</w:t>
      </w:r>
    </w:p>
    <w:p>
      <w:pPr>
        <w:pStyle w:val="BlockText"/>
      </w:pPr>
      <w:r>
        <w:t xml:space="preserve">Đợt 2025 chiếm 17.107 doanh nghiệp (16,9% pool, gồm Kiribati 2025).</w:t>
      </w:r>
    </w:p>
    <w:p>
      <w:pPr>
        <w:pStyle w:val="FirstParagraph"/>
      </w:pPr>
      <w:r>
        <w:rPr>
          <w:bCs/>
          <w:b/>
        </w:rPr>
        <w:t xml:space="preserve">Bảng 4.10</w:t>
      </w:r>
      <w:r>
        <w:t xml:space="preserve">.</w:t>
      </w:r>
      <w:r>
        <w:t xml:space="preserve"> </w:t>
      </w:r>
      <w:r>
        <w:rPr>
          <w:iCs/>
          <w:i/>
        </w:rPr>
        <w:t xml:space="preserve">14 quốc gia trong đợt 2025 (n=17.107, gồm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1,03</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17.107</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(NPL, n=1.740), schema BREADY chưa thống nhất nên các chỉ số FSTS, FDI, R&amp;D, Website và sd log để n/a và được loại khỏi mọi trung bình có trọng số của hàng tổng; do đó hàng tổng cột n_firms phản ánh đầy đủ 17.107 doanh nghiệp (khớp với Mục 1.1 mục §2.1–§2.2 chuyên đề), trong khi các cột chỉ số trung bình được tính trên 13 nước có dữ liệu đầy đủ (n=15.367).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§2.3.1.11)</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phương án mở rộng tùy chọn từ 8 lên 9 phân nhóm con (xem Mục 4.7(b));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§2.3.1.11)</w:t>
      </w:r>
      <w:r>
        <w:t xml:space="preserve">.</w:t>
      </w:r>
    </w:p>
    <w:bookmarkEnd w:id="75"/>
    <w:bookmarkStart w:id="76" w:name="X064d699a5a1c4a05177a44dfa39cecfdbf09aba"/>
    <w:p>
      <w:pPr>
        <w:pStyle w:val="Heading5"/>
      </w:pPr>
      <w:r>
        <w:t xml:space="preserve">2.3.1.11 Cô lập đứt gãy schema BREADY 2025 — 3 đề xuất phương pháp luận</w:t>
      </w:r>
    </w:p>
    <w:p>
      <w:pPr>
        <w:pStyle w:val="FirstParagraph"/>
      </w:pPr>
      <w:r>
        <w:t xml:space="preserve">Đợt 2025 (n=17.107 firms,</w:t>
      </w:r>
      <w:r>
        <w:t xml:space="preserve"> </w:t>
      </w:r>
      <w:r>
        <w:rPr>
          <w:bCs/>
          <w:b/>
        </w:rPr>
        <w:t xml:space="preserve">16,9% pool</w:t>
      </w:r>
      <w:r>
        <w:t xml:space="preserve">) sử dụng schema mới BREADY khác bản hỏi cũ, gây cú sốc phi lý: IND FSTS rơi 7,7%→2,7% (xem §2.3.1.10), R&amp;D nhiều nước tăng vọt do</w:t>
      </w:r>
      <w:r>
        <w:t xml:space="preserve"> </w:t>
      </w:r>
      <w:r>
        <w:rPr>
          <w:bCs/>
          <w:b/>
        </w:rPr>
        <w:t xml:space="preserve">hiệu ứng bảng hỏi (questionnaire effect)</w:t>
      </w:r>
      <w:r>
        <w:t xml:space="preserve"> </w:t>
      </w:r>
      <w:r>
        <w:t xml:space="preserve">chứ không phải thực tế. Như tác giả lưu ý trong ghi chú phân tích nội bộ (2026), đứt gãy schema BREADY 2025 đe dọa trực tiếp tính liên tục của phân tích chuỗi thời gian; mô hình kiểm tra điểm uốn có thể cho kết luận sai lệch nếu không được xử lý. Nghiên cứu sinh đã cảnh báo trong §2.3.1.10 (mục 5: R&amp;D schema-induced overestimation) nhưng cần làm sâu hơn với 3 đề xuất phương pháp luận.</w:t>
      </w:r>
    </w:p>
    <w:p>
      <w:pPr>
        <w:pStyle w:val="BodyText"/>
      </w:pPr>
      <w:r>
        <w:rPr>
          <w:bCs/>
          <w:b/>
        </w:rPr>
        <w:t xml:space="preserve">a) Đề xuất 3a — Biến giả</w:t>
      </w:r>
      <w:r>
        <w:rPr>
          <w:bCs/>
          <w:b/>
        </w:rPr>
        <w:t xml:space="preserve"> </w:t>
      </w:r>
      <w:r>
        <w:rPr>
          <w:rStyle w:val="VerbatimChar"/>
          <w:bCs/>
          <w:b/>
        </w:rPr>
        <w:t xml:space="preserve">Post_BREADY_2024</w:t>
      </w:r>
      <w:r>
        <w:rPr>
          <w:bCs/>
          <w:b/>
        </w:rPr>
        <w:t xml:space="preserve"> </w:t>
      </w:r>
      <w:r>
        <w:rPr>
          <w:bCs/>
          <w:b/>
        </w:rPr>
        <w:t xml:space="preserve">trong mọi spec tổng gộp</w:t>
      </w:r>
    </w:p>
    <w:p>
      <w:pPr>
        <w:pStyle w:val="BodyText"/>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14"/>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14"/>
        </w:numPr>
        <w:pStyle w:val="Compact"/>
      </w:pPr>
      <w:r>
        <w:rPr>
          <w:bCs/>
          <w:b/>
        </w:rPr>
        <w:t xml:space="preserve">Cảnh báo phương pháp luận</w:t>
      </w:r>
      <w:r>
        <w:t xml:space="preserve">: biến giả không phải giải pháp vạn năng. Nó chỉ hấp thụ tác động tĩnh (mức trung bình) chứ không hiệu chỉnh được thay đổi phương sai do schema. Vì vậy cần đi cùng đề xuất 3b (anchor model) để kiểm tra độ vững.</w:t>
      </w:r>
    </w:p>
    <w:p>
      <w:pPr>
        <w:numPr>
          <w:ilvl w:val="0"/>
          <w:numId w:val="1014"/>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p>
      <w:pPr>
        <w:pStyle w:val="FirstParagraph"/>
      </w:pPr>
      <w:r>
        <w:rPr>
          <w:bCs/>
          <w:b/>
        </w:rPr>
        <w:t xml:space="preserve">b) Đề xuất 3b — Mô hình neo (anchor model)</w:t>
      </w:r>
    </w:p>
    <w:p>
      <w:pPr>
        <w:pStyle w:val="BodyText"/>
      </w:pPr>
      <w:r>
        <w:t xml:space="preserve">Quy trình 3 bước:</w:t>
      </w:r>
    </w:p>
    <w:p>
      <w:pPr>
        <w:numPr>
          <w:ilvl w:val="0"/>
          <w:numId w:val="1015"/>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15"/>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15"/>
        </w:numPr>
      </w:pPr>
      <w:r>
        <w:t xml:space="preserve">Re-run hồi quy với data đầy đủ 2009-2025 (n=101.185), so sánh:</w:t>
      </w:r>
    </w:p>
    <w:p>
      <w:pPr>
        <w:numPr>
          <w:ilvl w:val="0"/>
          <w:numId w:val="1016"/>
        </w:numPr>
        <w:pStyle w:val="Compact"/>
      </w:pPr>
      <w:r>
        <w:t xml:space="preserve">Coefficient stability test (Wald test, Chow test): hệ số FSTS, FSTS², TCI, DAI có thay đổi significantly khi thêm 2025 không?</w:t>
      </w:r>
    </w:p>
    <w:p>
      <w:pPr>
        <w:numPr>
          <w:ilvl w:val="0"/>
          <w:numId w:val="1016"/>
        </w:numPr>
        <w:pStyle w:val="Compact"/>
      </w:pPr>
      <w:r>
        <w:t xml:space="preserve">Likelihood ratio test giữa 2 mô hình: Δ AIC, Δ BIC.</w:t>
      </w:r>
    </w:p>
    <w:p>
      <w:pPr>
        <w:numPr>
          <w:ilvl w:val="0"/>
          <w:numId w:val="1016"/>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p>
      <w:pPr>
        <w:pStyle w:val="BodyText"/>
      </w:pPr>
      <w:r>
        <w:rPr>
          <w:bCs/>
          <w:b/>
        </w:rPr>
        <w:t xml:space="preserve">c) Đề xuất 3c — Tách 2025 thành</w:t>
      </w:r>
      <w:r>
        <w:rPr>
          <w:bCs/>
          <w:b/>
        </w:rPr>
        <w:t xml:space="preserve"> </w:t>
      </w:r>
      <w:r>
        <w:rPr>
          <w:bCs/>
          <w:b/>
        </w:rPr>
        <w:t xml:space="preserve">“</w:t>
      </w:r>
      <w:r>
        <w:rPr>
          <w:bCs/>
          <w:b/>
        </w:rPr>
        <w:t xml:space="preserve">Panel hậu đại dịch độc lập</w:t>
      </w:r>
      <w:r>
        <w:rPr>
          <w:bCs/>
          <w:b/>
        </w:rPr>
        <w:t xml:space="preserve">”</w:t>
      </w:r>
    </w:p>
    <w:p>
      <w:pPr>
        <w:pStyle w:val="BodyText"/>
      </w:pPr>
      <w:r>
        <w:t xml:space="preserve">Thay vì cố ép 2025 vào đường xu hướng lịch sử, dành riêng một sub-section trong CĐ2 (đề xuất §X.Y trong §2.3.3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báo cáo H1-H6 + H7 + Lin-Mehlum tests.</w:t>
      </w:r>
      <w:r>
        <w:t xml:space="preserve"> </w:t>
      </w:r>
      <w:r>
        <w:t xml:space="preserve">-</w:t>
      </w:r>
      <w:r>
        <w:t xml:space="preserve"> </w:t>
      </w:r>
      <w:r>
        <w:rPr>
          <w:bCs/>
          <w:b/>
        </w:rPr>
        <w:t xml:space="preserve">Bước 2</w:t>
      </w:r>
      <w:r>
        <w:t xml:space="preserve">: Test cùng mô hình trên data 2025 only (n=17.107)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t xml:space="preserve">Cách tiếp cận này biến một rủi ro dữ liệu (đứt gãy schema) thành một chương phân tích hướng tới tương lai có giá trị (tác giả, ghi chú phân tích nội bộ, 2026).</w:t>
      </w:r>
    </w:p>
    <w:p>
      <w:pPr>
        <w:pStyle w:val="BodyText"/>
      </w:pPr>
      <w:r>
        <w:rPr>
          <w:bCs/>
          <w:b/>
        </w:rPr>
        <w:t xml:space="preserve">d) Liên kết với §2.3.3 (yếu tố giải thích) và §2.4.3 (hàm ý CĐ2)</w:t>
      </w:r>
    </w:p>
    <w:p>
      <w:pPr>
        <w:pStyle w:val="BodyText"/>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mục §2.3.2–§2.4 chuyên đề §2.4.3.4 hàm ý cho CĐ2, robustness check section.</w:t>
      </w:r>
    </w:p>
    <w:p>
      <w:r>
        <w:pict>
          <v:rect style="width:0;height:1.5pt" o:hralign="center" o:hrstd="t" o:hr="t"/>
        </w:pic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r>
        <w:t xml:space="preserve"> </w:t>
      </w:r>
      <w:r>
        <w:t xml:space="preserve">—</w:t>
      </w:r>
    </w:p>
    <w:bookmarkEnd w:id="76"/>
    <w:bookmarkEnd w:id="77"/>
    <w:bookmarkStart w:id="87" w:name="bảy-tiểu-cảnh-điển-hình"/>
    <w:p>
      <w:pPr>
        <w:pStyle w:val="Heading4"/>
      </w:pPr>
      <w:r>
        <w:t xml:space="preserve">2.3.2 Bảy tiểu cảnh điển hình</w:t>
      </w:r>
    </w:p>
    <w:bookmarkStart w:id="78" w:name="Xe8397d3c57d7466dc5cdf33105cff560c510b10"/>
    <w:p>
      <w:pPr>
        <w:pStyle w:val="Heading5"/>
      </w:pPr>
      <w:r>
        <w:t xml:space="preserve">2.3.2.1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là 1,03. Đây là</w:t>
      </w:r>
      <w:r>
        <w:t xml:space="preserve"> </w:t>
      </w:r>
      <w:r>
        <w:rPr>
          <w:bCs/>
          <w:b/>
        </w:rPr>
        <w:t xml:space="preserve">biên trên (upper boundary)</w:t>
      </w:r>
      <w:r>
        <w:t xml:space="preserve"> </w:t>
      </w:r>
      <w:r>
        <w:t xml:space="preserve">của nhóm Advanced đổi mới sáng tạo dẫn dắt. Theo bài báo phân tích Singapore (Singapore, MIR), mô hình M8 cho R² hiệu chỉnh bằng 0,196, tương tác FSTS² × DAI bằng 3,119, với điểm uốn (turning point) ở mức khoảng 82%.</w:t>
      </w:r>
    </w:p>
    <w:bookmarkEnd w:id="78"/>
    <w:bookmarkStart w:id="79" w:name="Xcd9fa829f006cba94cdb0b83c4ae7c647970610"/>
    <w:p>
      <w:pPr>
        <w:pStyle w:val="Heading5"/>
      </w:pPr>
      <w:r>
        <w:t xml:space="preserve">2.3.2.2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 đặc trưng</w:t>
      </w:r>
      <w:r>
        <w:t xml:space="preserve"> </w:t>
      </w:r>
      <w:r>
        <w:rPr>
          <w:bCs/>
          <w:b/>
        </w:rPr>
        <w:t xml:space="preserve">nhà nước tô (rentier state)</w:t>
      </w:r>
      <w:r>
        <w:t xml:space="preserve"> </w:t>
      </w:r>
      <w:r>
        <w:t xml:space="preserve">theo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trong đó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hạ mạnh dự báo tăng trưởng Saudi Arabia từ khoảng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dự báo Pacific 3,4%, Đông Nam Á 4,7% và Việt Nam 7,0%, qua đó củng cố luận điểm về dị biệt giữa Advanced innovation và resource.</w:t>
      </w:r>
    </w:p>
    <w:bookmarkEnd w:id="79"/>
    <w:bookmarkStart w:id="80" w:name="X6e6ea2cbb7d2ea6293626066fb44a7d7b15d0b7"/>
    <w:p>
      <w:pPr>
        <w:pStyle w:val="Heading5"/>
      </w:pPr>
      <w:r>
        <w:t xml:space="preserve">2.3.2.3 Việt Nam (n=3.077, 3 đợt khảo sát) — cập nhật với ADB Vietnam Outlook 2026</w:t>
      </w:r>
    </w:p>
    <w:p>
      <w:pPr>
        <w:pStyle w:val="BlockText"/>
      </w:pPr>
      <w:r>
        <w:rPr>
          <w:bCs/>
          <w:b/>
        </w:rPr>
        <w:t xml:space="preserve">Ghi chú đối chiếu cỡ mẫu (n)</w:t>
      </w:r>
      <w:r>
        <w:t xml:space="preserve">: Việt Nam có</w:t>
      </w:r>
      <w:r>
        <w:t xml:space="preserve"> </w:t>
      </w:r>
      <w:r>
        <w:rPr>
          <w:bCs/>
          <w:b/>
        </w:rPr>
        <w:t xml:space="preserve">n=3.077 doanh nghiệp</w:t>
      </w:r>
      <w:r>
        <w:t xml:space="preserve"> </w:t>
      </w:r>
      <w:r>
        <w:t xml:space="preserve">tổng cộng trong nhóm dữ liệu WBES (toàn bộ doanh nghiệp Việt Nam trong pool), trong khi</w:t>
      </w:r>
      <w:r>
        <w:t xml:space="preserve"> </w:t>
      </w:r>
      <w:r>
        <w:rPr>
          <w:bCs/>
          <w:b/>
        </w:rPr>
        <w:t xml:space="preserve">n=2.958 doanh nghiệp</w:t>
      </w:r>
      <w:r>
        <w:t xml:space="preserve"> </w:t>
      </w:r>
      <w:r>
        <w:t xml:space="preserve">là mẫu phụ đủ biến cho phân tích hồi quy (complete-case sample: sau khi loại các quan sát thiếu dữ liệu log năng suất, FSTS, TCI hoặc DAI). Chênh lệch 119 doanh nghiệp (3,9% mẫu) phản ánh dữ liệu khuyết (missing data) ở một số biến giải thích, không phải sai lệch số liệu. Các thống kê mô tả cấp quốc gia trong Mục 5.3 và Bảng 5.1 dùng n=3.077; các hệ số hồi quy và đối chiếu CDCM (Bảng 6.1.2, mục §2.3.1 chuyên đề §2.3.1.4.5.1) dùng n=2.958.</w:t>
      </w:r>
    </w:p>
    <w:p>
      <w:pPr>
        <w:pStyle w:val="FirstParagraph"/>
      </w:pPr>
      <w:r>
        <w:t xml:space="preserve">FSTS suy giảm dần qua các đợt, từ 23,2% còn 17,9% rồi 16,1%; doanh nghiệp xuất khẩu giảm từ 37,1% xuống 23,8%; ISO 17–23%; R&amp;D 6,1% (đợt 2023). Đây là pattern</w:t>
      </w:r>
      <w:r>
        <w:t xml:space="preserve"> </w:t>
      </w:r>
      <w:r>
        <w:rPr>
          <w:bCs/>
          <w:b/>
        </w:rPr>
        <w:t xml:space="preserve">kinh tế hai tầng (two-tier economy)</w:t>
      </w:r>
      <w:r>
        <w:t xml:space="preserve">, nơi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cao nhất khu vực Đông Nam Á, và dự phóng</w:t>
      </w:r>
      <w:r>
        <w:t xml:space="preserve"> </w:t>
      </w:r>
      <w:r>
        <w:rPr>
          <w:bCs/>
          <w:b/>
        </w:rPr>
        <w:t xml:space="preserve">7,2% (2026), 7,0% (2027)</w:t>
      </w:r>
      <w:r>
        <w:t xml:space="preserve">, vượt mức bình quân ASEAN 4,6% và Đông Nam Á 4,7%. Bốn động lực chính gồm: (a) FDI commitment $2,4 tỷ qua 18 dự án chiến lược; (b) năng suất lao động tăng 5,1% giai đoạn 2026-2027; (c) kinh tế hai tầng tiếp tục phân kỳ, cùng ADB Policy-Based Loans $2,4B hướng vào SME nội địa; (d) GVC re-positioning chuyển từ assembly downstream sang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4 mảng bổ sung</w:t>
      </w:r>
      <w:r>
        <w:t xml:space="preserve">:</w:t>
      </w:r>
    </w:p>
    <w:p>
      <w:pPr>
        <w:numPr>
          <w:ilvl w:val="0"/>
          <w:numId w:val="1017"/>
        </w:numPr>
      </w:pPr>
      <w:r>
        <w:rPr>
          <w:bCs/>
          <w:b/>
        </w:rPr>
        <w:t xml:space="preserve">Lạm phát</w:t>
      </w:r>
      <w:r>
        <w:t xml:space="preserve">: ADB dự báo</w:t>
      </w:r>
      <w:r>
        <w:t xml:space="preserve"> </w:t>
      </w:r>
      <w:r>
        <w:rPr>
          <w:bCs/>
          <w:b/>
        </w:rPr>
        <w:t xml:space="preserve">4,0% (2026), 3,8% (2027)</w:t>
      </w:r>
      <w:r>
        <w:t xml:space="preserve">, nằm trong vùng mục tiêu của Ngân hàng Nhà nước (không quá 4,5%). Áp lực đến từ giá năng lượng, xung đột Trung Đông kéo dài và đứt gãy chuỗi cung ứng vận tải biển. Việc kiểm soát được lạm phát tạo dư địa cho chính sách tiền tệ nới lỏng.</w:t>
      </w:r>
    </w:p>
    <w:p>
      <w:pPr>
        <w:numPr>
          <w:ilvl w:val="0"/>
          <w:numId w:val="1017"/>
        </w:numPr>
      </w:pPr>
      <w:r>
        <w:rPr>
          <w:bCs/>
          <w:b/>
        </w:rPr>
        <w:t xml:space="preserve">Cấu trúc ngành</w:t>
      </w:r>
      <w:r>
        <w:t xml:space="preserve"> </w:t>
      </w:r>
      <w:r>
        <w:t xml:space="preserve">(theo đóng góp tăng trưởng 2026):</w:t>
      </w:r>
      <w:r>
        <w:t xml:space="preserve"> </w:t>
      </w:r>
      <w:r>
        <w:rPr>
          <w:bCs/>
          <w:b/>
        </w:rPr>
        <w:t xml:space="preserve">công nghiệp và xây dựng 7,7%</w:t>
      </w:r>
      <w:r>
        <w:t xml:space="preserve"> </w:t>
      </w:r>
      <w:r>
        <w:t xml:space="preserve">(FDI manufacturing cộng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sự chuyển dịch tiếp tục từ nông nghiệp sang công nghiệp rồi sang dịch vụ chất lượng cao.</w:t>
      </w:r>
    </w:p>
    <w:p>
      <w:pPr>
        <w:numPr>
          <w:ilvl w:val="0"/>
          <w:numId w:val="1017"/>
        </w:numPr>
      </w:pPr>
      <w:r>
        <w:rPr>
          <w:bCs/>
          <w:b/>
        </w:rPr>
        <w:t xml:space="preserve">Bốn trụ cột tăng trưởng</w:t>
      </w:r>
      <w:r>
        <w:t xml:space="preserve">: (a)</w:t>
      </w:r>
      <w:r>
        <w:t xml:space="preserve"> </w:t>
      </w:r>
      <w:r>
        <w:rPr>
          <w:bCs/>
          <w:b/>
        </w:rPr>
        <w:t xml:space="preserve">đầu tư công</w:t>
      </w:r>
      <w:r>
        <w:t xml:space="preserve"> </w:t>
      </w:r>
      <w:r>
        <w:t xml:space="preserve">với gói 800.000 tỷ VND giải ngân ưu tiên cho hạ tầng giao thông, năng lượng sạch và chuyển đổi số chính phủ; (b)</w:t>
      </w:r>
      <w:r>
        <w:t xml:space="preserve"> </w:t>
      </w:r>
      <w:r>
        <w:rPr>
          <w:bCs/>
          <w:b/>
        </w:rPr>
        <w:t xml:space="preserve">chính sách tiền tệ nới lỏng</w:t>
      </w:r>
      <w:r>
        <w:t xml:space="preserve">, khi Ngân hàng Nhà nước duy trì lãi suất tái cấp vốn thấp và mở rộng tín dụng có chọn lọc cho SME cùng manufacturing; (c)</w:t>
      </w:r>
      <w:r>
        <w:t xml:space="preserve"> </w:t>
      </w:r>
      <w:r>
        <w:rPr>
          <w:bCs/>
          <w:b/>
        </w:rPr>
        <w:t xml:space="preserve">FDI inflows</w:t>
      </w:r>
      <w:r>
        <w:t xml:space="preserve"> </w:t>
      </w:r>
      <w:r>
        <w:t xml:space="preserve">với $2,4 tỷ commitment qua 18 dự án chiến lược (fintech, năng lượng sạch, logistics, semiconductor packaging); (d)</w:t>
      </w:r>
      <w:r>
        <w:t xml:space="preserve"> </w:t>
      </w:r>
      <w:r>
        <w:rPr>
          <w:bCs/>
          <w:b/>
        </w:rPr>
        <w:t xml:space="preserve">xuất khẩu</w:t>
      </w:r>
      <w:r>
        <w:t xml:space="preserve">, duy trì hơn 30% kim ngạch sang Mỹ (đối tác lớn nhất) đồng thời đa dạng hóa qua CPTPP, RCEP và ACFTA.</w:t>
      </w:r>
    </w:p>
    <w:p>
      <w:pPr>
        <w:numPr>
          <w:ilvl w:val="0"/>
          <w:numId w:val="1017"/>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chip shortage và vận tải biển; (b)</w:t>
      </w:r>
      <w:r>
        <w:t xml:space="preserve"> </w:t>
      </w:r>
      <w:r>
        <w:rPr>
          <w:bCs/>
          <w:b/>
        </w:rPr>
        <w:t xml:space="preserve">chính sách thuế quan Mỹ 2026</w:t>
      </w:r>
      <w:r>
        <w:t xml:space="preserve">, với thuế 10% tạm thời và nguy cơ tăng lên 15% (xem Lớp 7 ở Mục 1.1 mục §2.1–§2.2 chuyên đề); (c)</w:t>
      </w:r>
      <w:r>
        <w:t xml:space="preserve"> </w:t>
      </w:r>
      <w:r>
        <w:rPr>
          <w:bCs/>
          <w:b/>
        </w:rPr>
        <w:t xml:space="preserve">thanh khoản nội địa</w:t>
      </w:r>
      <w:r>
        <w:t xml:space="preserve">, khi tỷ lệ nợ doanh nghiệp trên GDP cao (khoảng 120%); (d)</w:t>
      </w:r>
      <w:r>
        <w:t xml:space="preserve"> </w:t>
      </w:r>
      <w:r>
        <w:rPr>
          <w:bCs/>
          <w:b/>
        </w:rPr>
        <w:t xml:space="preserve">nợ xấu hệ thống ngân hàng</w:t>
      </w:r>
      <w:r>
        <w:t xml:space="preserve">, đặc biệt từ bất động sản; (e)</w:t>
      </w:r>
      <w:r>
        <w:t xml:space="preserve"> </w:t>
      </w:r>
      <w:r>
        <w:rPr>
          <w:bCs/>
          <w:b/>
        </w:rPr>
        <w:t xml:space="preserve">trái phiếu doanh nghiệp yếu</w:t>
      </w:r>
      <w:r>
        <w:t xml:space="preserve"> </w:t>
      </w:r>
      <w:r>
        <w:t xml:space="preserve">sau khủng hoảng Tân Hoàng Minh và Vạn Thịnh Phát 2022-2024, đòi hỏi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để đo bước chuyển từ assembly sang higher-value của FDI manufacturing, dùng làm kiểm định cho</w:t>
      </w:r>
      <w:r>
        <w:t xml:space="preserve"> </w:t>
      </w:r>
      <w:r>
        <w:rPr>
          <w:bCs/>
          <w:b/>
        </w:rPr>
        <w:t xml:space="preserve">H7 về tương tác industry × institutional dynamism</w:t>
      </w:r>
      <w:r>
        <w:t xml:space="preserve"> </w:t>
      </w:r>
      <w:r>
        <w:t xml:space="preserve">(Kafouros ctv.,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dịch vụ, nông nghiệp) làm control variable trong robustness check #6 (sector composition adjustment).</w:t>
      </w:r>
    </w:p>
    <w:bookmarkEnd w:id="80"/>
    <w:bookmarkStart w:id="81" w:name="trung-quốc-n4.889"/>
    <w:p>
      <w:pPr>
        <w:pStyle w:val="Heading5"/>
      </w:pPr>
      <w:r>
        <w:t xml:space="preserve">2.3.2.4 Trung Quốc (n=4.889)</w:t>
      </w:r>
    </w:p>
    <w:p>
      <w:pPr>
        <w:pStyle w:val="FirstParagraph"/>
      </w:pPr>
      <w:r>
        <w:t xml:space="preserve">FSTS giảm từ 10,9% xuống 8,8%; FDI ≥10% chiếm 6,0%. Quan hệ giữa FSTS và năng suất có dạng đường cong bậc hai (inverted-U), với điểm uốn 49,4% (2012) và 47,2% (2024), bền vững theo kiểm định Paternoster. Wang, Huang và Hong (2024,</w:t>
      </w:r>
      <w:r>
        <w:t xml:space="preserve"> </w:t>
      </w:r>
      <w:r>
        <w:rPr>
          <w:iCs/>
          <w:i/>
        </w:rPr>
        <w:t xml:space="preserve">IRFA</w:t>
      </w:r>
      <w:r>
        <w:t xml:space="preserve">) cho thấy 80% bank risk models ở PRC phụ thuộc vào dominant tech providers, tạo nên</w:t>
      </w:r>
      <w:r>
        <w:t xml:space="preserve"> </w:t>
      </w:r>
      <w:r>
        <w:rPr>
          <w:bCs/>
          <w:b/>
        </w:rPr>
        <w:t xml:space="preserve">concentration risk</w:t>
      </w:r>
      <w:r>
        <w:t xml:space="preserve"> </w:t>
      </w:r>
      <w:r>
        <w:t xml:space="preserve">trong digital ecosystem của PRC.</w:t>
      </w:r>
    </w:p>
    <w:p>
      <w:pPr>
        <w:pStyle w:val="BodyText"/>
      </w:pPr>
      <w:r>
        <w:rPr>
          <w:bCs/>
          <w:b/>
        </w:rPr>
        <w:t xml:space="preserve">Khung Zombie firms PRC: lý giải bổ sung cho điểm uốn bậc hai (inverted-U) ~49%</w:t>
      </w:r>
      <w:r>
        <w:t xml:space="preserve">: Theo nghiên cứu của Caballero, Hoshi và Kashyap (2008,</w:t>
      </w:r>
      <w:r>
        <w:t xml:space="preserve"> </w:t>
      </w:r>
      <w:r>
        <w:rPr>
          <w:iCs/>
          <w:i/>
        </w:rPr>
        <w:t xml:space="preserve">American Economic Review</w:t>
      </w:r>
      <w:r>
        <w:t xml:space="preserve">) cùng ghi chú phân tích nội bộ của tác giả (2026),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18"/>
        </w:numPr>
      </w:pPr>
      <w:r>
        <w:rPr>
          <w:bCs/>
          <w:b/>
        </w:rPr>
        <w:t xml:space="preserve">Chậm đào thải</w:t>
      </w:r>
      <w:r>
        <w:t xml:space="preserve"> </w:t>
      </w:r>
      <w:r>
        <w:t xml:space="preserve">(slow exit): doanh nghiệp xác sống không phá sản nên vẫn chiếm dụng vốn vay ngân hàng, đất đai và lao động, qua đó kéo dài chu kỳ phân bổ sai nguồn lực (kênh Hsieh &amp; Klenow, 2009). Trong WBES PRC pool, một số firm zombie có FSTS cao do cố xuất khẩu để duy trì doanh thu nhưng năng suất thực lại thấp, góp phần kéo điểm uốn bậc hai về phía khoảng 49%.</w:t>
      </w:r>
    </w:p>
    <w:p>
      <w:pPr>
        <w:numPr>
          <w:ilvl w:val="0"/>
          <w:numId w:val="1018"/>
        </w:numPr>
      </w:pPr>
      <w:r>
        <w:rPr>
          <w:bCs/>
          <w:b/>
        </w:rPr>
        <w:t xml:space="preserve">Cản trở entry</w:t>
      </w:r>
      <w:r>
        <w:t xml:space="preserve"> </w:t>
      </w:r>
      <w:r>
        <w:t xml:space="preserve">(entry barrier): SME mới không thể chiếm thị phần vì zombie firms vẫn occupy thị trường nội địa với giá dumping. Điều này liên kết với Emerging Asia ở Mục 5.5: Việt Nam, Indonesia và India tránh được zombie effect nhờ market discipline mạnh hơn, nhờ đó entry rate cao và creative destruction (Schumpeter, 1942) hoạt động tốt hơn.</w:t>
      </w:r>
    </w:p>
    <w:p>
      <w:pPr>
        <w:numPr>
          <w:ilvl w:val="0"/>
          <w:numId w:val="1018"/>
        </w:numPr>
      </w:pPr>
      <w:r>
        <w:rPr>
          <w:bCs/>
          <w:b/>
        </w:rPr>
        <w:t xml:space="preserve">Concentration risk và zombie hybrid</w:t>
      </w:r>
      <w:r>
        <w:t xml:space="preserve">: phát hiện của Wang/Huang/Hong (2024) rằng 80% bank risk models của PRC phụ thuộc vào dominant tech providers, khi</w:t>
      </w:r>
      <w:r>
        <w:t xml:space="preserve"> </w:t>
      </w:r>
      <w:r>
        <w:rPr>
          <w:bCs/>
          <w:b/>
        </w:rPr>
        <w:t xml:space="preserve">kết hợp</w:t>
      </w:r>
      <w:r>
        <w:t xml:space="preserve"> </w:t>
      </w:r>
      <w:r>
        <w:t xml:space="preserve">với cấu trúc zombie firms, tạo ra rủi ro hệ thống: nếu fintech provider lock-in thất bại và zombie firms đồng loạt default cùng lúc thì có thể dẫn đến systemic banking crisis. Đây là rủi ro mới cho các doanh nghiệp xuất khẩu Việt Nam có liên hệ với Trung Quốc.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 có ROA dưới 0 trong 3 năm liên tiếp kèm tăng nợ vay) để kiểm tra xem điểm uốn bậc hai khoảng 49% có dịch chuyển khi loại zombie firms khỏi PRC subsample hay không. Đây là robustness check #7 (zombie-excluded re-estimation), bổ sung sau các kiểm định Manufacturing-only, ICT-excluded, Tourism-separated SIDS, Construction-tested Gulf, Mining-excluded resource và Sector composition adjustment.</w:t>
      </w:r>
    </w:p>
    <w:bookmarkEnd w:id="81"/>
    <w:bookmarkStart w:id="82" w:name="X1f94acac25bed45da20cf53e9ab6edd651a0a2e"/>
    <w:p>
      <w:pPr>
        <w:pStyle w:val="Heading5"/>
      </w:pPr>
      <w:r>
        <w:t xml:space="preserve">2.3.2.5 Tổng hợp Emerging Asia (n=42.278) — bổ sung trường hợp Ấn Độ</w:t>
      </w:r>
    </w:p>
    <w:p>
      <w:pPr>
        <w:pStyle w:val="FirstParagraph"/>
      </w:pPr>
      <w:r>
        <w:t xml:space="preserve">FSTS 7,6%; FDI ≥10% chiếm 4,4%; tỷ lệ doanh nghiệp có R&amp;D dương là 16%. Phân tán nội bộ lớn (sd log 2,18), phản ánh dị biệt rộng xuyên 7 nước Emerging.</w:t>
      </w:r>
    </w:p>
    <w:p>
      <w:pPr>
        <w:pStyle w:val="BodyText"/>
      </w:pPr>
      <w:r>
        <w:rPr>
          <w:bCs/>
          <w:b/>
        </w:rPr>
        <w:t xml:space="preserve">Trường hợp Ấn Độ: chứng cứ lan tỏa công nghệ (technology spillovers)</w:t>
      </w:r>
      <w:r>
        <w:t xml:space="preserve">: Sikdar và Mukhopadhyay (2026,</w:t>
      </w:r>
      <w:r>
        <w:t xml:space="preserve"> </w:t>
      </w:r>
      <w:r>
        <w:rPr>
          <w:iCs/>
          <w:i/>
        </w:rPr>
        <w:t xml:space="preserve">Asian Development Review, 43</w:t>
      </w:r>
      <w:r>
        <w:t xml:space="preserve">(1), pp.37-75) thực hiện nghiên cứu panel trên</w:t>
      </w:r>
      <w:r>
        <w:t xml:space="preserve"> </w:t>
      </w:r>
      <w:r>
        <w:rPr>
          <w:bCs/>
          <w:b/>
        </w:rPr>
        <w:t xml:space="preserve">4.293 doanh nghiệp Ấn Độ giai đoạn 2006-2019</w:t>
      </w:r>
      <w:r>
        <w:t xml:space="preserve">. Nghiên cứu này phát hiện rằng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lên $42,396M (2012-2022); chi tiêu R&amp;D trì trệ ở mức 0,7% GDP; và</w:t>
      </w:r>
      <w:r>
        <w:t xml:space="preserve"> </w:t>
      </w:r>
      <w:r>
        <w:rPr>
          <w:bCs/>
          <w:b/>
        </w:rPr>
        <w:t xml:space="preserve">đơn đăng ký sáng chế của cư dân (resident patent filing)</w:t>
      </w:r>
      <w:r>
        <w:t xml:space="preserve"> </w:t>
      </w:r>
      <w:r>
        <w:t xml:space="preserve">tăng +11,9% mỗi năm trong 2012-2022.</w:t>
      </w:r>
    </w:p>
    <w:bookmarkEnd w:id="82"/>
    <w:bookmarkStart w:id="83" w:name="X7d16e64d9573be7621d2bb233de576b8fd08afb"/>
    <w:p>
      <w:pPr>
        <w:pStyle w:val="Heading5"/>
      </w:pPr>
      <w:r>
        <w:t xml:space="preserve">2.3.2.6 Mongolia — từ lời nguyền tài nguyên đến chuyển đổi critical minerals (n=1.905, 4 đợt 2009–2025)</w:t>
      </w:r>
    </w:p>
    <w:p>
      <w:pPr>
        <w:pStyle w:val="FirstParagraph"/>
      </w:pPr>
      <w:r>
        <w:t xml:space="preserve">FSTS đình trệ ở mức 4-6%; FDI ≥10% giảm rõ từ</w:t>
      </w:r>
      <w:r>
        <w:t xml:space="preserve"> </w:t>
      </w:r>
      <w:r>
        <w:rPr>
          <w:bCs/>
          <w:b/>
        </w:rPr>
        <w:t xml:space="preserve">7,2% xuống 3,2%</w:t>
      </w:r>
      <w:r>
        <w:t xml:space="preserve">; tỷ lệ website tăng từ 39% lên 65%. Đây là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chuyển đổi critical minerals (ADB, 2026, May)</w:t>
      </w:r>
      <w:r>
        <w:t xml:space="preserve">: Mongolia nằm ở giao điểm chiến lược của</w:t>
      </w:r>
      <w:r>
        <w:t xml:space="preserve"> </w:t>
      </w:r>
      <w:r>
        <w:rPr>
          <w:bCs/>
          <w:b/>
        </w:rPr>
        <w:t xml:space="preserve">11 critical minerals</w:t>
      </w:r>
      <w:r>
        <w:t xml:space="preserve"> </w:t>
      </w:r>
      <w:r>
        <w:t xml:space="preserve">(Cu, Li, Mo, Mn, Co, Ni, W, REE, v.v.). Cu exports đạt 1,69 Mt (2024), tương đương 22,1% tổng xuất khẩu. Oyu Tolgoi đặt mục tiêu 500.000 tấn mỗi năm trong 2028-2036. Trung Quốc giữ vị thế áp đảo về chế biến với 100% graphite, 90% Mn và 70% Co. CĐ2 sẽ bổ sung biến</w:t>
      </w:r>
      <w:r>
        <w:t xml:space="preserve"> </w:t>
      </w:r>
      <w:r>
        <w:rPr>
          <w:rStyle w:val="VerbatimChar"/>
        </w:rPr>
        <w:t xml:space="preserve">Critical_Minerals_Exposure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Hình 5.6.1, Mongolia: Evolution 2009–2025 (4 đợt khảo sát WBES)</w:t>
            </w:r>
          </w:p>
        </w:tc>
      </w:tr>
    </w:tbl>
    <w:p>
      <w:pPr>
        <w:pStyle w:val="ImageCaption"/>
      </w:pPr>
      <w:r>
        <w:t xml:space="preserve">Hình 5.6.1, Mongolia: Evolution 2009–2025 (4 đợt khảo sát WBES)</w:t>
      </w:r>
    </w:p>
    <w:bookmarkEnd w:id="83"/>
    <w:bookmarkStart w:id="84" w:name="sids-thái-bình-dương-7-nước-n1.371"/>
    <w:p>
      <w:pPr>
        <w:pStyle w:val="Heading5"/>
      </w:pPr>
      <w:r>
        <w:t xml:space="preserve">2.3.2.7 SIDS Thái Bình Dương (7 nước, n=1.371)</w:t>
      </w:r>
    </w:p>
    <w:p>
      <w:pPr>
        <w:pStyle w:val="FirstParagraph"/>
      </w:pPr>
      <w:r>
        <w:rPr>
          <w:bCs/>
          <w:b/>
        </w:rPr>
        <w:t xml:space="preserve">Bảy nước</w:t>
      </w:r>
      <w:r>
        <w:t xml:space="preserve">: Fiji (FJI), Papua New Guinea (PNG), Solomon Islands (SLB), Tonga (TON), Vanuatu (VUT), Samoa (WSM) và</w:t>
      </w:r>
      <w:r>
        <w:t xml:space="preserve"> </w:t>
      </w:r>
      <w:r>
        <w:rPr>
          <w:bCs/>
          <w:b/>
        </w:rPr>
        <w:t xml:space="preserve">Kiribati (KIR, bổ sung năm 2025)</w:t>
      </w:r>
      <w:r>
        <w:t xml:space="preserve">. Tổng n=1.371. FSTS 6,3%; FDI ≥10% đạt</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Đây là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trường hợp biên CỰC ĐOAN nhất</w:t>
      </w:r>
      <w:r>
        <w:t xml:space="preserve">: FSTS 1,03%, FDI 0,7%, website 18,7%, ISO 1,3%, sd log 1,48, SME 93,3%. GDP bình quân đầu người khoảng 1.700 USD, viện trợ AUS/NZ khoảng 30% GDP.</w:t>
      </w:r>
    </w:p>
    <w:bookmarkEnd w:id="84"/>
    <w:bookmarkStart w:id="85" w:name="bối-cảnh-kinh-tế-vĩ-mô-pics-pacific"/>
    <w:p>
      <w:pPr>
        <w:pStyle w:val="Heading5"/>
      </w:pPr>
      <w:r>
        <w:t xml:space="preserve">2.3.2.7.5 Bối cảnh kinh tế vĩ mô PICs Pacific</w:t>
      </w:r>
    </w:p>
    <w:p>
      <w:pPr>
        <w:pStyle w:val="FirstParagraph"/>
      </w:pPr>
      <w:r>
        <w:t xml:space="preserve">PICs vận hành trên 4 trụ cột MIRAB (Bertram, 2006): (1) khu vực công chủ đạo (30-50% việc làm chính thức); (2) phụ thuộc 4 nguồn ngoại sinh là nông nghiệp tự cấp, ODA 30% GDP, remittances 25-40% GDP và khai thác tài nguyên; (3) thanh niên thất nghiệp 15-30%, dân số dưới 25 tuổi chiếm hơn 50%; (4) migration labor qua PLMS Australia và RSE New Zealand như kênh sinh tồn (Vanuatu RSE chiếm 15-20% GDP). Có thể liên kết các điểm sau: Fiji với website 74,8% vượt Singapore (nhờ PLMS và remittance corridors); Kiribati chỉ 18,7% (các outer island không có internet); và SIDS innovation 41,5% (bricolage theo Baker &amp; Nelson 2005). CĐ2 sẽ bổ sung 3 control variables đặc thù PICs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85"/>
    <w:bookmarkStart w:id="86" w:name="so-sánh-tổng-hợp"/>
    <w:p>
      <w:pPr>
        <w:pStyle w:val="Heading5"/>
      </w:pPr>
      <w:r>
        <w:t xml:space="preserve">2.3.2.8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86"/>
    <w:bookmarkEnd w:id="87"/>
    <w:bookmarkStart w:id="92" w:name="các-yếu-tố-giải-thích-sơ-bộ"/>
    <w:p>
      <w:pPr>
        <w:pStyle w:val="Heading4"/>
      </w:pPr>
      <w:r>
        <w:t xml:space="preserve">2.3.3 Các yếu tố giải thích sơ bộ</w:t>
      </w:r>
    </w:p>
    <w:p>
      <w:pPr>
        <w:pStyle w:val="FirstParagraph"/>
      </w:pPr>
      <w:r>
        <w:rPr>
          <w:bCs/>
          <w:b/>
        </w:rPr>
        <w:t xml:space="preserve">Bảng 6.1</w:t>
      </w:r>
      <w:r>
        <w:t xml:space="preserve">.</w:t>
      </w:r>
      <w:r>
        <w:t xml:space="preserve"> </w:t>
      </w:r>
      <w:r>
        <w:rPr>
          <w:iCs/>
          <w:i/>
        </w:rPr>
        <w:t xml:space="preserve">Hệ số tương quan Pearson (n=101.185).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ở SIDS (+0,222); (2) FDI âm ở Advanced; (3) FSTS dương ở Advanced, phù hợp Uppsala và OLI; (4) TCI dương ở SIDS và Advanced; (5) DAI âm ở Advanced do Tier-1 saturation; (6) đảo dấu cross-regime, phản ánh institutional moderation.</w:t>
      </w:r>
    </w:p>
    <w:p>
      <w:pPr>
        <w:pStyle w:val="BodyText"/>
      </w:pPr>
      <w:r>
        <w:rPr>
          <w:bCs/>
          <w:b/>
        </w:rPr>
        <w:t xml:space="preserve">Cảnh báo schema BREADY 2025</w:t>
      </w:r>
      <w:r>
        <w:t xml:space="preserve">: bảng 6.1 có thể bị nhiễu schema effect, cần kiểm chứng qua hệ thống</w:t>
      </w:r>
      <w:r>
        <w:t xml:space="preserve"> </w:t>
      </w:r>
      <w:r>
        <w:t xml:space="preserve">“</w:t>
      </w:r>
      <w:r>
        <w:t xml:space="preserve">triple-defense</w:t>
      </w:r>
      <w:r>
        <w:t xml:space="preserve">”</w:t>
      </w:r>
      <w:r>
        <w:t xml:space="preserve"> </w:t>
      </w:r>
      <w:r>
        <w:t xml:space="preserve">ở Mục 4.11 mục §2.3.1 chuyên đề.</w:t>
      </w:r>
    </w:p>
    <w:p>
      <w:pPr>
        <w:pStyle w:val="BodyText"/>
      </w:pPr>
      <w:r>
        <w:rPr>
          <w:bCs/>
          <w:b/>
        </w:rPr>
        <w:t xml:space="preserve">Lý giải dị biệt cross-regime qua Xu (2024) de jure-de facto</w:t>
      </w:r>
      <w:r>
        <w:t xml:space="preserve">: khoảng cách giữa formal và enforcement giải thích cho việc FDI đảo dấu giữa Emerging và Advanced.</w:t>
      </w:r>
    </w:p>
    <w:p>
      <w:pPr>
        <w:pStyle w:val="BodyText"/>
      </w:pPr>
      <w:r>
        <w:rPr>
          <w:bCs/>
          <w:b/>
        </w:rPr>
        <w:t xml:space="preserve">Lý giải bổ sung: Institutional Transaction Costs xuyên quốc gia (khung TCE Coase-Williamson, mở rộng từ Banalieva &amp; Dhanaraj 2019)</w:t>
      </w:r>
      <w:r>
        <w:t xml:space="preserve">: Việc đối chiếu phân tích Singapore và phân tích Việt Nam cho thấy dị biệt cross-regime trong Bảng 6.1 không chỉ phản ánh chất lượng thể chế formal mà còn phản ánh</w:t>
      </w:r>
      <w:r>
        <w:t xml:space="preserve"> </w:t>
      </w:r>
      <w:r>
        <w:rPr>
          <w:bCs/>
          <w:b/>
        </w:rPr>
        <w:t xml:space="preserve">chi phí giao dịch thể chế (institutional transaction costs)</w:t>
      </w:r>
      <w:r>
        <w:t xml:space="preserve">, vốn đo lường hạ tầng thương mại, logistics và năng lực hấp thụ chi phí điều phối xuyên biên giới (cross-border coordination cost absorption). Khung CDCM (Mục 2.7 mục §2.1–§2.2 chuyên đề) hợp nhất 3 chiều xuyên quốc gia như sau:</w:t>
      </w:r>
    </w:p>
    <w:p>
      <w:pPr>
        <w:pStyle w:val="BodyText"/>
      </w:pPr>
      <w:r>
        <w:rPr>
          <w:bCs/>
          <w:b/>
        </w:rPr>
        <w:t xml:space="preserve">Bảng 6.1.2</w:t>
      </w:r>
      <w:r>
        <w:t xml:space="preserve">.</w:t>
      </w:r>
      <w:r>
        <w:t xml:space="preserve"> </w:t>
      </w:r>
      <w:r>
        <w:rPr>
          <w:iCs/>
          <w:i/>
        </w:rPr>
        <w:t xml:space="preserve">Đối chiếu I-P curve + cơ chế DAI/TCI giữa Việt Nam vs Singapore,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null 2015, âm 2023 (β=-0,912, p=,043) ở DAI×FSTS, trở thành</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trở thành</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tức</w:t>
            </w:r>
            <w:r>
              <w:t xml:space="preserve"> </w:t>
            </w:r>
            <w:r>
              <w:rPr>
                <w:bCs/>
                <w:b/>
              </w:rPr>
              <w:t xml:space="preserve">không xác lập nhân quả</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(chỉ Tier 1) khiến chi phí điều phối xuyên biên giới (cross-border coordination cost) tăng vọt theo siêu tuyến tính (super-linearly, Brynjolfsson &amp; McAfee, 2014) ngay ở mức xuất khẩu trung bình, qua đó đẩy điểm uốn (TP) về vùng FSTS thấp 39-46%. Ở Singapore, hạ tầng số (Tier 1+2 gồm website, e-payment và integrated logistics) đã hấp thụ phần lớn chi phí này, đẩy ranh giới quá tải (overload boundary) về vùng FSTS cực cao khoảng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ở mức trung bình đến cao</w:t>
      </w:r>
      <w:r>
        <w:t xml:space="preserve">, nơi chi phí điều phối phi tuyến đủ lớn để tạo turnaround point trong vùng FSTS quan sát được; còn ở các nước có hạ tầng số trưởng thành, U-curve bị</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đưa ra ba dự đoán cho CĐ2 và luận án 5 chương. Một là</w:t>
      </w:r>
      <w:r>
        <w:t xml:space="preserve"> </w:t>
      </w:r>
      <w:r>
        <w:rPr>
          <w:bCs/>
          <w:b/>
        </w:rPr>
        <w:t xml:space="preserve">41 nước châu Á</w:t>
      </w:r>
      <w:r>
        <w:t xml:space="preserve"> </w:t>
      </w:r>
      <w:r>
        <w:t xml:space="preserve">sẽ tạo thành một continuum institutional transaction costs, trải từ Singapore (cực thấp), qua Việt Nam và Indonesia (trung bình), đến Mongolia, Pakistan và Bangladesh (cao). Hai là điểm uốn TP của đường cong I-P sẽ tương quan ngược với mức trưởng thành hạ tầng số quốc gia (đo qua DAI Tier 1+2 trung bình quốc gia). Ba là vai trò của TCI sẽ chuyển từ scarce advantage (ở các nước transaction cost cao) sang hygiene factor (ở các nước transaction cost thấp), qua đó xác nhận giả thuyết H7 về tương tác industry × institutional dynamism của Kafouros ctv. (2023). Đây là</w:t>
      </w:r>
      <w:r>
        <w:t xml:space="preserve"> </w:t>
      </w:r>
      <w:r>
        <w:rPr>
          <w:bCs/>
          <w:b/>
        </w:rPr>
        <w:t xml:space="preserve">đóng góp lý thuyết mới</w:t>
      </w:r>
      <w:r>
        <w:t xml:space="preserve"> </w:t>
      </w:r>
      <w:r>
        <w:t xml:space="preserve">cho luận án, tức việc lặp lại CDCM xuyên 41 nước châu Á.</w:t>
      </w:r>
    </w:p>
    <w:p>
      <w:pPr>
        <w:pStyle w:val="BodyText"/>
      </w:pPr>
      <w:r>
        <w:rPr>
          <w:bCs/>
          <w:b/>
        </w:rPr>
        <w:t xml:space="preserve">Tham chiếu</w:t>
      </w:r>
      <w:r>
        <w:t xml:space="preserve">: Coase (1937); Williamson (1985); Brynjolfsson &amp; McAfee (2014); Banalieva &amp; Dhanaraj (2019); Kafouros ctv. (2023); Đỗ &amp; Phan (2026a,</w:t>
      </w:r>
      <w:r>
        <w:t xml:space="preserve"> </w:t>
      </w:r>
      <w:r>
        <w:rPr>
          <w:iCs/>
          <w:i/>
        </w:rPr>
        <w:t xml:space="preserve">VEFR</w:t>
      </w:r>
      <w:r>
        <w:t xml:space="preserve">); Mục 2.7 mục §2.1–§2.2 chuyên đề (Khung 4-Tier Verhoef + CDCM).</w:t>
      </w:r>
    </w:p>
    <w:p>
      <w:pPr>
        <w:pStyle w:val="BodyText"/>
      </w:pPr>
      <w:r>
        <w:rPr>
          <w:bCs/>
          <w:b/>
        </w:rPr>
        <w:t xml:space="preserve">Hiệu ứng đẩy nhanh giao hàng và bất định chính sách thuế quan trong khung ICRV (front-loading effect và tariff uncertainty)</w:t>
      </w:r>
      <w:r>
        <w:t xml:space="preserve">: Theo ghi chú phân tích nội bộ của tác giả (2026), bất định chính sách thuế quan Mỹ 2026 (xem Lớp 7 ở Mục 1.1 mục §2.1–§2.2 chuyên đề) tạo ra</w:t>
      </w:r>
      <w:r>
        <w:t xml:space="preserve"> </w:t>
      </w:r>
      <w:r>
        <w:rPr>
          <w:bCs/>
          <w:b/>
        </w:rPr>
        <w:t xml:space="preserve">hiệu ứng đẩy nhanh giao hàng (front-loading effect)</w:t>
      </w:r>
      <w:r>
        <w:t xml:space="preserve">, khi doanh nghiệp xuất khẩu Việt Nam đẩy nhanh giao hàng ngắn hạn nhằm tận dụng cửa sổ thuế thấp 10% trước khi mức thuế tăng lên 15% trong nửa cuối 2026. Hậu quả là doanh thu xuất khẩu tăng ngắn hạn trong 2025 (đóng góp vào GDP 8,0%) nhưng lại làm giảm đà tăng trưởng 2026-2027 do hợp đồng tương lai bị</w:t>
      </w:r>
      <w:r>
        <w:t xml:space="preserve"> </w:t>
      </w:r>
      <w:r>
        <w:t xml:space="preserve">“</w:t>
      </w:r>
      <w:r>
        <w:t xml:space="preserve">ăn trước</w:t>
      </w:r>
      <w:r>
        <w:t xml:space="preserve">”</w:t>
      </w:r>
      <w:r>
        <w:t xml:space="preserve">. Trong khung ICRV, việc đẩy nhanh giao hàng cộng với bất định chính sách vận hành như một</w:t>
      </w:r>
      <w:r>
        <w:t xml:space="preserve"> </w:t>
      </w:r>
      <w:r>
        <w:rPr>
          <w:bCs/>
          <w:b/>
        </w:rPr>
        <w:t xml:space="preserve">cú sốc ngoại sinh (exogenous shock)</w:t>
      </w:r>
      <w:r>
        <w:t xml:space="preserve"> </w:t>
      </w:r>
      <w:r>
        <w:t xml:space="preserve">đảo dấu hệ số FSTS giữa hai nhóm. Với (a)</w:t>
      </w:r>
      <w:r>
        <w:t xml:space="preserve"> </w:t>
      </w:r>
      <w:r>
        <w:rPr>
          <w:bCs/>
          <w:b/>
        </w:rPr>
        <w:t xml:space="preserve">nhóm Emerging có năng lực FDI cao</w:t>
      </w:r>
      <w:r>
        <w:t xml:space="preserve"> </w:t>
      </w:r>
      <w:r>
        <w:t xml:space="preserve">(doanh nghiệp FDI sản xuất chế biến tại Việt Nam), khả năng đẩy nhanh và phòng ngừa rủi ro tốt khiến tương quan FSTS với năng suất dương mạnh trong ngắn hạn 2025, rồi đảo chiều âm trong 2026-2027 do</w:t>
      </w:r>
      <w:r>
        <w:t xml:space="preserve"> </w:t>
      </w:r>
      <w:r>
        <w:rPr>
          <w:bCs/>
          <w:b/>
        </w:rPr>
        <w:t xml:space="preserve">cạn kiệt đơn hàng tương lai (exhaustion of forward orders)</w:t>
      </w:r>
      <w:r>
        <w:t xml:space="preserve">. Với (b)</w:t>
      </w:r>
      <w:r>
        <w:t xml:space="preserve"> </w:t>
      </w:r>
      <w:r>
        <w:rPr>
          <w:bCs/>
          <w:b/>
        </w:rPr>
        <w:t xml:space="preserve">nhóm Emerging có năng lực FDI thấp</w:t>
      </w:r>
      <w:r>
        <w:t xml:space="preserve"> </w:t>
      </w:r>
      <w:r>
        <w:t xml:space="preserve">(doanh nghiệp nội địa SME thiếu</w:t>
      </w:r>
      <w:r>
        <w:t xml:space="preserve"> </w:t>
      </w:r>
      <w:r>
        <w:rPr>
          <w:bCs/>
          <w:b/>
        </w:rPr>
        <w:t xml:space="preserve">tồn kho dự phòng (buffer inventory)</w:t>
      </w:r>
      <w:r>
        <w:t xml:space="preserve">), việc không thể đẩy nhanh giao hàng khiến tương quan FSTS với năng suất yếu hoặc âm ở cả 2 giai đoạn. Về</w:t>
      </w:r>
      <w:r>
        <w:t xml:space="preserve"> </w:t>
      </w:r>
      <w:r>
        <w:rPr>
          <w:bCs/>
          <w:b/>
        </w:rPr>
        <w:t xml:space="preserve">sự phân hóa giữa doanh nghiệp lớn và SME</w:t>
      </w:r>
      <w:r>
        <w:t xml:space="preserve">: tập đoàn lớn hấp thụ chi phí thuế quan qua đa thị trường và phòng ngừa tài chính (financial hedging), trong khi SME phải chọn giữa tự hấp thụ chi phí (giảm biên lợi nhuận) hoặc chuyển giá cho khách hàng (mất đơn hàng). Hàm ý cho CĐ2 là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nhân với thời điểm giao hàng quý 1-2 năm 2026) vào kiểm định độ vững (robustness check) #8 về đẩy nhanh giao hàng được hiệu chỉnh (front-loading-adjusted re-estimation).</w:t>
      </w:r>
    </w:p>
    <w:bookmarkStart w:id="88" w:name="X91b9fe7408792a1402d97f763d72aec517b45c6"/>
    <w:p>
      <w:pPr>
        <w:pStyle w:val="Heading5"/>
      </w:pPr>
      <w:r>
        <w:t xml:space="preserve">2.3.3.1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nghịch lý giới châu Á</w:t>
      </w:r>
      <w:r>
        <w:t xml:space="preserve">: EAP có 33,4% nữ TMT, cao nhất toàn cầu, trong khi South Asia và MENA thấp nhất, phản ánh sự không đồng nhất về thể chế và văn hóa trong nội bộ</w:t>
      </w:r>
      <w:r>
        <w:t xml:space="preserve"> </w:t>
      </w:r>
      <w:r>
        <w:t xml:space="preserve">“</w:t>
      </w:r>
      <w:r>
        <w:t xml:space="preserve">châu Á</w:t>
      </w:r>
      <w:r>
        <w:t xml:space="preserve">”</w:t>
      </w:r>
      <w:r>
        <w:t xml:space="preserve">; (b)</w:t>
      </w:r>
      <w:r>
        <w:t xml:space="preserve"> </w:t>
      </w:r>
      <w:r>
        <w:rPr>
          <w:bCs/>
          <w:b/>
        </w:rPr>
        <w:t xml:space="preserve">MENA thấp nhất do rào cản cấu trúc</w:t>
      </w:r>
      <w:r>
        <w:t xml:space="preserve">: MENA chỉ có 3,3% nữ TMT và 1,7% nữ ownership, thấp nhất toàn cầu, phản ánh rào cản thể chế và luật pháp đặc thù (World Bank, 2024,</w:t>
      </w:r>
      <w:r>
        <w:t xml:space="preserve"> </w:t>
      </w:r>
      <w:r>
        <w:rPr>
          <w:iCs/>
          <w:i/>
        </w:rPr>
        <w:t xml:space="preserve">Women, Business and the Law</w:t>
      </w:r>
      <w:r>
        <w:t xml:space="preserve">); (c)</w:t>
      </w:r>
      <w:r>
        <w:t xml:space="preserve"> </w:t>
      </w:r>
      <w:r>
        <w:rPr>
          <w:bCs/>
          <w:b/>
        </w:rPr>
        <w:t xml:space="preserve">Trần sở hữu phổ biến</w:t>
      </w:r>
      <w:r>
        <w:t xml:space="preserve">: 43/50 nền kinh tế có ownership ceiling cao hơn management representation, gợi ý rào cản đặc thù ở cấp sở hữu vốn (equity ownership) so với vị trí quản lý; (d)</w:t>
      </w:r>
      <w:r>
        <w:t xml:space="preserve"> </w:t>
      </w:r>
      <w:r>
        <w:rPr>
          <w:bCs/>
          <w:b/>
        </w:rPr>
        <w:t xml:space="preserve">Các tham chiếu biên về TMT moderation</w:t>
      </w:r>
      <w:r>
        <w:t xml:space="preserve">: Mardones-Ibáñez (2025,</w:t>
      </w:r>
      <w:r>
        <w:t xml:space="preserve"> </w:t>
      </w:r>
      <w:r>
        <w:rPr>
          <w:iCs/>
          <w:i/>
        </w:rPr>
        <w:t xml:space="preserve">SAGE Open</w:t>
      </w:r>
      <w:r>
        <w:t xml:space="preserve">) trong bối cảnh Chile cùng Al-Najjar ctv. (2025,</w:t>
      </w:r>
      <w:r>
        <w:t xml:space="preserve"> </w:t>
      </w:r>
      <w:r>
        <w:rPr>
          <w:iCs/>
          <w:i/>
        </w:rPr>
        <w:t xml:space="preserve">IJHRM</w:t>
      </w:r>
      <w:r>
        <w:t xml:space="preserve">) về hiệu ứng U-shaped TMT gender ở S&amp;P 500 không suy rộng trực tiếp được sang ICRV Emerging hay Frontier; (e)</w:t>
      </w:r>
      <w:r>
        <w:t xml:space="preserve"> </w:t>
      </w:r>
      <w:r>
        <w:rPr>
          <w:bCs/>
          <w:b/>
        </w:rPr>
        <w:t xml:space="preserve">Giả thuyết bổ trợ công nghệ</w:t>
      </w:r>
      <w:r>
        <w:t xml:space="preserve"> </w:t>
      </w:r>
      <w:r>
        <w:t xml:space="preserve">(Carboni ctv., WBES 192K obs, 158 nước, 2006–2023): female top manager (</w:t>
      </w:r>
      <w:r>
        <w:rPr>
          <w:rStyle w:val="VerbatimChar"/>
        </w:rPr>
        <w:t xml:space="preserve">b7a</w:t>
      </w:r>
      <w:r>
        <w:t xml:space="preserve">) tương tác với technology adoption, với tác động lên ESG-performance mạnh hơn khi doanh nghiệp có DAI cao; (f)</w:t>
      </w:r>
      <w:r>
        <w:t xml:space="preserve"> </w:t>
      </w:r>
      <w:r>
        <w:rPr>
          <w:bCs/>
          <w:b/>
        </w:rPr>
        <w:t xml:space="preserve">Tính dị biệt về hiệu quả doanh nghiệp</w:t>
      </w:r>
      <w:r>
        <w:t xml:space="preserve"> </w:t>
      </w:r>
      <w:r>
        <w:t xml:space="preserve">(World Bank, 2024,</w:t>
      </w:r>
      <w:r>
        <w:t xml:space="preserve"> </w:t>
      </w:r>
      <w:r>
        <w:rPr>
          <w:iCs/>
          <w:i/>
        </w:rPr>
        <w:t xml:space="preserve">Unlocking Global Growth: Closing the Gender Gap in Business</w:t>
      </w:r>
      <w:r>
        <w:t xml:space="preserve">): doanh nghiệp có nữ sở hữu đa số có doanh thu trên nhân viên thấp hơn trung bình nhưng tốc độ tăng trưởng việc làm cao hơn ở nhóm Frontier và Emerging, một pattern phù hợp với việc CAGR việc làm SIDS cao nhất (5,77%) ở Mục 4.3.</w:t>
      </w:r>
    </w:p>
    <w:p>
      <w:pPr>
        <w:pStyle w:val="BodyText"/>
      </w:pPr>
      <w:r>
        <w:rPr>
          <w:bCs/>
          <w:b/>
        </w:rPr>
        <w:t xml:space="preserve">Liên kết với Mục 4.5.6</w:t>
      </w:r>
      <w:r>
        <w:t xml:space="preserve">: Chi tiết phân tầng female top manager theo ICRV sub-regime và hàm ý của biến</w:t>
      </w:r>
      <w:r>
        <w:t xml:space="preserve"> </w:t>
      </w:r>
      <w:r>
        <w:rPr>
          <w:rStyle w:val="VerbatimChar"/>
        </w:rPr>
        <w:t xml:space="preserve">b7a</w:t>
      </w:r>
      <w:r>
        <w:t xml:space="preserve"> </w:t>
      </w:r>
      <w:r>
        <w:t xml:space="preserve">trong specification của CĐ2 được trình bày ở Mục 4.5.6 mục §2.3.1 chuyên đề.</w:t>
      </w:r>
    </w:p>
    <w:p>
      <w:pPr>
        <w:pStyle w:val="BodyText"/>
      </w:pPr>
      <w:r>
        <w:rPr>
          <w:bCs/>
          <w:b/>
        </w:rPr>
        <w:t xml:space="preserve">Nguồn</w:t>
      </w:r>
      <w:r>
        <w:t xml:space="preserve">: Carboni ctv. (2024/2025, WBES ESG indicators); World Bank (2024)</w:t>
      </w:r>
      <w:r>
        <w:t xml:space="preserve"> </w:t>
      </w:r>
      <w:r>
        <w:rPr>
          <w:iCs/>
          <w:i/>
        </w:rPr>
        <w:t xml:space="preserve">Unlocking Global Growth: Closing the Gender Gap in Business</w:t>
      </w:r>
      <w:r>
        <w:t xml:space="preserve"> </w:t>
      </w:r>
      <w:r>
        <w:t xml:space="preserve">(WBES 167 nền kinh tế); Mardones-Ibáñez (2025,</w:t>
      </w:r>
      <w:r>
        <w:t xml:space="preserve"> </w:t>
      </w:r>
      <w:r>
        <w:rPr>
          <w:iCs/>
          <w:i/>
        </w:rPr>
        <w:t xml:space="preserve">SAGE Open</w:t>
      </w:r>
      <w:r>
        <w:t xml:space="preserve">); Al-Najjar ctv. (2025,</w:t>
      </w:r>
      <w:r>
        <w:t xml:space="preserve"> </w:t>
      </w:r>
      <w:r>
        <w:rPr>
          <w:iCs/>
          <w:i/>
        </w:rPr>
        <w:t xml:space="preserve">IJHRM</w:t>
      </w:r>
      <w:r>
        <w:t xml:space="preserve">).</w:t>
      </w:r>
    </w:p>
    <w:bookmarkEnd w:id="88"/>
    <w:bookmarkStart w:id="89" w:name="đường-cong-u-của-innovation-digital-tech"/>
    <w:p>
      <w:pPr>
        <w:pStyle w:val="Heading5"/>
      </w:pPr>
      <w:r>
        <w:t xml:space="preserve">2.3.3.2 Đường cong U của innovation digital tech</w:t>
      </w:r>
    </w:p>
    <w:p>
      <w:pPr>
        <w:pStyle w:val="FirstParagraph"/>
      </w:pPr>
      <w:r>
        <w:rPr>
          <w:bCs/>
          <w:b/>
        </w:rPr>
        <w:t xml:space="preserve">Giai đoạn 1 (chi phí đầu tư cao)</w:t>
      </w:r>
      <w:r>
        <w:t xml:space="preserve">: trong 1-3 năm đầu, hiệu quả tài chính ngắn hạn giảm, phù hợp với DAI âm -0,129 ở Advanced và hiện tượng</w:t>
      </w:r>
      <w:r>
        <w:t xml:space="preserve"> </w:t>
      </w:r>
      <w:r>
        <w:t xml:space="preserve">“</w:t>
      </w:r>
      <w:r>
        <w:t xml:space="preserve">digital theatre</w:t>
      </w:r>
      <w:r>
        <w:t xml:space="preserve">”</w:t>
      </w:r>
      <w:r>
        <w:t xml:space="preserve"> </w:t>
      </w:r>
      <w:r>
        <w:t xml:space="preserve">(Verhoef ctv., 2021).</w:t>
      </w:r>
      <w:r>
        <w:t xml:space="preserve"> </w:t>
      </w:r>
      <w:r>
        <w:rPr>
          <w:bCs/>
          <w:b/>
        </w:rPr>
        <w:t xml:space="preserve">Giai đoạn 2 (productivity payoff)</w:t>
      </w:r>
      <w:r>
        <w:t xml:space="preserve">: khi vượt ngưỡng khoảng 3% revenue mỗi năm và duy trì trong 3-5 năm, doanh nghiệp đạt được tăng năng suất, cạnh tranh quốc tế và profit margin. Phần này liên kết với Tier-1/Tier-2 ở Mục 4.4.5 mục §2.3.1 chuyên đề. Bằng chứng: Trung Quốc R&amp;D 39,4% ở late-stage Tier-2; Vùng Vịnh ở transition phase; Việt Nam R&amp;D 6,1% ở early Tier-2.</w:t>
      </w:r>
    </w:p>
    <w:bookmarkEnd w:id="89"/>
    <w:bookmarkStart w:id="90" w:name="Xf9ec9b407e15d41f89e26f6f914c1035a1a1690"/>
    <w:p>
      <w:pPr>
        <w:pStyle w:val="Heading5"/>
      </w:pPr>
      <w:r>
        <w:t xml:space="preserve">2.3.3.3 Bối cảnh trợ cấp công nghiệp toàn cầu (OECD MAGIC, tháng 6 năm 2026)</w:t>
      </w:r>
    </w:p>
    <w:p>
      <w:pPr>
        <w:pStyle w:val="FirstParagraph"/>
      </w:pPr>
      <w:r>
        <w:t xml:space="preserve">Báo cáo</w:t>
      </w:r>
      <w:r>
        <w:t xml:space="preserve"> </w:t>
      </w:r>
      <w:r>
        <w:rPr>
          <w:iCs/>
          <w:i/>
        </w:rPr>
        <w:t xml:space="preserve">OECD MAGIC Database of Industrial Subsidies</w:t>
      </w:r>
      <w:r>
        <w:t xml:space="preserve"> </w:t>
      </w:r>
      <w:r>
        <w:t xml:space="preserve">phiên bản tháng 6 năm 2026 (OECD, 2026) cung cấp dữ liệu cấp doanh nghiệp gần nhất về tình hình trợ cấp công nghiệp toàn cầu, dựa trên 525 tập đoàn sản xuất lớn nhất thế giới ở 15 ngành công nghiệp trọng yếu giai đoạn 2005-2024. Bộ dữ liệu này cung cấp ba lớp bối cảnh quan trọng cho việc diễn giải hiện trạng hiệu quả hoạt động doanh nghiệp tại châu Á.</w:t>
      </w:r>
    </w:p>
    <w:p>
      <w:pPr>
        <w:pStyle w:val="BodyText"/>
      </w:pPr>
      <w:r>
        <w:rPr>
          <w:bCs/>
          <w:b/>
        </w:rPr>
        <w:t xml:space="preserve">Lớp một: Quy mô và phân bố địa lý của trợ cấp.</w:t>
      </w:r>
      <w:r>
        <w:t xml:space="preserve"> </w:t>
      </w:r>
      <w:r>
        <w:t xml:space="preserve">Trợ cấp công nghiệp đã đạt mức cao nhất kể từ khủng hoảng tài chính 2008-09: 1,3% doanh thu doanh nghiệp năm 2024, tổng cộng USD 108 tỷ trên 15 ngành (OECD, 2026). Doanh nghiệp đóng trụ sở tại Trung Quốc nhận trung bình gấp ba đến tám lần mức hỗ trợ so với doanh nghiệp OECD trong giai đoạn 2005-2024; trong khi đó doanh nghiệp tại Brazil, Ấn Độ và Indonesia nhận mức tương đương khoảng cách với Bắc Mỹ. Sự bất đối xứng này trùng khớp với dải biến thiên ICRV của luận án: chế độ trợ cấp đậm đặc ở Trung Quốc (ICRV III, Upper-middle) phản ánh một cấu hình thể chế nơi nhà nước đóng vai trò chủ động trong việc chuyển hóa quan hệ I-P thành thị phần.</w:t>
      </w:r>
    </w:p>
    <w:p>
      <w:pPr>
        <w:pStyle w:val="BodyText"/>
      </w:pPr>
      <w:r>
        <w:rPr>
          <w:bCs/>
          <w:b/>
        </w:rPr>
        <w:t xml:space="preserve">Lớp hai: Loại hình trợ cấp và vai trò doanh nghiệp nhà nước (DNNN).</w:t>
      </w:r>
      <w:r>
        <w:t xml:space="preserve"> </w:t>
      </w:r>
      <w:r>
        <w:t xml:space="preserve">OECD MAGIC phân tách ba loại trợ cấp chính: tài trợ trực tiếp (grants), ưu đãi thuế thu nhập (income-tax concessions) và vay vốn dưới giá thị trường (below-market borrowings, BMB). Cấu trúc trợ cấp khác nhau theo khu vực: Nhật Bản, Hàn Quốc và Mỹ chủ yếu ưu đãi thuế gắn với R&amp;D và tài sản cố định; châu Âu nghiêng về tài trợ trực tiếp; Trung Quốc dồn vào tài trợ và BMB do hệ thống tài chính chủ yếu là ngân hàng nhà nước cho vay ở lãi suất gần với mức tham chiếu. Doanh nghiệp với tỷ lệ sở hữu nhà nước trên 25% nhận trợ cấp cao hơn rõ rệt so với doanh nghiệp tư nhân, đặc biệt qua kênh BMB. Trong ngành đóng tàu, 65% doanh thu toàn ngành đến từ doanh nghiệp có sở hữu nhà nước vượt 25%. Phát hiện này nối tiếp lý thuyết khoảng trống thể chế của Khanna và Palepu (2010): khi cơ chế thị trường chưa hoàn thiện, DNNN trở thành cả người nhận lẫn người trung chuyển trợ cấp, tạo ra sự thiếu minh bạch xung quanh phạm vi thực sự của hỗ trợ công nghiệp.</w:t>
      </w:r>
    </w:p>
    <w:p>
      <w:pPr>
        <w:pStyle w:val="BodyText"/>
      </w:pPr>
      <w:r>
        <w:rPr>
          <w:bCs/>
          <w:b/>
        </w:rPr>
        <w:t xml:space="preserve">Lớp ba: Tác động kép lên thị phần và năng suất.</w:t>
      </w:r>
      <w:r>
        <w:t xml:space="preserve"> </w:t>
      </w:r>
      <w:r>
        <w:t xml:space="preserve">Đây là phát hiện quan trọng nhất đối với phương pháp luận của luận án. OECD (2026) ước lượng rằng khoảng 22% mức tăng thị phần toàn cầu của các doanh nghiệp tăng trưởng giai đoạn 2005-2023 có thể giải thích bằng trợ cấp đã nhận; với doanh nghiệp Trung Quốc, tỷ lệ này lên đến gần 60%. Tuy nhiên, các phân tích đi kèm cho thấy trợ cấp công nghiệp</w:t>
      </w:r>
      <w:r>
        <w:t xml:space="preserve"> </w:t>
      </w:r>
      <w:r>
        <w:rPr>
          <w:iCs/>
          <w:i/>
        </w:rPr>
        <w:t xml:space="preserve">không</w:t>
      </w:r>
      <w:r>
        <w:t xml:space="preserve"> </w:t>
      </w:r>
      <w:r>
        <w:t xml:space="preserve">dẫn đến tăng đáng kể</w:t>
      </w:r>
      <w:r>
        <w:t xml:space="preserve"> </w:t>
      </w:r>
      <w:r>
        <w:rPr>
          <w:iCs/>
          <w:i/>
        </w:rPr>
        <w:t xml:space="preserve">năng suất hay lợi nhuận</w:t>
      </w:r>
      <w:r>
        <w:t xml:space="preserve">; phần lớn mức tăng thị phần đến từ khả năng hạ giá để giành thị phần khỏi đối thủ cạnh tranh thay vì cải thiện hiệu quả sản xuất thực chất. Điều này có ý nghĩa kép cho khung CDCM của luận án.</w:t>
      </w:r>
      <w:r>
        <w:t xml:space="preserve"> </w:t>
      </w:r>
      <w:r>
        <w:rPr>
          <w:iCs/>
          <w:i/>
        </w:rPr>
        <w:t xml:space="preserve">Thứ nhất</w:t>
      </w:r>
      <w:r>
        <w:t xml:space="preserve">, việc luận án chọn năng suất lao động (chứ không phải thị phần hay doanh thu) làm biến phụ thuộc chính được hậu thuẫn mạnh: chỉ số năng suất ít bị bóp méo bởi trợ cấp xuyên quốc gia hơn các thước đo dựa trên doanh thu, do vậy các phát hiện về quan hệ I-P trong luận án phản ánh hiệu quả thực chất chứ không phải lợi thế trợ cấp tạm thời.</w:t>
      </w:r>
      <w:r>
        <w:t xml:space="preserve"> </w:t>
      </w:r>
      <w:r>
        <w:rPr>
          <w:iCs/>
          <w:i/>
        </w:rPr>
        <w:t xml:space="preserve">Thứ hai</w:t>
      </w:r>
      <w:r>
        <w:t xml:space="preserve">, sự không ngang bằng về sân chơi (level playing field) mà OECD (2026) nhấn mạnh củng cố luận điểm CDCM về vai trò thay thế của năng lực số khi thể chế yếu hoặc bị bóp méo: ở các bối cảnh nơi trợ cấp lấn át cạnh tranh dựa trên năng lực, năng lực số bề mặt (DAI Tier-1+2) chỉ còn là điều kiện cần để duy trì khả năng cạnh tranh chứ không tạo ra lợi thế khác biệt rõ rệt.</w:t>
      </w:r>
    </w:p>
    <w:p>
      <w:pPr>
        <w:pStyle w:val="BodyText"/>
      </w:pPr>
      <w:r>
        <w:rPr>
          <w:bCs/>
          <w:b/>
        </w:rPr>
        <w:t xml:space="preserve">Hàm ý cho CĐ2 và luận án.</w:t>
      </w:r>
      <w:r>
        <w:t xml:space="preserve"> </w:t>
      </w:r>
      <w:r>
        <w:t xml:space="preserve">Bối cảnh OECD MAGIC tháng 6 năm 2026 yêu cầu CĐ2 phải giải thích minh bạch hai điểm: (i) tại sao luận án dùng năng suất lao động làm biến phụ thuộc chính thay vì doanh thu hay thị phần; (ii) tại sao ICRV phân tách nhóm Advanced thành đổi mới sáng tạo dẫn dắt (Group I, Singapore/Korea) và tài nguyên dẫn dắt (Group II, GCC) thay vì gộp chung, bởi cấu hình trợ cấp ở hai nhóm này khác nhau căn bản. Khía cạnh</w:t>
      </w:r>
      <w:r>
        <w:t xml:space="preserve"> </w:t>
      </w:r>
      <w:r>
        <w:t xml:space="preserve">“</w:t>
      </w:r>
      <w:r>
        <w:t xml:space="preserve">doping in sports</w:t>
      </w:r>
      <w:r>
        <w:t xml:space="preserve">”</w:t>
      </w:r>
      <w:r>
        <w:t xml:space="preserve"> </w:t>
      </w:r>
      <w:r>
        <w:t xml:space="preserve">mà OECD (2026) ví von gợi ý rằng phần thị phần giành được nhờ trợ cấp không phản ánh năng lực thực chất; bằng chứng năng suất của luận án (β = +0,179 cho TCI tại Việt Nam; β = +0,172 cho DAI ở mẫu gộp đa quốc gia) do đó càng đáng tin cậy vì đo lường hiệu quả thực chất chứ không phải lợi thế trợ cấp.</w:t>
      </w:r>
    </w:p>
    <w:bookmarkEnd w:id="90"/>
    <w:bookmarkStart w:id="91" w:name="X0821715fb5217905db9b697101d1a64ef36b1c7"/>
    <w:p>
      <w:pPr>
        <w:pStyle w:val="Heading5"/>
      </w:pPr>
      <w:r>
        <w:t xml:space="preserve">2.3.3.4 Bối cảnh kinh tế vĩ mô toàn cầu tháng 6 năm 2026 (OECD Economic Outlook 2026)</w:t>
      </w:r>
    </w:p>
    <w:p>
      <w:pPr>
        <w:pStyle w:val="FirstParagraph"/>
      </w:pPr>
      <w:r>
        <w:t xml:space="preserve">Báo cáo</w:t>
      </w:r>
      <w:r>
        <w:t xml:space="preserve"> </w:t>
      </w:r>
      <w:r>
        <w:rPr>
          <w:iCs/>
          <w:i/>
        </w:rPr>
        <w:t xml:space="preserve">OECD Economic Outlook, Volume 2026 Issue 1: Under Pressure</w:t>
      </w:r>
      <w:r>
        <w:t xml:space="preserve"> </w:t>
      </w:r>
      <w:r>
        <w:t xml:space="preserve">(OECD, 2026) phát hành tháng 6 năm 2026 cung cấp bức tranh kinh tế vĩ mô gần nhất với mốc hoàn thiện luận án. Tiêu đề</w:t>
      </w:r>
      <w:r>
        <w:t xml:space="preserve"> </w:t>
      </w:r>
      <w:r>
        <w:t xml:space="preserve">“</w:t>
      </w:r>
      <w:r>
        <w:t xml:space="preserve">Dưới áp lực</w:t>
      </w:r>
      <w:r>
        <w:t xml:space="preserve">”</w:t>
      </w:r>
      <w:r>
        <w:t xml:space="preserve"> </w:t>
      </w:r>
      <w:r>
        <w:t xml:space="preserve">phản ánh ba nguồn áp lực đồng thời mà OECD nhận diện: thứ nhất là việc leo thang thuế quan và phân mảnh thương mại làm tăng chi phí giao dịch xuyên biên giới; thứ hai là sự phục hồi không đồng đều giữa các khu vực, châu Á và Thái Bình Dương tăng trưởng nhanh hơn châu Âu nhưng nội bộ khu vực này lại phân tán mạnh giữa các nền kinh tế tiên tiến số hóa (ICRV Nhóm I), các nền kinh tế trung gian chuyển đổi (Nhóm III-IV) và các quốc đảo nhỏ Thái Bình Dương dễ tổn thương (Nhóm VI); thứ ba là tình trạng bất định địa chính trị kéo dài, đẩy nhiều doanh nghiệp đa quốc gia vào tình huống phải thiết kế chiến lược</w:t>
      </w:r>
      <w:r>
        <w:t xml:space="preserve"> </w:t>
      </w:r>
      <w:r>
        <w:t xml:space="preserve">“</w:t>
      </w:r>
      <w:r>
        <w:t xml:space="preserve">hedging-by-regime</w:t>
      </w:r>
      <w:r>
        <w:t xml:space="preserve">”</w:t>
      </w:r>
      <w:r>
        <w:t xml:space="preserve"> </w:t>
      </w:r>
      <w:r>
        <w:t xml:space="preserve">(chọn dải thể chế ổn định để đặt trụ sở chiến lược). Verbeke (2026) gọi đây là vấn đề Political License to Operate (PLO), một tham số cắt ngang định hình toàn bộ kiến trúc quản trị doanh nghiệp đa quốc gia. Đối chiếu với khung phân tầng CIMT–ICRV–CDCM của luận án: bối cảnh</w:t>
      </w:r>
      <w:r>
        <w:t xml:space="preserve"> </w:t>
      </w:r>
      <w:r>
        <w:t xml:space="preserve">“</w:t>
      </w:r>
      <w:r>
        <w:t xml:space="preserve">Under Pressure</w:t>
      </w:r>
      <w:r>
        <w:t xml:space="preserve">”</w:t>
      </w:r>
      <w:r>
        <w:t xml:space="preserve"> </w:t>
      </w:r>
      <w:r>
        <w:t xml:space="preserve">của OECD chính là minh chứng vĩ mô cho cơ chế</w:t>
      </w:r>
      <w:r>
        <w:t xml:space="preserve"> </w:t>
      </w:r>
      <w:r>
        <w:rPr>
          <w:iCs/>
          <w:i/>
        </w:rPr>
        <w:t xml:space="preserve">institutional-void amplification</w:t>
      </w:r>
      <w:r>
        <w:t xml:space="preserve"> </w:t>
      </w:r>
      <w:r>
        <w:t xml:space="preserve">mà CIMT dự đoán, vì khi sức ép địa chính trị tăng, các kênh thay thế thể chế (digital substitution, public infrastructure) trở nên quan trọng hơn, đúng với observable signature CDCM mà bài báo capstone đa quốc gia (P7) ghi nhận qua tương tác DAI × ICRV (p = 0,049).</w:t>
      </w:r>
    </w:p>
    <w:p>
      <w:r>
        <w:pict>
          <v:rect style="width:0;height:1.5pt" o:hralign="center" o:hrstd="t" o:hr="t"/>
        </w:pict>
      </w:r>
    </w:p>
    <w:bookmarkEnd w:id="91"/>
    <w:bookmarkEnd w:id="92"/>
    <w:bookmarkEnd w:id="93"/>
    <w:bookmarkStart w:id="103" w:name="kết-luận-và-đề-xuất"/>
    <w:p>
      <w:pPr>
        <w:pStyle w:val="Heading3"/>
      </w:pPr>
      <w:r>
        <w:t xml:space="preserve">2.4 Kết luận và đề xuất</w:t>
      </w:r>
    </w:p>
    <w:bookmarkStart w:id="94" w:name="Xffcb779075ac33290da15d3166d835ab6e85124"/>
    <w:p>
      <w:pPr>
        <w:pStyle w:val="Heading4"/>
      </w:pPr>
      <w:r>
        <w:t xml:space="preserve">2.4.1 Khoảng trống nghiên cứu thực tiễn (năm khoảng trống)</w:t>
      </w:r>
    </w:p>
    <w:p>
      <w:pPr>
        <w:pStyle w:val="FirstParagraph"/>
      </w:pPr>
      <w:r>
        <w:t xml:space="preserve">Chuyên đề xác định năm khoảng trống thực tiễn (empirical gap) định hướng cho CĐ2 và luận án.</w:t>
      </w:r>
      <w:r>
        <w:t xml:space="preserve"> </w:t>
      </w:r>
      <w:r>
        <w:rPr>
          <w:bCs/>
          <w:b/>
        </w:rPr>
        <w:t xml:space="preserve">Một là</w:t>
      </w:r>
      <w:r>
        <w:t xml:space="preserve"> </w:t>
      </w:r>
      <w:r>
        <w:t xml:space="preserve">thiếu một tổng hợp mô tả đa chiều, cập nhật đến 2025, xuyên 47 nền kinh tế châu Á và Thái Bình Dương; các nghiên cứu hiện hành dừng ở phạm vi hẹp hơn và mốc thời gian sớm hơn (Wu ctv., 2022 dừng ở 2020; Arte &amp; Larimo, 2022 dừng ở 2019).</w:t>
      </w:r>
      <w:r>
        <w:t xml:space="preserve"> </w:t>
      </w:r>
      <w:r>
        <w:rPr>
          <w:bCs/>
          <w:b/>
        </w:rPr>
        <w:t xml:space="preserve">Hai là</w:t>
      </w:r>
      <w:r>
        <w:t xml:space="preserve"> </w:t>
      </w:r>
      <w:r>
        <w:t xml:space="preserve">thiếu phân nhóm con (sub-grouping) trong nhóm Advanced, phân biệt đổi mới sáng tạo dẫn dắt so với tài nguyên dẫn dắt, vốn bị che giấu khi gộp chung.</w:t>
      </w:r>
      <w:r>
        <w:t xml:space="preserve"> </w:t>
      </w:r>
      <w:r>
        <w:rPr>
          <w:bCs/>
          <w:b/>
        </w:rPr>
        <w:t xml:space="preserve">Ba là</w:t>
      </w:r>
      <w:r>
        <w:t xml:space="preserve"> </w:t>
      </w:r>
      <w:r>
        <w:t xml:space="preserve">thiếu phân tách hai tầng đo lường số hóa (Tier-1 Digital Presence so với Tier-1+2 Digital Transformation), dẫn tới ngộ nhận về dấu của hệ số DAI.</w:t>
      </w:r>
      <w:r>
        <w:t xml:space="preserve"> </w:t>
      </w:r>
      <w:r>
        <w:rPr>
          <w:bCs/>
          <w:b/>
        </w:rPr>
        <w:t xml:space="preserve">Bốn là</w:t>
      </w:r>
      <w:r>
        <w:t xml:space="preserve"> </w:t>
      </w:r>
      <w:r>
        <w:t xml:space="preserve">thiếu khung lý giải đa tầng cho hiện tượng đảo dấu cross-regime của các yếu tố giải thích.</w:t>
      </w:r>
      <w:r>
        <w:t xml:space="preserve"> </w:t>
      </w:r>
      <w:r>
        <w:rPr>
          <w:bCs/>
          <w:b/>
        </w:rPr>
        <w:t xml:space="preserve">Năm là</w:t>
      </w:r>
      <w:r>
        <w:t xml:space="preserve"> </w:t>
      </w:r>
      <w:r>
        <w:t xml:space="preserve">thiếu bằng chứng firm-level cho chi phí buộc phải quốc tế hóa (forced internationalization penalty) ở các nền kinh tế đảo nhỏ biên.</w:t>
      </w:r>
    </w:p>
    <w:bookmarkEnd w:id="94"/>
    <w:bookmarkStart w:id="95" w:name="kết-luận-chính-tám-kết-luận"/>
    <w:p>
      <w:pPr>
        <w:pStyle w:val="Heading4"/>
      </w:pPr>
      <w:r>
        <w:t xml:space="preserve">2.4.2 Kết luận chính (tám kết luận)</w:t>
      </w:r>
    </w:p>
    <w:p>
      <w:pPr>
        <w:pStyle w:val="FirstParagraph"/>
      </w:pPr>
      <w:r>
        <w:t xml:space="preserve">Tám kết luận chính của chuyên đề:</w:t>
      </w:r>
      <w:r>
        <w:t xml:space="preserve"> </w:t>
      </w:r>
      <w:r>
        <w:rPr>
          <w:bCs/>
          <w:b/>
        </w:rPr>
        <w:t xml:space="preserve">(1)</w:t>
      </w:r>
      <w:r>
        <w:t xml:space="preserve"> </w:t>
      </w:r>
      <w:r>
        <w:t xml:space="preserve">hiệu quả doanh nghiệp châu Á phân tán lớn và không hội tụ, với phân tán năng suất nội bộ tăng đơn điệu khi chất lượng phân nhóm con thể chế suy giảm (Advanced 0,86 đến Frontier 1,36);</w:t>
      </w:r>
      <w:r>
        <w:t xml:space="preserve"> </w:t>
      </w:r>
      <w:r>
        <w:rPr>
          <w:bCs/>
          <w:b/>
        </w:rPr>
        <w:t xml:space="preserve">(2)</w:t>
      </w:r>
      <w:r>
        <w:t xml:space="preserve"> </w:t>
      </w:r>
      <w:r>
        <w:t xml:space="preserve">nhóm Advanced không đồng nhất, tách thành đổi mới sáng tạo dẫn dắt so với tài nguyên dẫn dắt (tỷ số phân tán ≈ 2,1 lần);</w:t>
      </w:r>
      <w:r>
        <w:t xml:space="preserve"> </w:t>
      </w:r>
      <w:r>
        <w:rPr>
          <w:bCs/>
          <w:b/>
        </w:rPr>
        <w:t xml:space="preserve">(3)</w:t>
      </w:r>
      <w:r>
        <w:t xml:space="preserve"> </w:t>
      </w:r>
      <w:r>
        <w:t xml:space="preserve">nhóm Emerging tách thành ba phân nhóm con với FSTS phân tầng 5,0%–7,2%–13,2%;</w:t>
      </w:r>
      <w:r>
        <w:t xml:space="preserve"> </w:t>
      </w:r>
      <w:r>
        <w:rPr>
          <w:bCs/>
          <w:b/>
        </w:rPr>
        <w:t xml:space="preserve">(4)</w:t>
      </w:r>
      <w:r>
        <w:t xml:space="preserve"> </w:t>
      </w:r>
      <w:r>
        <w:t xml:space="preserve">nhảy vọt số (digital leapfrog) diễn ra ở Frontier, Emerging và SIDS, nhưng hệ số âm DAI ở Advanced là biểu hiện giả tạo do bão hòa Tier-1;</w:t>
      </w:r>
      <w:r>
        <w:t xml:space="preserve"> </w:t>
      </w:r>
      <w:r>
        <w:rPr>
          <w:bCs/>
          <w:b/>
        </w:rPr>
        <w:t xml:space="preserve">(5)</w:t>
      </w:r>
      <w:r>
        <w:t xml:space="preserve"> </w:t>
      </w:r>
      <w:r>
        <w:t xml:space="preserve">quốc tế hóa là hiện tượng phân cực (trung vị FSTS = 0%);</w:t>
      </w:r>
      <w:r>
        <w:t xml:space="preserve"> </w:t>
      </w:r>
      <w:r>
        <w:rPr>
          <w:bCs/>
          <w:b/>
        </w:rPr>
        <w:t xml:space="preserve">(6)</w:t>
      </w:r>
      <w:r>
        <w:t xml:space="preserve"> </w:t>
      </w:r>
      <w:r>
        <w:t xml:space="preserve">quan hệ FSTS–năng suất phi tuyến dạng chữ U ngược với điểm uốn đặc thù quốc gia (Việt Nam ≈ 39–46%, Trung Quốc ≈ 47–49%, Singapore ≈ 82%);</w:t>
      </w:r>
      <w:r>
        <w:t xml:space="preserve"> </w:t>
      </w:r>
      <w:r>
        <w:rPr>
          <w:bCs/>
          <w:b/>
        </w:rPr>
        <w:t xml:space="preserve">(7)</w:t>
      </w:r>
      <w:r>
        <w:t xml:space="preserve"> </w:t>
      </w:r>
      <w:r>
        <w:t xml:space="preserve">SIDS Thái Bình Dương biên, đặc biệt Kiribati cực đoan, minh họa sự sụp đổ của đường cong U và chi phí buộc phải quốc tế hóa;</w:t>
      </w:r>
      <w:r>
        <w:t xml:space="preserve"> </w:t>
      </w:r>
      <w:r>
        <w:rPr>
          <w:bCs/>
          <w:b/>
        </w:rPr>
        <w:t xml:space="preserve">(8)</w:t>
      </w:r>
      <w:r>
        <w:t xml:space="preserve"> </w:t>
      </w:r>
      <w:r>
        <w:t xml:space="preserve">toàn bộ pattern được dựng trên pipeline tái lập được cho ba thế hệ schema WBES. Các kết luận này cùng định hướng cho</w:t>
      </w:r>
      <w:r>
        <w:t xml:space="preserve"> </w:t>
      </w:r>
      <w:r>
        <w:rPr>
          <w:bCs/>
          <w:b/>
        </w:rPr>
        <w:t xml:space="preserve">tám phân nhóm con</w:t>
      </w:r>
      <w:r>
        <w:t xml:space="preserve"> </w:t>
      </w:r>
      <w:r>
        <w:t xml:space="preserve">hiệu ứng cố định và sáu giả thuyết H1–H6 của CĐ2 (xem Mục 4.7 mục §2.3.1 chuyên đề).</w:t>
      </w:r>
    </w:p>
    <w:bookmarkEnd w:id="95"/>
    <w:bookmarkStart w:id="100" w:name="hàm-ý-cho-luận-án-và-chuyên-đề-2"/>
    <w:p>
      <w:pPr>
        <w:pStyle w:val="Heading4"/>
      </w:pPr>
      <w:r>
        <w:t xml:space="preserve">2.4.3 Hàm ý cho luận án và Chuyên đề 2</w:t>
      </w:r>
    </w:p>
    <w:bookmarkStart w:id="96" w:name="hàm-ý-lý-thuyết"/>
    <w:p>
      <w:pPr>
        <w:pStyle w:val="Heading5"/>
      </w:pPr>
      <w:r>
        <w:t xml:space="preserve">2.4.3.1 Hàm ý lý thuyết</w:t>
      </w:r>
    </w:p>
    <w:p>
      <w:pPr>
        <w:pStyle w:val="FirstParagraph"/>
      </w:pPr>
      <w:r>
        <w:t xml:space="preserve">Chuyên đề cung cấp năm tuyến bằng chứng lý thuyết cho luận án, được tổ chức quanh khung tích hợp ba lớp</w:t>
      </w:r>
      <w:r>
        <w:t xml:space="preserve"> </w:t>
      </w:r>
      <w:r>
        <w:rPr>
          <w:bCs/>
          <w:b/>
        </w:rPr>
        <w:t xml:space="preserve">CIMT–ICRV–CDCM</w:t>
      </w:r>
      <w:r>
        <w:t xml:space="preserve"> </w:t>
      </w:r>
      <w:r>
        <w:t xml:space="preserve">mà luận án phát triển ở Chương 2 §2.5.</w:t>
      </w:r>
      <w:r>
        <w:t xml:space="preserve"> </w:t>
      </w:r>
      <w:r>
        <w:rPr>
          <w:bCs/>
          <w:b/>
        </w:rPr>
        <w:t xml:space="preserve">Một là</w:t>
      </w:r>
      <w:r>
        <w:t xml:space="preserve"> </w:t>
      </w:r>
      <w:r>
        <w:t xml:space="preserve">bằng chứng tồn tại (existence evidence) cho quan hệ chữ U ngược FSTS–năng suất (H1) qua các điểm uốn đơn quốc gia, mỗi quốc gia là một observable signature của cơ chế CIMT ở một vị trí cụ thể trên dải ICRV.</w:t>
      </w:r>
      <w:r>
        <w:t xml:space="preserve"> </w:t>
      </w:r>
      <w:r>
        <w:rPr>
          <w:bCs/>
          <w:b/>
        </w:rPr>
        <w:t xml:space="preserve">Hai là</w:t>
      </w:r>
      <w:r>
        <w:t xml:space="preserve"> </w:t>
      </w:r>
      <w:r>
        <w:t xml:space="preserve">phát hiện phân nhóm con Advanced (innovation- so với resource-driven) như một dạng biến thể chế kiểu Varieties of Capitalism (Hall &amp; Soskice, 2001), gợi ý tinh chỉnh cho taxonomy ICRV ở lớp thứ hai.</w:t>
      </w:r>
      <w:r>
        <w:t xml:space="preserve"> </w:t>
      </w:r>
      <w:r>
        <w:rPr>
          <w:bCs/>
          <w:b/>
        </w:rPr>
        <w:t xml:space="preserve">Ba là</w:t>
      </w:r>
      <w:r>
        <w:t xml:space="preserve"> </w:t>
      </w:r>
      <w:r>
        <w:t xml:space="preserve">khung Năng lực số phụ thuộc bối cảnh (CDCM) hợp nhất phát hiện Việt Nam và Singapore, đặt trên khung 4 tầng của Verhoef ctv. (2021); CDCM được CĐ2 và Chương 2 luận án định vị là lớp</w:t>
      </w:r>
      <w:r>
        <w:t xml:space="preserve"> </w:t>
      </w:r>
      <w:r>
        <w:rPr>
          <w:iCs/>
          <w:i/>
        </w:rPr>
        <w:t xml:space="preserve">signature</w:t>
      </w:r>
      <w:r>
        <w:t xml:space="preserve"> </w:t>
      </w:r>
      <w:r>
        <w:t xml:space="preserve">của CIMT, tức cơ chế institutional-void amplification dưới điều kiện số hóa.</w:t>
      </w:r>
      <w:r>
        <w:t xml:space="preserve"> </w:t>
      </w:r>
      <w:r>
        <w:rPr>
          <w:bCs/>
          <w:b/>
        </w:rPr>
        <w:t xml:space="preserve">Bốn là</w:t>
      </w:r>
      <w:r>
        <w:t xml:space="preserve"> </w:t>
      </w:r>
      <w:r>
        <w:t xml:space="preserve">lý giải hiện tượng đảo dấu cross-regime qua khoảng cách de jure–de facto (Xu, 2024) và chi phí giao dịch thể chế (Coase, 1937; Williamson, 1985), bằng chứng cho cơ chế LoF attenuation (kênh thứ hai của CIMT).</w:t>
      </w:r>
      <w:r>
        <w:t xml:space="preserve"> </w:t>
      </w:r>
      <w:r>
        <w:rPr>
          <w:bCs/>
          <w:b/>
        </w:rPr>
        <w:t xml:space="preserve">Năm là</w:t>
      </w:r>
      <w:r>
        <w:t xml:space="preserve"> </w:t>
      </w:r>
      <w:r>
        <w:t xml:space="preserve">thiết lập điều kiện biên của lý thuyết Uppsala (Johanson &amp; Vahlne, 1977) qua trường hợp SIDS biên, chính là</w:t>
      </w:r>
      <w:r>
        <w:t xml:space="preserve"> </w:t>
      </w:r>
      <w:r>
        <w:rPr>
          <w:iCs/>
          <w:i/>
        </w:rPr>
        <w:t xml:space="preserve">trường hợp cực đoan của CIMT mismatch</w:t>
      </w:r>
      <w:r>
        <w:t xml:space="preserve"> </w:t>
      </w:r>
      <w:r>
        <w:t xml:space="preserve">khi cả ba kênh đồng pha cực đại. Chuyên đề cảnh báo nguy cơ</w:t>
      </w:r>
      <w:r>
        <w:t xml:space="preserve"> </w:t>
      </w:r>
      <w:r>
        <w:t xml:space="preserve">“</w:t>
      </w:r>
      <w:r>
        <w:t xml:space="preserve">digital theatre</w:t>
      </w:r>
      <w:r>
        <w:t xml:space="preserve">”</w:t>
      </w:r>
      <w:r>
        <w:t xml:space="preserve"> </w:t>
      </w:r>
      <w:r>
        <w:t xml:space="preserve">(Verhoef ctv., 2021), tức số hóa hình thức không chuyển thành năng suất, và lưu ý mức độ sẵn sàng AI không đồng đều theo Chỉ số Sẵn sàng AI (AI Preparedness Index) giữa các phân nhóm con.</w:t>
      </w:r>
    </w:p>
    <w:bookmarkEnd w:id="96"/>
    <w:bookmarkStart w:id="97" w:name="hàm-ý-phương-pháp-luận"/>
    <w:p>
      <w:pPr>
        <w:pStyle w:val="Heading5"/>
      </w:pPr>
      <w:r>
        <w:t xml:space="preserve">2.4.3.2 Hàm ý phương pháp luận</w:t>
      </w:r>
    </w:p>
    <w:p>
      <w:pPr>
        <w:pStyle w:val="FirstParagraph"/>
      </w:pPr>
      <w:r>
        <w:t xml:space="preserve">Năm hàm ý phương pháp luận cho CĐ2:</w:t>
      </w:r>
      <w:r>
        <w:t xml:space="preserve"> </w:t>
      </w:r>
      <w:r>
        <w:rPr>
          <w:bCs/>
          <w:b/>
        </w:rPr>
        <w:t xml:space="preserve">(1)</w:t>
      </w:r>
      <w:r>
        <w:t xml:space="preserve"> </w:t>
      </w:r>
      <w:r>
        <w:t xml:space="preserve">dùng hiệu ứng cố định theo</w:t>
      </w:r>
      <w:r>
        <w:t xml:space="preserve"> </w:t>
      </w:r>
      <w:r>
        <w:rPr>
          <w:bCs/>
          <w:b/>
        </w:rPr>
        <w:t xml:space="preserve">tám phân nhóm con</w:t>
      </w:r>
      <w:r>
        <w:t xml:space="preserve"> </w:t>
      </w:r>
      <w:r>
        <w:t xml:space="preserve">(liệt kê ở Mục 4.7(b) mục §2.3.1 chuyên đề) thay cho một hệ số chung, để nắm dị biệt cross-regime;</w:t>
      </w:r>
      <w:r>
        <w:t xml:space="preserve"> </w:t>
      </w:r>
      <w:r>
        <w:rPr>
          <w:bCs/>
          <w:b/>
        </w:rPr>
        <w:t xml:space="preserve">(2)</w:t>
      </w:r>
      <w:r>
        <w:t xml:space="preserve"> </w:t>
      </w:r>
      <w:r>
        <w:t xml:space="preserve">áp dụng lựa chọn hai giai đoạn (2-stage selection) vì quốc tế hóa phân cực mạnh (trung vị FSTS = 0%);</w:t>
      </w:r>
      <w:r>
        <w:t xml:space="preserve"> </w:t>
      </w:r>
      <w:r>
        <w:rPr>
          <w:bCs/>
          <w:b/>
        </w:rPr>
        <w:t xml:space="preserve">(3)</w:t>
      </w:r>
      <w:r>
        <w:t xml:space="preserve"> </w:t>
      </w:r>
      <w:r>
        <w:t xml:space="preserve">tách hai đặc tả mô hình (Spec 1 [Tier-1, full pool] và Spec 2 [Tier-1+2, BREADY 2018+]) để phân biệt biểu hiện giả tạo bão hòa khỏi hiệu ứng thực;</w:t>
      </w:r>
      <w:r>
        <w:t xml:space="preserve"> </w:t>
      </w:r>
      <w:r>
        <w:rPr>
          <w:bCs/>
          <w:b/>
        </w:rPr>
        <w:t xml:space="preserve">(4)</w:t>
      </w:r>
      <w:r>
        <w:t xml:space="preserve"> </w:t>
      </w:r>
      <w:r>
        <w:t xml:space="preserve">triển khai hệ thống cô lập</w:t>
      </w:r>
      <w:r>
        <w:t xml:space="preserve"> </w:t>
      </w:r>
      <w:r>
        <w:t xml:space="preserve">“</w:t>
      </w:r>
      <w:r>
        <w:t xml:space="preserve">triple-defense</w:t>
      </w:r>
      <w:r>
        <w:t xml:space="preserve">”</w:t>
      </w:r>
      <w:r>
        <w:t xml:space="preserve"> </w:t>
      </w:r>
      <w:r>
        <w:t xml:space="preserve">(biến giả Post_BREADY_2024, mô hình neo, panel hậu đại dịch độc lập, Mục 4.11 mục §2.3.1 chuyên đề) để chống đứt gãy schema 2025;</w:t>
      </w:r>
      <w:r>
        <w:t xml:space="preserve"> </w:t>
      </w:r>
      <w:r>
        <w:rPr>
          <w:bCs/>
          <w:b/>
        </w:rPr>
        <w:t xml:space="preserve">(5)</w:t>
      </w:r>
      <w:r>
        <w:t xml:space="preserve"> </w:t>
      </w:r>
      <w:r>
        <w:t xml:space="preserve">đưa khung industry FE 9 ngành cùng các kiểm định mẫu con (Mục 7.3.4) vào thiết kế nhận diện. Bộ tám kiểm định độ vững cốt lõi ở Mục 7.3.4 vận hành hóa các hàm ý này.</w:t>
      </w:r>
    </w:p>
    <w:bookmarkEnd w:id="97"/>
    <w:bookmarkStart w:id="98" w:name="X72d3008b4a85d47be9732498c7193c9047a9dbc"/>
    <w:p>
      <w:pPr>
        <w:pStyle w:val="Heading5"/>
      </w:pPr>
      <w:r>
        <w:t xml:space="preserve">2.4.3.3 Hàm ý chính sách cho doanh nghiệp Việt Nam và khu vực (chín hàm ý)</w:t>
      </w:r>
    </w:p>
    <w:p>
      <w:pPr>
        <w:pStyle w:val="BlockText"/>
      </w:pPr>
      <w:r>
        <w:t xml:space="preserve">Chín hàm ý chính sách gồm: (1)–(6) sáu hàm ý chính sách cùng bốn đề xuất tái định vị chuỗi giá trị (GVC) cho Việt Nam; (7) hợp tác di chuyển lao động Thái Bình Dương; (8) chính sách số hóa châu Á cho SME; (9) chiến lược phòng ngừa (hedging) bốn nguyên tắc. Dưới đây trình bày các hàm ý (7)–(9).</w:t>
      </w:r>
    </w:p>
    <w:p>
      <w:pPr>
        <w:pStyle w:val="FirstParagraph"/>
      </w:pPr>
      <w:r>
        <w:rPr>
          <w:bCs/>
          <w:b/>
        </w:rPr>
        <w:t xml:space="preserve">(7) Migration labor partnership Pacific cho Việt Nam: bài học từ PLMS Australia + RSE New Zealand</w:t>
      </w:r>
    </w:p>
    <w:p>
      <w:pPr>
        <w:pStyle w:val="BlockText"/>
      </w:pPr>
      <w:r>
        <w:rPr>
          <w:bCs/>
          <w:b/>
        </w:rPr>
        <w:t xml:space="preserve">Bằng chứng nền tảng</w:t>
      </w:r>
      <w:r>
        <w:t xml:space="preserve">: Mục 5.7.5 mục §2.3.2–§2.4 chuyên đề (PICs macro context); Bertram (2006) MIRAB model.</w:t>
      </w:r>
    </w:p>
    <w:p>
      <w:pPr>
        <w:pStyle w:val="FirstParagraph"/>
      </w:pPr>
      <w:r>
        <w:t xml:space="preserve">Bốn đề xuất cụ thể cho doanh nghiệp + nhà hoạch định chính sách Việt Nam:</w:t>
      </w:r>
    </w:p>
    <w:p>
      <w:pPr>
        <w:numPr>
          <w:ilvl w:val="0"/>
          <w:numId w:val="1019"/>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tập trung vào nông nghiệp công nghệ cao + chế biến + healthcare aged-care (Australia có nhu cầu cao, dân số già hóa).</w:t>
      </w:r>
    </w:p>
    <w:p>
      <w:pPr>
        <w:numPr>
          <w:ilvl w:val="0"/>
          <w:numId w:val="1019"/>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với work permits 7 tháng/năm. Việt Nam hợp tác với NZ để mở</w:t>
      </w:r>
      <w:r>
        <w:t xml:space="preserve"> </w:t>
      </w:r>
      <w:r>
        <w:rPr>
          <w:bCs/>
          <w:b/>
        </w:rPr>
        <w:t xml:space="preserve">Aquaculture + Coffee + Cashew Skills Exchange</w:t>
      </w:r>
      <w:r>
        <w:t xml:space="preserve">, leveraging chuyên môn Việt Nam trong các ngành này.</w:t>
      </w:r>
    </w:p>
    <w:p>
      <w:pPr>
        <w:numPr>
          <w:ilvl w:val="0"/>
          <w:numId w:val="1019"/>
        </w:numPr>
      </w:pPr>
      <w:r>
        <w:rPr>
          <w:bCs/>
          <w:b/>
        </w:rPr>
        <w:t xml:space="preserve">Cơ chế remittance corridor digital</w:t>
      </w:r>
      <w:r>
        <w:t xml:space="preserve">: Theo ghi chú phân tích nội bộ của tác giả (2026), remittances từ RSE của Vanuatu chiếm 15-20% GDP, chứng minh tính hiệu quả của mô hình</w:t>
      </w:r>
      <w:r>
        <w:t xml:space="preserve"> </w:t>
      </w:r>
      <w:r>
        <w:t xml:space="preserve">“</w:t>
      </w:r>
      <w:r>
        <w:t xml:space="preserve">labor mobility cộng digital remittance</w:t>
      </w:r>
      <w:r>
        <w:t xml:space="preserve">”</w:t>
      </w:r>
      <w:r>
        <w:t xml:space="preserve">. Việt Nam có thể hợp tác với Wise, Western Union hoặc MoMo để</w:t>
      </w:r>
      <w:r>
        <w:t xml:space="preserve"> </w:t>
      </w:r>
      <w:r>
        <w:rPr>
          <w:bCs/>
          <w:b/>
        </w:rPr>
        <w:t xml:space="preserve">giảm phí remittance từ khoảng 7% xuống dưới 3%</w:t>
      </w:r>
      <w:r>
        <w:t xml:space="preserve"> </w:t>
      </w:r>
      <w:r>
        <w:t xml:space="preserve">cho lao động Việt ở Australia và New Zealand, qua đó tiết kiệm hàng trăm triệu USD mỗi năm. Điều này liên kết với FDI commitment $2,4B có fintech focus ở Mục 5.3 (a).</w:t>
      </w:r>
    </w:p>
    <w:p>
      <w:pPr>
        <w:numPr>
          <w:ilvl w:val="0"/>
          <w:numId w:val="1019"/>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bài học từ Singapore/Korea/Japan/Trung Quốc</w:t>
      </w:r>
    </w:p>
    <w:p>
      <w:pPr>
        <w:pStyle w:val="BlockText"/>
      </w:pPr>
      <w:r>
        <w:rPr>
          <w:bCs/>
          <w:b/>
        </w:rPr>
        <w:t xml:space="preserve">Bằng chứng nền tảng</w:t>
      </w:r>
      <w:r>
        <w:t xml:space="preserve">: Mục 6.2 về Innovation U-curve digital; Bảng 4.4 mục §2.3.1 chuyên đề (Website Việt Nam 47% thấp hơn EAP average 58,9%); Mục 5.4 về concentration risk của Trung Quốc theo Wang/Huang/Hong (2024).</w:t>
      </w:r>
    </w:p>
    <w:p>
      <w:pPr>
        <w:pStyle w:val="FirstParagraph"/>
      </w:pPr>
      <w:r>
        <w:t xml:space="preserve">Bốn lộ trình số hóa cho SME Việt Nam tham khảo:</w:t>
      </w:r>
    </w:p>
    <w:p>
      <w:pPr>
        <w:numPr>
          <w:ilvl w:val="0"/>
          <w:numId w:val="1020"/>
        </w:numPr>
      </w:pPr>
      <w:r>
        <w:rPr>
          <w:bCs/>
          <w:b/>
        </w:rPr>
        <w:t xml:space="preserve">Mô hình Singapore và Korea: AI integration full-stack</w:t>
      </w:r>
      <w:r>
        <w:t xml:space="preserve"> </w:t>
      </w:r>
      <w:r>
        <w:rPr>
          <w:iCs/>
          <w:i/>
        </w:rPr>
        <w:t xml:space="preserve">(Tier-3 transformation)</w:t>
      </w:r>
      <w:r>
        <w:t xml:space="preserve">: Singapore SmartNation initiative cùng Korea Digital New Deal đã đạt mức tích hợp AI vào toàn bộ chuỗi value chain, lần lượt từ marketing automation sang CRM intelligence, supply chain optimization rồi financial forecasting. SME Việt Nam còn cách giai đoạn này khá xa, nên</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20"/>
        </w:numPr>
      </w:pPr>
      <w:r>
        <w:rPr>
          <w:bCs/>
          <w:b/>
        </w:rPr>
        <w:t xml:space="preserve">Mô hình Japan: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20"/>
        </w:numPr>
      </w:pPr>
      <w:r>
        <w:rPr>
          <w:bCs/>
          <w:b/>
        </w:rPr>
        <w:t xml:space="preserve">Mô hình Trung Quốc: sản xuất thông minh kèm cảnh báo rủi ro tập trung (smart manufacturing và concentration risk warning)</w:t>
      </w:r>
      <w:r>
        <w:t xml:space="preserve"> </w:t>
      </w:r>
      <w:r>
        <w:rPr>
          <w:iCs/>
          <w:i/>
        </w:rPr>
        <w:t xml:space="preserve">(Tier-2/3 hybrid kèm cảnh báo)</w:t>
      </w:r>
      <w:r>
        <w:t xml:space="preserve">: Trung Quốc dẫn đầu châu Á về</w:t>
      </w:r>
      <w:r>
        <w:t xml:space="preserve"> </w:t>
      </w:r>
      <w:r>
        <w:rPr>
          <w:bCs/>
          <w:b/>
        </w:rPr>
        <w:t xml:space="preserve">sản xuất thông minh (smart manufacturing)</w:t>
      </w:r>
      <w:r>
        <w:t xml:space="preserve"> </w:t>
      </w:r>
      <w:r>
        <w:t xml:space="preserve">với chuẩn Công nghiệp 4.0 (Industry 4.0 standards), điển hình là Foxconn Thâm Quyến, BYD và Geely. Tuy nhiên, việc</w:t>
      </w:r>
      <w:r>
        <w:t xml:space="preserve"> </w:t>
      </w:r>
      <w:r>
        <w:rPr>
          <w:bCs/>
          <w:b/>
        </w:rPr>
        <w:t xml:space="preserve">80% mô hình rủi ro ngân hàng (bank risk models) của PRC phụ thuộc vào nhà cung cấp công nghệ lớn (dominant tech providers)</w:t>
      </w:r>
      <w:r>
        <w:t xml:space="preserve"> </w:t>
      </w:r>
      <w:r>
        <w:t xml:space="preserve">(Wang/Huang/Hong, 2024,</w:t>
      </w:r>
      <w:r>
        <w:t xml:space="preserve"> </w:t>
      </w:r>
      <w:r>
        <w:rPr>
          <w:iCs/>
          <w:i/>
        </w:rPr>
        <w:t xml:space="preserve">IRFA</w:t>
      </w:r>
      <w:r>
        <w:t xml:space="preserve">) tạo nên</w:t>
      </w:r>
      <w:r>
        <w:t xml:space="preserve"> </w:t>
      </w:r>
      <w:r>
        <w:rPr>
          <w:bCs/>
          <w:b/>
        </w:rPr>
        <w:t xml:space="preserve">rủi ro tập trung (concentration risk)</w:t>
      </w:r>
      <w:r>
        <w:t xml:space="preserve"> </w:t>
      </w:r>
      <w:r>
        <w:t xml:space="preserve">cao. Việt Nam cần học mặt tích cực là lộ trình sản xuất thông minh, nhưng phải</w:t>
      </w:r>
      <w:r>
        <w:t xml:space="preserve"> </w:t>
      </w:r>
      <w:r>
        <w:rPr>
          <w:bCs/>
          <w:b/>
        </w:rPr>
        <w:t xml:space="preserve">TRÁNH lệ thuộc cứng (lock-in)</w:t>
      </w:r>
      <w:r>
        <w:t xml:space="preserve"> </w:t>
      </w:r>
      <w:r>
        <w:t xml:space="preserve">vào một nhà cung cấp ngoại đơn lẻ, đồng thời đẩy mạnh</w:t>
      </w:r>
      <w:r>
        <w:t xml:space="preserve"> </w:t>
      </w:r>
      <w:r>
        <w:rPr>
          <w:bCs/>
          <w:b/>
        </w:rPr>
        <w:t xml:space="preserve">tiêu chuẩn mở (open standards)</w:t>
      </w:r>
      <w:r>
        <w:t xml:space="preserve"> </w:t>
      </w:r>
      <w:r>
        <w:t xml:space="preserve">và</w:t>
      </w:r>
      <w:r>
        <w:t xml:space="preserve"> </w:t>
      </w:r>
      <w:r>
        <w:rPr>
          <w:bCs/>
          <w:b/>
        </w:rPr>
        <w:t xml:space="preserve">mua sắm đa nhà cung cấp (multi-vendor procurement)</w:t>
      </w:r>
      <w:r>
        <w:t xml:space="preserve"> </w:t>
      </w:r>
      <w:r>
        <w:t xml:space="preserve">cho FDI sản xuất chế biến.</w:t>
      </w:r>
    </w:p>
    <w:p>
      <w:pPr>
        <w:numPr>
          <w:ilvl w:val="0"/>
          <w:numId w:val="1020"/>
        </w:numPr>
      </w:pPr>
      <w:r>
        <w:rPr>
          <w:bCs/>
          <w:b/>
        </w:rPr>
        <w:t xml:space="preserve">Mô hình ưu tiên cho SME Việt Nam: digital payment + social commerce</w:t>
      </w:r>
      <w:r>
        <w:t xml:space="preserve"> </w:t>
      </w:r>
      <w:r>
        <w:rPr>
          <w:iCs/>
          <w:i/>
        </w:rPr>
        <w:t xml:space="preserve">(Tier-1.5 Vietnamese-specific)</w:t>
      </w:r>
      <w:r>
        <w:t xml:space="preserve">: Việt Nam có lợi thế đặc biệt: VietQR ecosystem + mobile payment (MoMo, ZaloPay, ViettelPay) + social commerce qua TikTok/Facebook (&gt;200 triệu user trong khu vực). SME Việt Nam nên ưu tiên 4 layer:</w:t>
      </w:r>
    </w:p>
    <w:p>
      <w:pPr>
        <w:numPr>
          <w:ilvl w:val="0"/>
          <w:numId w:val="1021"/>
        </w:numPr>
        <w:pStyle w:val="Compact"/>
      </w:pPr>
      <w:r>
        <w:rPr>
          <w:bCs/>
          <w:b/>
        </w:rPr>
        <w:t xml:space="preserve">Digital payment integration</w:t>
      </w:r>
      <w:r>
        <w:t xml:space="preserve">: accept mọi loại payment qua VietQR (đã miễn phí 100%, không như credit card 2-3%)</w:t>
      </w:r>
    </w:p>
    <w:p>
      <w:pPr>
        <w:numPr>
          <w:ilvl w:val="0"/>
          <w:numId w:val="1021"/>
        </w:numPr>
        <w:pStyle w:val="Compact"/>
      </w:pPr>
      <w:r>
        <w:rPr>
          <w:bCs/>
          <w:b/>
        </w:rPr>
        <w:t xml:space="preserve">Social commerce optimization</w:t>
      </w:r>
      <w:r>
        <w:t xml:space="preserve">: Facebook Live + TikTok Shop là kênh bán hàng chính cho retail SME</w:t>
      </w:r>
    </w:p>
    <w:p>
      <w:pPr>
        <w:numPr>
          <w:ilvl w:val="0"/>
          <w:numId w:val="1021"/>
        </w:numPr>
        <w:pStyle w:val="Compact"/>
      </w:pPr>
      <w:r>
        <w:rPr>
          <w:bCs/>
          <w:b/>
        </w:rPr>
        <w:t xml:space="preserve">Cross-border e-commerce</w:t>
      </w:r>
      <w:r>
        <w:t xml:space="preserve">: Shopee Asia Pacific + Amazon Vietnam Sellers Program để xuất khẩu micro</w:t>
      </w:r>
    </w:p>
    <w:p>
      <w:pPr>
        <w:numPr>
          <w:ilvl w:val="0"/>
          <w:numId w:val="1021"/>
        </w:numPr>
        <w:pStyle w:val="Compact"/>
      </w:pPr>
      <w:r>
        <w:rPr>
          <w:bCs/>
          <w:b/>
        </w:rPr>
        <w:t xml:space="preserve">Cloud + basic AI tools</w:t>
      </w:r>
      <w:r>
        <w:t xml:space="preserve">: Google Workspace + Microsoft 365 + Make.com automation</w:t>
      </w:r>
      <w:r>
        <w:t xml:space="preserve"> </w:t>
      </w:r>
      <w:r>
        <w:t xml:space="preserve">Tựu trung, đây là mức</w:t>
      </w:r>
      <w:r>
        <w:t xml:space="preserve"> </w:t>
      </w:r>
      <w:r>
        <w:rPr>
          <w:bCs/>
          <w:b/>
        </w:rPr>
        <w:t xml:space="preserve">Tier-1.5</w:t>
      </w:r>
      <w:r>
        <w:t xml:space="preserve">, vượt website thụ động (Tier-1) nhưng chưa đến full-stack AI (Tier-2/3), phù hợp với pattern thực tế của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 cộng social commerce, Tier-2 productive AI, Tier-3 full-stack AI) nhằm kiểm tra xem mỗi tier có productivity payoff khác nhau hay không. Kỳ vọng đặt ra là Tier-1 không tăng thêm productivity vì đã saturated; Tier-1.5 tăng productivity ở các nền kinh tế do SME dẫn dắt (VN, IDN, PHL); Tier-2 tăng productivity ở Manufacturing; còn Tier-3 tăng productivity ở ICT và Finance.</w:t>
      </w:r>
    </w:p>
    <w:p>
      <w:pPr>
        <w:pStyle w:val="BodyText"/>
      </w:pPr>
      <w:r>
        <w:rPr>
          <w:bCs/>
          <w:b/>
        </w:rPr>
        <w:t xml:space="preserve">(9) Hedging strategy: đa dạng hóa thị trường + buffer inventory + higher-value FDI partnership + financial hedging</w:t>
      </w:r>
    </w:p>
    <w:p>
      <w:pPr>
        <w:pStyle w:val="BlockText"/>
      </w:pPr>
      <w:r>
        <w:rPr>
          <w:bCs/>
          <w:b/>
        </w:rPr>
        <w:t xml:space="preserve">Bằng chứng nền tảng</w:t>
      </w:r>
      <w:r>
        <w:t xml:space="preserve">: Lớp 7 ở Mục 1.1 mục §2.1–§2.2 chuyên đề (bất định chính sách thuế quan Mỹ 2026); Mục 6 (front-loading effect và tariff uncertainty); Mục 5.3 (năm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22"/>
        </w:numPr>
        <w:pStyle w:val="Compact"/>
      </w:pPr>
      <w:r>
        <w:rPr>
          <w:bCs/>
          <w:b/>
        </w:rPr>
        <w:t xml:space="preserve">Đa dạng hóa thị trường: giảm phụ thuộc Mỹ ~30% qua 5 hành lang thay thế</w:t>
      </w:r>
      <w:r>
        <w:t xml:space="preserve">:</w:t>
      </w:r>
    </w:p>
    <w:p>
      <w:pPr>
        <w:numPr>
          <w:ilvl w:val="0"/>
          <w:numId w:val="1023"/>
        </w:numPr>
        <w:pStyle w:val="Compact"/>
      </w:pPr>
      <w:r>
        <w:rPr>
          <w:bCs/>
          <w:b/>
        </w:rPr>
        <w:t xml:space="preserve">RCEP</w:t>
      </w:r>
      <w:r>
        <w:t xml:space="preserve"> </w:t>
      </w:r>
      <w:r>
        <w:t xml:space="preserve">(Regional Comprehensive Economic Partnership): 15 thành viên gồm ASEAN+5 (China, Japan, Korea, Australia, New Zealand), tổng GDP $26 ngàn tỷ, đối trọng lớn với Mỹ</w:t>
      </w:r>
    </w:p>
    <w:p>
      <w:pPr>
        <w:numPr>
          <w:ilvl w:val="0"/>
          <w:numId w:val="1023"/>
        </w:numPr>
        <w:pStyle w:val="Compact"/>
      </w:pPr>
      <w:r>
        <w:rPr>
          <w:bCs/>
          <w:b/>
        </w:rPr>
        <w:t xml:space="preserve">CPTPP</w:t>
      </w:r>
      <w:r>
        <w:t xml:space="preserve"> </w:t>
      </w:r>
      <w:r>
        <w:t xml:space="preserve">(Comprehensive and Progressive Trans-Pacific Partnership): 11 thành viên (Singapore, Japan, Australia, NZ, Mexico, Canada, Chile, Peru, Brunei, Malaysia, Việt Nam), phân khúc cao cấp + dịch vụ</w:t>
      </w:r>
    </w:p>
    <w:p>
      <w:pPr>
        <w:numPr>
          <w:ilvl w:val="0"/>
          <w:numId w:val="1023"/>
        </w:numPr>
        <w:pStyle w:val="Compact"/>
      </w:pPr>
      <w:r>
        <w:rPr>
          <w:bCs/>
          <w:b/>
        </w:rPr>
        <w:t xml:space="preserve">ACFTA</w:t>
      </w:r>
      <w:r>
        <w:t xml:space="preserve"> </w:t>
      </w:r>
      <w:r>
        <w:t xml:space="preserve">(ASEAN-China Free Trade Area): đặc biệt cho electronics + textiles + agricultural</w:t>
      </w:r>
    </w:p>
    <w:p>
      <w:pPr>
        <w:numPr>
          <w:ilvl w:val="0"/>
          <w:numId w:val="1023"/>
        </w:numPr>
        <w:pStyle w:val="Compact"/>
      </w:pPr>
      <w:r>
        <w:rPr>
          <w:bCs/>
          <w:b/>
        </w:rPr>
        <w:t xml:space="preserve">GCC partnership</w:t>
      </w:r>
      <w:r>
        <w:t xml:space="preserve"> </w:t>
      </w:r>
      <w:r>
        <w:t xml:space="preserve">(Gulf Cooperation Council, gồm Saudi/Qatar/UAE/Kuwait/Bahrain/Oman): đa dạng hóa sang Trung Đông sau xung đột giảm áp lực</w:t>
      </w:r>
    </w:p>
    <w:p>
      <w:pPr>
        <w:numPr>
          <w:ilvl w:val="0"/>
          <w:numId w:val="1023"/>
        </w:numPr>
        <w:pStyle w:val="Compact"/>
      </w:pPr>
      <w:r>
        <w:rPr>
          <w:bCs/>
          <w:b/>
        </w:rPr>
        <w:t xml:space="preserve">India trade corridor</w:t>
      </w:r>
      <w:r>
        <w:t xml:space="preserve">: thông qua India-Vietnam Comprehensive Strategic Partnership 2024, thị trường 1,4 tỷ dân tăng nhanh</w:t>
      </w:r>
    </w:p>
    <w:p>
      <w:pPr>
        <w:pStyle w:val="FirstParagraph"/>
      </w:pPr>
      <w:r>
        <w:t xml:space="preserve">Mục tiêu là giảm tỷ trọng xuất khẩu sang Mỹ từ 30% xuống còn 22-25% trong 2026-2030.</w:t>
      </w:r>
    </w:p>
    <w:p>
      <w:pPr>
        <w:numPr>
          <w:ilvl w:val="0"/>
          <w:numId w:val="1024"/>
        </w:numPr>
        <w:pStyle w:val="Compact"/>
      </w:pPr>
      <w:r>
        <w:rPr>
          <w:bCs/>
          <w:b/>
        </w:rPr>
        <w:t xml:space="preserve">Lập kế hoạch đẩy nhanh giao hàng + tồn kho dự phòng (front-loading planning + buffer inventory)</w:t>
      </w:r>
      <w:r>
        <w:t xml:space="preserve">, đối phó với bất định chính sách thuế quan:</w:t>
      </w:r>
    </w:p>
    <w:p>
      <w:pPr>
        <w:numPr>
          <w:ilvl w:val="0"/>
          <w:numId w:val="1025"/>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KHÔNG vi phạm quy tắc chống bán phá giá (anti-dumping rules) vì là phản ứng chính sách (policy response)</w:t>
      </w:r>
    </w:p>
    <w:p>
      <w:pPr>
        <w:numPr>
          <w:ilvl w:val="0"/>
          <w:numId w:val="1025"/>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25"/>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MFN clauses)</w:t>
      </w:r>
      <w:r>
        <w:t xml:space="preserve"> </w:t>
      </w:r>
      <w:r>
        <w:t xml:space="preserve">để bảo vệ trước thay đổi thuế quan có hiệu lực hồi tố (retroactive tariff changes)</w:t>
      </w:r>
    </w:p>
    <w:p>
      <w:pPr>
        <w:numPr>
          <w:ilvl w:val="0"/>
          <w:numId w:val="1026"/>
        </w:numPr>
        <w:pStyle w:val="Compact"/>
      </w:pPr>
      <w:r>
        <w:rPr>
          <w:bCs/>
          <w:b/>
        </w:rPr>
        <w:t xml:space="preserve">Higher-value FDI partnership thay cho assembly</w:t>
      </w:r>
      <w:r>
        <w:t xml:space="preserve">, học từ GVC re-positioning ở Mục 5.3 (d):</w:t>
      </w:r>
    </w:p>
    <w:p>
      <w:pPr>
        <w:numPr>
          <w:ilvl w:val="0"/>
          <w:numId w:val="1027"/>
        </w:numPr>
        <w:pStyle w:val="Compact"/>
      </w:pPr>
      <w:r>
        <w:rPr>
          <w:bCs/>
          <w:b/>
        </w:rPr>
        <w:t xml:space="preserve">TRÁNH</w:t>
      </w:r>
      <w:r>
        <w:t xml:space="preserve"> </w:t>
      </w:r>
      <w:r>
        <w:t xml:space="preserve">assembly-only FDI (low value-added, high tariff vulnerability) như assembly mass-production của Foxconn hay Samsung;</w:t>
      </w:r>
    </w:p>
    <w:p>
      <w:pPr>
        <w:numPr>
          <w:ilvl w:val="0"/>
          <w:numId w:val="1027"/>
        </w:numPr>
        <w:pStyle w:val="Compact"/>
      </w:pPr>
      <w:r>
        <w:rPr>
          <w:bCs/>
          <w:b/>
        </w:rPr>
        <w:t xml:space="preserve">ƯU TIÊN</w:t>
      </w:r>
      <w:r>
        <w:t xml:space="preserve"> </w:t>
      </w:r>
      <w:r>
        <w:t xml:space="preserve">R&amp;D và design FDI partnership, chẳng hạn mô hình Singapore Pacific Tech Park hay Korean semiconductor packaging tại Hà Nội;</w:t>
      </w:r>
    </w:p>
    <w:p>
      <w:pPr>
        <w:numPr>
          <w:ilvl w:val="0"/>
          <w:numId w:val="1027"/>
        </w:numPr>
        <w:pStyle w:val="Compact"/>
      </w:pPr>
      <w:r>
        <w:rPr>
          <w:bCs/>
          <w:b/>
        </w:rPr>
        <w:t xml:space="preserve">Mục tiêu</w:t>
      </w:r>
      <w:r>
        <w:t xml:space="preserve">: tăng value-added per export USD từ khoảng 30% hiện tại lên 45-50% trong 2026-2030, phù hợp với Vietnam_HighValue_FDI_2026 (xem hàm ý CĐ2 ở Mục 5.3).</w:t>
      </w:r>
    </w:p>
    <w:p>
      <w:pPr>
        <w:numPr>
          <w:ilvl w:val="0"/>
          <w:numId w:val="1028"/>
        </w:numPr>
        <w:pStyle w:val="Compact"/>
      </w:pPr>
      <w:r>
        <w:rPr>
          <w:bCs/>
          <w:b/>
        </w:rPr>
        <w:t xml:space="preserve">Phòng ngừa tài chính cho rủi ro tỷ giá USD/VND (financial hedging)</w:t>
      </w:r>
      <w:r>
        <w:t xml:space="preserve">:</w:t>
      </w:r>
    </w:p>
    <w:p>
      <w:pPr>
        <w:numPr>
          <w:ilvl w:val="0"/>
          <w:numId w:val="1029"/>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29"/>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29"/>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notional vs 1,5-2% hiện tại)</w:t>
      </w:r>
    </w:p>
    <w:p>
      <w:pPr>
        <w:numPr>
          <w:ilvl w:val="0"/>
          <w:numId w:val="1029"/>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bổ sung sau front-loading-adjusted (#8).</w:t>
      </w:r>
    </w:p>
    <w:bookmarkEnd w:id="98"/>
    <w:bookmarkStart w:id="99" w:name="X57ab092dce38661557cf0c1a1da66622616be93"/>
    <w:p>
      <w:pPr>
        <w:pStyle w:val="Heading5"/>
      </w:pPr>
      <w:r>
        <w:t xml:space="preserve">2.4.3.4 Hàm ý cho Chuyên đề 2 và luận án — tám kiểm định độ vững cốt lõi</w:t>
      </w:r>
    </w:p>
    <w:p>
      <w:pPr>
        <w:pStyle w:val="FirstParagraph"/>
      </w:pPr>
      <w:r>
        <w:t xml:space="preserve">Phân tích mô tả của CĐ1 phát hiện một số biểu hiện giả tạo thống kê (statistical artifact), đặc biệt là hệ số âm DAI ở Advanced do bão hòa Tier-1, đứt gãy schema BREADY 2025, và dị biệt nội bộ phân nhóm con; điều này đòi hỏi CĐ2 phải kiểm chứng kết quả qua một bộ kiểm định độ vững (robustness check) có hệ thống. Dưới đây là</w:t>
      </w:r>
      <w:r>
        <w:t xml:space="preserve"> </w:t>
      </w:r>
      <w:r>
        <w:rPr>
          <w:bCs/>
          <w:b/>
        </w:rPr>
        <w:t xml:space="preserve">tám kiểm định độ vững cốt lõi</w:t>
      </w:r>
      <w:r>
        <w:t xml:space="preserve"> </w:t>
      </w:r>
      <w:r>
        <w:t xml:space="preserve">mà mô hình kiểm định của CĐ2 cần thực hiện, mỗi kiểm định gắn với một mối đe dọa nội tại cụ thể được CĐ1 nhận diện:</w:t>
      </w:r>
    </w:p>
    <w:p>
      <w:pPr>
        <w:numPr>
          <w:ilvl w:val="0"/>
          <w:numId w:val="1030"/>
        </w:numPr>
      </w:pPr>
      <w:r>
        <w:rPr>
          <w:bCs/>
          <w:b/>
        </w:rPr>
        <w:t xml:space="preserve">Mẫu phụ chỉ ngành chế biến chế tạo (Manufacturing-only subsample)</w:t>
      </w:r>
      <w:r>
        <w:t xml:space="preserve">. Ước lượng lại mô hình chính chỉ trên các doanh nghiệp ngành C (ISIC Rev. 4), tách thêm high-tech so với low-tech theo phân loại Kafouros ctv. (2023). Mục đích: kiểm tra xem quan hệ chữ U ngược FSTS–năng suất (H1) có ổn định khi loại trừ dị biệt cơ cấu ngành dịch vụ và khai khoáng hay không. Đe dọa được xử lý: nhiễu cơ cấu ngành (Bảng 4.8.1).</w:t>
      </w:r>
    </w:p>
    <w:p>
      <w:pPr>
        <w:numPr>
          <w:ilvl w:val="0"/>
          <w:numId w:val="1030"/>
        </w:numPr>
      </w:pPr>
      <w:r>
        <w:rPr>
          <w:bCs/>
          <w:b/>
        </w:rPr>
        <w:t xml:space="preserve">Kiểm định loại trừ ICT (ICT exclusion test)</w:t>
      </w:r>
      <w:r>
        <w:t xml:space="preserve">. Loại các doanh nghiệp mã ISIC J (58–63) khỏi phân nhóm con Advanced đổi mới sáng tạo dẫn dắt rồi ước lượng lại hệ số DAI. Mục đích: xác nhận rằng hệ số âm DAI −0,129 ở Advanced trong Spec 1 là biểu hiện giả tạo do bão hòa Tier-1 chứ không phải hiệu ứng kinh tế thực (H3). Bằng chứng CĐ1 (Mục 4.4.5 mục §2.3.1 chuyên đề): hệ số âm biến mất sau khi loại ICT.</w:t>
      </w:r>
    </w:p>
    <w:p>
      <w:pPr>
        <w:numPr>
          <w:ilvl w:val="0"/>
          <w:numId w:val="1030"/>
        </w:numPr>
      </w:pPr>
      <w:r>
        <w:rPr>
          <w:bCs/>
          <w:b/>
        </w:rPr>
        <w:t xml:space="preserve">Tách ngành du lịch và khách sạn cho SIDS (Tourism/Hotels separation)</w:t>
      </w:r>
      <w:r>
        <w:t xml:space="preserve">. Tách riêng các doanh nghiệp ISIC I (55–56) ở SIDS Thái Bình Dương để kiểm tra xem tỷ lệ FDI ≥10% cao bất thường ở SIDS (23,5%, Bảng 4.5) có do du lịch dẫn dắt bởi doanh nghiệp đa quốc gia hay không. Mục đích: cô lập trường hợp biên H6 khỏi nhiễu ngành dịch vụ du lịch.</w:t>
      </w:r>
    </w:p>
    <w:p>
      <w:pPr>
        <w:numPr>
          <w:ilvl w:val="0"/>
          <w:numId w:val="1030"/>
        </w:numPr>
      </w:pPr>
      <w:r>
        <w:rPr>
          <w:bCs/>
          <w:b/>
        </w:rPr>
        <w:t xml:space="preserve">Mẫu phụ ngành xây dựng: kiểm định Vùng Vịnh (Construction subsample test)</w:t>
      </w:r>
      <w:r>
        <w:t xml:space="preserve">. Ước lượng lại trên ngành F (41–43) ở nhóm Advanced tài nguyên dẫn dắt, nơi xây dựng theo dự án chiếm tỷ trọng cao. Mục đích: kiểm tra logic nhà nước tô và phân tán hẹp ở Vùng Vịnh (H5) có bị chi phối bởi cơ cấu ngành xây dựng hay không.</w:t>
      </w:r>
    </w:p>
    <w:p>
      <w:pPr>
        <w:numPr>
          <w:ilvl w:val="0"/>
          <w:numId w:val="1030"/>
        </w:numPr>
      </w:pPr>
      <w:r>
        <w:rPr>
          <w:bCs/>
          <w:b/>
        </w:rPr>
        <w:t xml:space="preserve">Loại trừ ngành khai khoáng khỏi cụm tài nguyên (Mining-excluded re-estimation)</w:t>
      </w:r>
      <w:r>
        <w:t xml:space="preserve">. Loại ngành B (05–09) khỏi các phân nhóm con tài nguyên dẫn dắt (Vùng Vịnh, Mongolia). Mục đích: phân biệt hiệu ứng cụm tài nguyên cấp thể chế (H5) khỏi hiệu ứng đặc thù ngành khai khoáng.</w:t>
      </w:r>
    </w:p>
    <w:p>
      <w:pPr>
        <w:numPr>
          <w:ilvl w:val="0"/>
          <w:numId w:val="1030"/>
        </w:numPr>
      </w:pPr>
      <w:r>
        <w:rPr>
          <w:bCs/>
          <w:b/>
        </w:rPr>
        <w:t xml:space="preserve">Mô hình neo cô lập đứt gãy schema BREADY 2025 (Anchor model)</w:t>
      </w:r>
      <w:r>
        <w:t xml:space="preserve">. Quy trình ba bước khóa hệ số neo ước lượng từ dữ liệu đến 2024 rồi tái ước lượng với dữ liệu đầy đủ 2009–2025, kèm kiểm định ổn định hệ số (Wald, Chow) và tỷ số hệ số (xem Mục 4.11.2 mục §2.3.1 chuyên đề). Mục đích: bảo đảm cấu trúc bảng hỏi BREADY 2025 không làm đảo chiều ý nghĩa thống kê cốt lõi của H1–H3.</w:t>
      </w:r>
    </w:p>
    <w:p>
      <w:pPr>
        <w:numPr>
          <w:ilvl w:val="0"/>
          <w:numId w:val="1030"/>
        </w:numPr>
      </w:pPr>
      <w:r>
        <w:rPr>
          <w:bCs/>
          <w:b/>
        </w:rPr>
        <w:t xml:space="preserve">Tương tác động học ngành × chất lượng thể chế (Industry × institutional dynamism)</w:t>
      </w:r>
      <w:r>
        <w:t xml:space="preserve">. Kiểm định các số hạng tương tác</w:t>
      </w:r>
      <w:r>
        <w:t xml:space="preserve"> </w:t>
      </w:r>
      <w:r>
        <w:rPr>
          <w:rStyle w:val="VerbatimChar"/>
        </w:rPr>
        <w:t xml:space="preserve">tech_dynamism × institutional_quality</w:t>
      </w:r>
      <w:r>
        <w:t xml:space="preserve"> </w:t>
      </w:r>
      <w:r>
        <w:t xml:space="preserve">(kỳ vọng dấu dương) và</w:t>
      </w:r>
      <w:r>
        <w:t xml:space="preserve"> </w:t>
      </w:r>
      <w:r>
        <w:rPr>
          <w:rStyle w:val="VerbatimChar"/>
        </w:rPr>
        <w:t xml:space="preserve">market_dynamism × institutional_quality</w:t>
      </w:r>
      <w:r>
        <w:t xml:space="preserve"> </w:t>
      </w:r>
      <w:r>
        <w:t xml:space="preserve">(kỳ vọng dấu âm) theo Kafouros ctv. (2023). Mục đích: lặp lại (replicate) phát hiện CEE của Kafouros trong bối cảnh châu Á và cung cấp bằng chứng cho giả thuyết bổ trợ H7 của CĐ2.</w:t>
      </w:r>
    </w:p>
    <w:p>
      <w:pPr>
        <w:numPr>
          <w:ilvl w:val="0"/>
          <w:numId w:val="1030"/>
        </w:numPr>
      </w:pPr>
      <w:r>
        <w:rPr>
          <w:bCs/>
          <w:b/>
        </w:rPr>
        <w:t xml:space="preserve">Đối chiếu ranh giới đo lường (Construct-boundary cross-validation)</w:t>
      </w:r>
      <w:r>
        <w:t xml:space="preserve">. Chạy Spec 2 (DAI Tier-1+2 đa thành phần) chỉ ở các nền kinh tế có đủ dữ liệu BREADY+ để kiểm tra xem pattern kiểu Singapore, tức tương tác DAI × FSTS² dương, có xuất hiện khi dùng chỉ số số hóa tổ hợp hay không (xem Bảng 4.4.5.1 mục §2.3.1 chuyên đề). Mục đích: kiểm chứng khung CDCM và xác lập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w:t>
      </w:r>
    </w:p>
    <w:p>
      <w:pPr>
        <w:pStyle w:val="FirstParagraph"/>
      </w:pPr>
      <w:r>
        <w:rPr>
          <w:bCs/>
          <w:b/>
        </w:rPr>
        <w:t xml:space="preserve">Các kiểm định mở rộng theo bối cảnh (supplementary)</w:t>
      </w:r>
      <w:r>
        <w:t xml:space="preserve">: ngoài tám kiểm định cốt lõi trên, các tiểu cảnh điển hình của Chương 5 và lý giải Chương 6 gợi ý thêm một số kiểm định bổ trợ đặc thù: điều chỉnh theo cơ cấu ngành (sector composition adjustment, Mục 5.3), loại doanh nghiệp xác sống khỏi mẫu phụ Trung Quốc (zombie-excluded re-estimation, Mục 5.4), hiệu chỉnh theo hiệu ứng đẩy nhanh giao hàng (front-loading-adjusted, Mục 6), điều chỉnh theo năng lực phòng ngừa (hedging-adjusted, Mục 7.3.3) và panel xác thực hậu đại dịch độc lập (Mục 4.11.3 mục §2.3.1 chuyên đề). Các kiểm định bổ trợ này phục vụ những câu hỏi đặc thù quốc gia hoặc đặc thù bối cảnh 2026, không thay thế tám kiểm định cốt lõi mang tính cấu trúc.</w:t>
      </w:r>
    </w:p>
    <w:bookmarkEnd w:id="99"/>
    <w:bookmarkEnd w:id="100"/>
    <w:bookmarkStart w:id="101" w:name="hạn-chế-của-chuyên-đề"/>
    <w:p>
      <w:pPr>
        <w:pStyle w:val="Heading4"/>
      </w:pPr>
      <w:r>
        <w:t xml:space="preserve">2.4.4 Hạn chế của chuyên đề</w:t>
      </w:r>
    </w:p>
    <w:p>
      <w:pPr>
        <w:pStyle w:val="FirstParagraph"/>
      </w:pPr>
      <w:r>
        <w:t xml:space="preserve">Chuyên đề thừa nhận bảy hạn chế cần được diễn giải như những</w:t>
      </w:r>
      <w:r>
        <w:t xml:space="preserve"> </w:t>
      </w:r>
      <w:r>
        <w:rPr>
          <w:bCs/>
          <w:b/>
        </w:rPr>
        <w:t xml:space="preserve">giới hạn suy luận (inferential bounds)</w:t>
      </w:r>
      <w:r>
        <w:t xml:space="preserve"> </w:t>
      </w:r>
      <w:r>
        <w:t xml:space="preserve">đặt ra ranh giới cho mọi kết luận, đồng thời định hướng cho thiết kế của CĐ2, phân tích tổng hợp và luận án. Việc nêu rõ các hạn chế này từ giai đoạn mô tả nhằm phòng tránh</w:t>
      </w:r>
      <w:r>
        <w:t xml:space="preserve"> </w:t>
      </w:r>
      <w:r>
        <w:t xml:space="preserve">“</w:t>
      </w:r>
      <w:r>
        <w:t xml:space="preserve">overclaiming</w:t>
      </w:r>
      <w:r>
        <w:t xml:space="preserve">”</w:t>
      </w:r>
      <w:r>
        <w:t xml:space="preserve"> </w:t>
      </w:r>
      <w:r>
        <w:t xml:space="preserve">và bảo đảm tính minh bạch theo chuẩn Aguinis ctv. (2019).</w:t>
      </w:r>
    </w:p>
    <w:p>
      <w:pPr>
        <w:numPr>
          <w:ilvl w:val="0"/>
          <w:numId w:val="1031"/>
        </w:numPr>
      </w:pPr>
      <w:r>
        <w:rPr>
          <w:bCs/>
          <w:b/>
        </w:rPr>
        <w:t xml:space="preserve">Bão hòa DAI Tier-1 ở các nền kinh tế tiên tiến</w:t>
      </w:r>
      <w:r>
        <w:t xml:space="preserve">. Trong Spec 1, biến số hóa chỉ là website nhị phân (Tier-1 Digital Presence). Vì website đã bão hòa từ trước 2018 ở Singapore, Hong Kong, Hàn Quốc, Đài Loan và Israel, biến này không còn khả năng phân biệt (discriminate) năng suất giữa các doanh nghiệp ở Advanced; hệ số âm −0,129 do đó là biểu hiện giả tạo đo lường chứ không phải bằng chứng</w:t>
      </w:r>
      <w:r>
        <w:t xml:space="preserve"> </w:t>
      </w:r>
      <w:r>
        <w:t xml:space="preserve">“</w:t>
      </w:r>
      <w:r>
        <w:t xml:space="preserve">số hóa làm giảm năng suất</w:t>
      </w:r>
      <w:r>
        <w:t xml:space="preserve">”</w:t>
      </w:r>
      <w:r>
        <w:t xml:space="preserve">. Suy luận về</w:t>
      </w:r>
      <w:r>
        <w:t xml:space="preserve"> </w:t>
      </w:r>
      <w:r>
        <w:t xml:space="preserve">“</w:t>
      </w:r>
      <w:r>
        <w:t xml:space="preserve">năng lực số</w:t>
      </w:r>
      <w:r>
        <w:t xml:space="preserve">”</w:t>
      </w:r>
      <w:r>
        <w:t xml:space="preserve"> </w:t>
      </w:r>
      <w:r>
        <w:t xml:space="preserve">trong CĐ1 phải giới hạn ở phạm vi Áp dụng số nền tảng (Foundational Digital Adoption), không mở rộng thành</w:t>
      </w:r>
      <w:r>
        <w:t xml:space="preserve"> </w:t>
      </w:r>
      <w:r>
        <w:t xml:space="preserve">“</w:t>
      </w:r>
      <w:r>
        <w:t xml:space="preserve">Digital Transformation</w:t>
      </w:r>
      <w:r>
        <w:t xml:space="preserve">”</w:t>
      </w:r>
      <w:r>
        <w:t xml:space="preserve"> </w:t>
      </w:r>
      <w:r>
        <w:t xml:space="preserve">(Tier-3/4 không quan sát được trong WBES).</w:t>
      </w:r>
    </w:p>
    <w:p>
      <w:pPr>
        <w:numPr>
          <w:ilvl w:val="0"/>
          <w:numId w:val="1031"/>
        </w:numPr>
      </w:pPr>
      <w:r>
        <w:rPr>
          <w:bCs/>
          <w:b/>
        </w:rPr>
        <w:t xml:space="preserve">Hiệu ứng schema BREADY trong đợt khảo sát 2025</w:t>
      </w:r>
      <w:r>
        <w:t xml:space="preserve">. Đợt 2025 (n=17.107, 16,9% pool) dùng bảng hỏi BREADY khác hai thế hệ trước, gây những dịch chuyển đo lường phi kinh tế: điển hình FSTS Ấn Độ rơi từ 7,7% xuống 2,7% và R&amp;D nhiều nước tăng vọt do hiệu ứng bảng hỏi (questionnaire effect). Mọi so sánh chuỗi thời gian có dữ liệu 2025 phải được đọc với dè dặt cho tới khi áp dụng hệ thống cô lập</w:t>
      </w:r>
      <w:r>
        <w:t xml:space="preserve"> </w:t>
      </w:r>
      <w:r>
        <w:t xml:space="preserve">“</w:t>
      </w:r>
      <w:r>
        <w:t xml:space="preserve">triple-defense</w:t>
      </w:r>
      <w:r>
        <w:t xml:space="preserve">”</w:t>
      </w:r>
      <w:r>
        <w:t xml:space="preserve"> </w:t>
      </w:r>
      <w:r>
        <w:t xml:space="preserve">(Mục 4.11 mục §2.3.1 chuyên đề); Nepal 2025 bị để n/a vì schema chưa thống nhất.</w:t>
      </w:r>
    </w:p>
    <w:p>
      <w:pPr>
        <w:numPr>
          <w:ilvl w:val="0"/>
          <w:numId w:val="1031"/>
        </w:numPr>
      </w:pPr>
      <w:r>
        <w:rPr>
          <w:bCs/>
          <w:b/>
        </w:rPr>
        <w:t xml:space="preserve">Thiết kế cắt ngang gộp (pooled cross-sectional), không phải bảng (panel) thực thụ</w:t>
      </w:r>
      <w:r>
        <w:t xml:space="preserve">. Pool 101.185 doanh nghiệp là tập hợp cắt ngang lặp lại (repeated cross-section) chứ không theo dõi cùng một doanh nghiệp qua thời gian. Do đó CĐ1 không thể nhận diện hiệu ứng trong-doanh-nghiệp (within-firm) hay thiết lập quan hệ nhân quả; mọi tương quan ở Chương 6 là mô tả và có thể bị nhiễu bởi yếu tố không quan sát được. Việc nhận diện nhân quả (IV, panel) được dành cho CĐ2.</w:t>
      </w:r>
    </w:p>
    <w:p>
      <w:pPr>
        <w:numPr>
          <w:ilvl w:val="0"/>
          <w:numId w:val="1031"/>
        </w:numPr>
      </w:pPr>
      <w:r>
        <w:rPr>
          <w:bCs/>
          <w:b/>
        </w:rPr>
        <w:t xml:space="preserve">Loại trừ bốn ngành và giới hạn vũ trụ khảo sát WBES</w:t>
      </w:r>
      <w:r>
        <w:t xml:space="preserve">. WBES loại trừ tiện ích công cộng, dịch vụ chính phủ, chăm sóc sức khỏe và dịch vụ tài chính, đồng thời chỉ khảo sát doanh nghiệp chính thức có ít nhất 5 lao động. Vì vậy các pattern của CĐ1 không suy rộng được sang khu vực phi chính thức, vi doanh nghiệp (dưới 5 lao động) hay bốn ngành loại trừ, một giới hạn đặc biệt quan trọng ở Frontier và SIDS nơi khu vực phi chính thức lớn.</w:t>
      </w:r>
    </w:p>
    <w:p>
      <w:pPr>
        <w:numPr>
          <w:ilvl w:val="0"/>
          <w:numId w:val="1031"/>
        </w:numPr>
      </w:pPr>
      <w:r>
        <w:rPr>
          <w:bCs/>
          <w:b/>
        </w:rPr>
        <w:t xml:space="preserve">Tính dị thể của pool (pool heterogeneity) qua ba thế hệ khung dữ liệu</w:t>
      </w:r>
      <w:r>
        <w:t xml:space="preserve">. Pool hài hòa ba thế hệ schema (PICS3, Standardized, Standardized 2018+/BREADY) với định nghĩa biến không hoàn toàn đồng nhất; mẫu phụ đủ dữ liệu năng suất (86.457) loại bỏ không đồng đều giữa các phân nhóm con (Frontier mất 34,2%, xem ghi chú Bảng 4.1). Sự dị thể này hạn chế độ chính xác của các so sánh tuyệt đối xuyên thế hệ schema, dù không làm thay đổi các pattern định hướng (directional patterns).</w:t>
      </w:r>
    </w:p>
    <w:p>
      <w:pPr>
        <w:numPr>
          <w:ilvl w:val="0"/>
          <w:numId w:val="1031"/>
        </w:numPr>
      </w:pPr>
      <w:r>
        <w:rPr>
          <w:bCs/>
          <w:b/>
        </w:rPr>
        <w:t xml:space="preserve">Số liệu giới tính là ước tính theo phân nhóm con, chưa tính trực tiếp từ biến gốc</w:t>
      </w:r>
      <w:r>
        <w:t xml:space="preserve">. Bảng 4.5.6 (mục §2.3.1 chuyên đề) trình bày tỷ lệ nữ quản lý cấp cao và nữ sở hữu dưới dạng khoảng ước tính (range estimate) tổng hợp theo phân nhóm con ICRV, chưa tính chính xác từ biến WBES</w:t>
      </w:r>
      <w:r>
        <w:t xml:space="preserve"> </w:t>
      </w:r>
      <w:r>
        <w:rPr>
          <w:rStyle w:val="VerbatimChar"/>
        </w:rPr>
        <w:t xml:space="preserve">b7a</w:t>
      </w:r>
      <w:r>
        <w:t xml:space="preserve">/</w:t>
      </w:r>
      <w:r>
        <w:rPr>
          <w:rStyle w:val="VerbatimChar"/>
        </w:rPr>
        <w:t xml:space="preserve">b4</w:t>
      </w:r>
      <w:r>
        <w:t xml:space="preserve"> </w:t>
      </w:r>
      <w:r>
        <w:t xml:space="preserve">ở cấp doanh nghiệp. Vì vậy các nhận định về giới (Mục 4.5.6 và 6.1) mang tính gợi mở; trị số chính xác sẽ được tính lại trong giai đoạn hoàn thiện và dùng làm biến kiểm soát/điều tiết trong CĐ2.</w:t>
      </w:r>
    </w:p>
    <w:p>
      <w:pPr>
        <w:numPr>
          <w:ilvl w:val="0"/>
          <w:numId w:val="1031"/>
        </w:numPr>
      </w:pPr>
      <w:r>
        <w:rPr>
          <w:bCs/>
          <w:b/>
        </w:rPr>
        <w:t xml:space="preserve">Thiếu bằng chứng cường độ (magnitude evidence): chờ phân tích tổng hợp</w:t>
      </w:r>
      <w:r>
        <w:t xml:space="preserve">. CĐ1 cung cấp</w:t>
      </w:r>
      <w:r>
        <w:t xml:space="preserve"> </w:t>
      </w:r>
      <w:r>
        <w:rPr>
          <w:iCs/>
          <w:i/>
        </w:rPr>
        <w:t xml:space="preserve">bằng chứng tồn tại</w:t>
      </w:r>
      <w:r>
        <w:t xml:space="preserve"> </w:t>
      </w:r>
      <w:r>
        <w:t xml:space="preserve">(existence evidence) cho H1–H6 qua thống kê mô tả và các điểm uốn đơn quốc gia (Việt Nam, Trung Quốc, Singapore), nhưng chưa cung cấp</w:t>
      </w:r>
      <w:r>
        <w:t xml:space="preserve"> </w:t>
      </w:r>
      <w:r>
        <w:rPr>
          <w:iCs/>
          <w:i/>
        </w:rPr>
        <w:t xml:space="preserve">bằng chứng cường độ</w:t>
      </w:r>
      <w:r>
        <w:t xml:space="preserve">, tức quy mô hiệu ứng gộp (pooled effect size) chuẩn hóa và khoảng tin cậy xuyên 47 nền kinh tế. Bằng chứng cường độ này phụ thuộc vào bài báo tổng hợp định lượng phân tích tổng hợp (đang chuẩn bị, phương pháp PRISMA 2020). Cho tới khi phân tích tổng hợp hoàn thành, mọi phát biểu về độ lớn hiệu ứng tổng hợp phải được trình bày như giả định cần kiểm chứng, không phải kết luận đã xác lập.</w:t>
      </w:r>
    </w:p>
    <w:bookmarkEnd w:id="101"/>
    <w:bookmarkStart w:id="102" w:name="kế-hoạch-hoàn-thiện"/>
    <w:p>
      <w:pPr>
        <w:pStyle w:val="Heading4"/>
      </w:pPr>
      <w:r>
        <w:t xml:space="preserve">2.4.5 Kế hoạch hoàn thiện</w:t>
      </w:r>
    </w:p>
    <w:p>
      <w:pPr>
        <w:pStyle w:val="FirstParagraph"/>
      </w:pPr>
      <w:r>
        <w:t xml:space="preserve">Chuyên đề được hoàn thiện theo bốn giai đoạn nối tiếp từ tháng 6/2026 đến tháng 9/2026, mỗi giai đoạn xử lý một nhóm hạn chế nêu ở Mục 7.4 và bổ sung phần còn để ngỏ trong các phụ lục:</w:t>
      </w:r>
    </w:p>
    <w:p>
      <w:pPr>
        <w:numPr>
          <w:ilvl w:val="0"/>
          <w:numId w:val="1032"/>
        </w:numPr>
      </w:pPr>
      <w:r>
        <w:rPr>
          <w:bCs/>
          <w:b/>
        </w:rPr>
        <w:t xml:space="preserve">Giai đoạn 1 (tháng 6/2026): Hoàn thiện dữ liệu và đo lường gốc</w:t>
      </w:r>
      <w:r>
        <w:t xml:space="preserve">. Tính lại trực tiếp các trị số P90/P10 và P75/P25 cho Bảng 4.1 (xử lý hạn chế 5), tính chính xác số liệu giới tính từ biến</w:t>
      </w:r>
      <w:r>
        <w:t xml:space="preserve"> </w:t>
      </w:r>
      <w:r>
        <w:rPr>
          <w:rStyle w:val="VerbatimChar"/>
        </w:rPr>
        <w:t xml:space="preserve">b7a</w:t>
      </w:r>
      <w:r>
        <w:t xml:space="preserve">/</w:t>
      </w:r>
      <w:r>
        <w:rPr>
          <w:rStyle w:val="VerbatimChar"/>
        </w:rPr>
        <w:t xml:space="preserve">b4</w:t>
      </w:r>
      <w:r>
        <w:t xml:space="preserve"> </w:t>
      </w:r>
      <w:r>
        <w:t xml:space="preserve">(hạn chế 6), quy đổi năng suất sang USD PPP, và chốt số doanh nghiệp Indonesia và Philippines trong phân rã Bảng 4.9 (xử lý C5). Đầu ra: Bảng 4.1, 4.5.6 và 4.9 với số liệu hoàn chỉnh thay cho các ô</w:t>
      </w:r>
      <w:r>
        <w:t xml:space="preserve"> </w:t>
      </w:r>
      <w:r>
        <w:t xml:space="preserve">“</w:t>
      </w:r>
      <w:r>
        <w:t xml:space="preserve">(cập nhật GĐ1)</w:t>
      </w:r>
      <w:r>
        <w:t xml:space="preserve">”</w:t>
      </w:r>
      <w:r>
        <w:t xml:space="preserve"> </w:t>
      </w:r>
      <w:r>
        <w:t xml:space="preserve">và ước tính khoảng.</w:t>
      </w:r>
    </w:p>
    <w:p>
      <w:pPr>
        <w:numPr>
          <w:ilvl w:val="0"/>
          <w:numId w:val="1032"/>
        </w:numPr>
      </w:pPr>
      <w:r>
        <w:rPr>
          <w:bCs/>
          <w:b/>
        </w:rPr>
        <w:t xml:space="preserve">Giai đoạn 2 (tháng 7/2026): Bảng mô tả cấp ngành và cô lập schema</w:t>
      </w:r>
      <w:r>
        <w:t xml:space="preserve">. Xây dựng các bảng mô tả cấp ngành theo khung 9 ngành ISIC (Bảng 4.8.1), triển khai hệ thống</w:t>
      </w:r>
      <w:r>
        <w:t xml:space="preserve"> </w:t>
      </w:r>
      <w:r>
        <w:t xml:space="preserve">“</w:t>
      </w:r>
      <w:r>
        <w:t xml:space="preserve">triple-defense</w:t>
      </w:r>
      <w:r>
        <w:t xml:space="preserve">”</w:t>
      </w:r>
      <w:r>
        <w:t xml:space="preserve"> </w:t>
      </w:r>
      <w:r>
        <w:t xml:space="preserve">cô lập đứt gãy schema BREADY 2025 (xử lý hạn chế 2) và tạo 11 hình minh họa từ</w:t>
      </w:r>
      <w:r>
        <w:t xml:space="preserve"> </w:t>
      </w:r>
      <w:r>
        <w:rPr>
          <w:rStyle w:val="VerbatimChar"/>
        </w:rPr>
        <w:t xml:space="preserve">generate_figures.py</w:t>
      </w:r>
      <w:r>
        <w:t xml:space="preserve">. Đầu ra: phụ lục cấp ngành và bộ hình hoàn chỉnh.</w:t>
      </w:r>
    </w:p>
    <w:p>
      <w:pPr>
        <w:numPr>
          <w:ilvl w:val="0"/>
          <w:numId w:val="1032"/>
        </w:numPr>
      </w:pPr>
      <w:r>
        <w:rPr>
          <w:bCs/>
          <w:b/>
        </w:rPr>
        <w:t xml:space="preserve">Giai đoạn 3 (tháng 8/2026): Mở rộng phụ lục và đối chiếu chéo</w:t>
      </w:r>
      <w:r>
        <w:t xml:space="preserve">. Mở rộng Phụ lục B–G, đối chiếu chéo (cross-validate) toàn bộ pool với baseline 17 nước của Đỗ &amp; Phan (2026, VEFR) để kiểm tra tính nhất quán (xử lý hạn chế 5), và hoàn tất gói tái lập (replication package) mở. Đầu ra: phụ lục đầy đủ và gói tái lập công khai.</w:t>
      </w:r>
    </w:p>
    <w:p>
      <w:pPr>
        <w:numPr>
          <w:ilvl w:val="0"/>
          <w:numId w:val="1032"/>
        </w:numPr>
      </w:pPr>
      <w:r>
        <w:rPr>
          <w:bCs/>
          <w:b/>
        </w:rPr>
        <w:t xml:space="preserve">Giai đoạn 4 (tháng 9/2026): Tích hợp với CĐ2 và rà soát cuối</w:t>
      </w:r>
      <w:r>
        <w:t xml:space="preserve">. Tích hợp định hướng H1–H6 và tám kiểm định độ vững cốt lõi (Mục 7.3.4) vào thiết kế CĐ2, rà soát nhất quán số liệu và nhãn xuyên ba phần, và chuẩn bị bản nộp Hội đồng. Đầu ra: bản chuyên đề hoàn chỉnh sẵn sàng bảo vệ, đồng bộ với mô hình kiểm định của CĐ2.</w:t>
      </w:r>
    </w:p>
    <w:p>
      <w:r>
        <w:pict>
          <v:rect style="width:0;height:1.5pt" o:hralign="center" o:hrstd="t" o:hr="t"/>
        </w:pict>
      </w:r>
    </w:p>
    <w:bookmarkEnd w:id="102"/>
    <w:bookmarkEnd w:id="103"/>
    <w:bookmarkEnd w:id="104"/>
    <w:bookmarkStart w:id="105" w:name="tài-liệu-tham-khảo"/>
    <w:p>
      <w:pPr>
        <w:pStyle w:val="Heading2"/>
      </w:pPr>
      <w:r>
        <w:t xml:space="preserve">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r>
        <w:pict>
          <v:rect style="width:0;height:1.5pt" o:hralign="center" o:hrstd="t" o:hr="t"/>
        </w:pict>
      </w:r>
    </w:p>
    <w:bookmarkEnd w:id="105"/>
    <w:bookmarkStart w:id="108" w:name="phụ-lục"/>
    <w:p>
      <w:pPr>
        <w:pStyle w:val="Heading2"/>
      </w:pPr>
      <w:r>
        <w:t xml:space="preserve">PHỤ LỤC</w:t>
      </w:r>
    </w:p>
    <w:bookmarkStart w:id="106"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106"/>
    <w:bookmarkStart w:id="107" w:name="phụ-lục-b-g"/>
    <w:p>
      <w:pPr>
        <w:pStyle w:val="Heading3"/>
      </w:pPr>
      <w:r>
        <w:t xml:space="preserve">Phụ lục B – G</w:t>
      </w:r>
    </w:p>
    <w:p>
      <w:pPr>
        <w:pStyle w:val="FirstParagraph"/>
      </w:pPr>
      <w:r>
        <w:t xml:space="preserve">(Sẽ mở rộng giai đoạn 1–3 tháng 6–8/2026.)</w:t>
      </w:r>
      <w:r>
        <w:t xml:space="preserve"> </w:t>
      </w:r>
      <w:r>
        <w:t xml:space="preserve">### Phụ lục H — Bảng thuật ngữ Anh-Việt (rút gọn)</w:t>
      </w:r>
    </w:p>
    <w:p>
      <w:pPr>
        <w:pStyle w:val="BodyText"/>
      </w:pPr>
      <w:r>
        <w:t xml:space="preserve">(Sáu nhóm thuật ngữ kèm ánh xạ Hán-Việt.)</w:t>
      </w:r>
    </w:p>
    <w:p>
      <w:r>
        <w:pict>
          <v:rect style="width:0;height:1.5pt" o:hralign="center" o:hrstd="t" o:hr="t"/>
        </w:pict>
      </w:r>
    </w:p>
    <w:p>
      <w:pPr>
        <w:pStyle w:val="FirstParagraph"/>
      </w:pPr>
      <w:r>
        <w:rPr>
          <w:iCs/>
          <w:i/>
        </w:rPr>
        <w:t xml:space="preserve">(Phần 2 nội dung chuyên đề đã được merge vào file này từ commit</w:t>
      </w:r>
      <w:r>
        <w:rPr>
          <w:iCs/>
          <w:i/>
        </w:rPr>
        <w:t xml:space="preserve"> </w:t>
      </w:r>
      <w:r>
        <w:rPr>
          <w:rStyle w:val="VerbatimChar"/>
          <w:iCs/>
          <w:i/>
        </w:rPr>
        <w:t xml:space="preserve">2e7f645</w:t>
      </w:r>
      <w:r>
        <w:rPr>
          <w:iCs/>
          <w:i/>
        </w:rPr>
        <w:t xml:space="preserve">.)</w:t>
      </w:r>
    </w:p>
    <w:p>
      <w:pPr>
        <w:pStyle w:val="BlockText"/>
      </w:pPr>
      <w:r>
        <w:rPr>
          <w:iCs/>
          <w:i/>
        </w:rPr>
        <w:t xml:space="preserve">(Note: 3 part files 14/15/16 đã merge vào file này; cross-refs to legacy paths preserved for git history.)</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End w:id="107"/>
    <w:bookmarkEnd w:id="108"/>
    <w:bookmarkEnd w:id="10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64" Target="media/rId64.png" /><Relationship Type="http://schemas.openxmlformats.org/officeDocument/2006/relationships/image" Id="rId58" Target="media/rId58.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2026-06-05T02:16:02Z</dcterms:created>
  <dcterms:modified xsi:type="dcterms:W3CDTF">2026-06-05T02:16:02Z</dcterms:modified>
</cp:coreProperties>
</file>

<file path=docProps/custom.xml><?xml version="1.0" encoding="utf-8"?>
<Properties xmlns="http://schemas.openxmlformats.org/officeDocument/2006/custom-properties" xmlns:vt="http://schemas.openxmlformats.org/officeDocument/2006/docPropsVTypes"/>
</file>