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530a60ea82b46f54a0064560654437ce657adfd"/>
    <w:p>
      <w:pPr>
        <w:pStyle w:val="Heading1"/>
      </w:pPr>
      <w:r>
        <w:t xml:space="preserve">CHUYÊN ĐỀ TIẾN SĨ SỐ 2 — XÂY DỰNG MÔ HÌNH NGHIÊN CỨU VỀ ẢNH HƯỞNG CỦA QUỐC TẾ HÓA ĐẾN HIỆU QUẢ HOẠT ĐỘNG KINH DOANH CỦA CÁC DOANH NGHIỆP Ở CHÂU Á</w:t>
      </w:r>
    </w:p>
    <w:p>
      <w:pPr>
        <w:pStyle w:val="BlockText"/>
      </w:pPr>
      <w:r>
        <w:t xml:space="preserve">Căn cứ Quyết định số 4768/QĐ-ĐHCT ngày 15/10/2024 của Hiệu trưởng Trường Đại học Cần Thơ về việc giao chuyên đề và tiểu luận tổng quan tiến sĩ.</w:t>
      </w:r>
      <w:r>
        <w:t xml:space="preserve"> </w:t>
      </w:r>
      <w:r>
        <w:t xml:space="preserve">Bố cục tuân thủ Hướng dẫn QĐ 1799/QĐ-ĐHCT (18/6/2021) — Phần 1 Thông tin chung + Phần 2 Nội dung chuyên đề (§2.1 Đặt vấn đề / §2.2 PPNC / §2.3 Kết quả+thảo luận / §2.4 Kết luận+đề xuất).</w:t>
      </w:r>
    </w:p>
    <w:bookmarkStart w:id="28" w:name="phần-1-thông-tin-chung"/>
    <w:p>
      <w:pPr>
        <w:pStyle w:val="Heading2"/>
      </w:pPr>
      <w:r>
        <w:t xml:space="preserve">PHẦN 1 — THÔNG TIN CHUNG</w:t>
      </w:r>
    </w:p>
    <w:bookmarkStart w:id="20" w:name="trang-bìa"/>
    <w:p>
      <w:pPr>
        <w:pStyle w:val="Heading3"/>
      </w:pPr>
      <w:r>
        <w:t xml:space="preserve">TRANG BÌA</w:t>
      </w:r>
    </w:p>
    <w:p>
      <w:pPr>
        <w:pStyle w:val="FirstParagraph"/>
      </w:pPr>
      <w:r>
        <w:rPr>
          <w:iCs/>
          <w:i/>
        </w:rPr>
        <w:t xml:space="preserve">Xem template</w:t>
      </w:r>
      <w:r>
        <w:rPr>
          <w:iCs/>
          <w:i/>
        </w:rPr>
        <w:t xml:space="preserve"> </w:t>
      </w:r>
      <w:r>
        <w:rPr>
          <w:rStyle w:val="VerbatimChar"/>
          <w:iCs/>
          <w:i/>
        </w:rPr>
        <w:t xml:space="preserve">templates/cover_pages/09_trang_bia_chuyen_de_2.docx</w:t>
      </w:r>
      <w:r>
        <w:rPr>
          <w:iCs/>
          <w:i/>
        </w:rPr>
        <w:t xml:space="preserve">.</w:t>
      </w:r>
    </w:p>
    <w:bookmarkEnd w:id="20"/>
    <w:bookmarkStart w:id="21" w:name="lời-cam-đoan"/>
    <w:p>
      <w:pPr>
        <w:pStyle w:val="Heading3"/>
      </w:pPr>
      <w:r>
        <w:t xml:space="preserve">LỜI CAM ĐOAN</w:t>
      </w:r>
    </w:p>
    <w:p>
      <w:pPr>
        <w:pStyle w:val="FirstParagraph"/>
      </w:pPr>
      <w:r>
        <w:t xml:space="preserve">Tôi tên là</w:t>
      </w:r>
      <w:r>
        <w:t xml:space="preserve"> </w:t>
      </w:r>
      <w:r>
        <w:rPr>
          <w:bCs/>
          <w:b/>
        </w:rPr>
        <w:t xml:space="preserve">Đỗ Thùy Hương</w:t>
      </w:r>
      <w:r>
        <w:t xml:space="preserve">, là nghiên cứu sinh ngành Quản trị kinh doanh, khóa 2023 đợt 1, mã số NCS P1323001. Tôi xin cam đoan chuyên đề tiến sĩ số 2 này là công trình nghiên cứu khoa học thực sự của bản thân tôi được sự hướng dẫn của</w:t>
      </w:r>
      <w:r>
        <w:t xml:space="preserve"> </w:t>
      </w:r>
      <w:r>
        <w:rPr>
          <w:bCs/>
          <w:b/>
        </w:rPr>
        <w:t xml:space="preserve">PGS.TS. Phan Anh Tú</w:t>
      </w:r>
      <w:r>
        <w:t xml:space="preserve">. Các thông tin được sử dụng tham khảo trong chuyên đề được thu thập từ các nguồn đáng tin cậy, đã được kiểm chứng, được công bố rộng rãi và được tôi trích dẫn nguồn gốc rõ ràng. Các kết quả nghiên cứu trong chuyên đề là do chính tôi thực hiện một cách nghiêm túc, trung thực và không trùng lặp với các đề tài khác đã công bố trước đây.</w:t>
      </w:r>
    </w:p>
    <w:bookmarkEnd w:id="21"/>
    <w:bookmarkStart w:id="22" w:name="tóm-tắt"/>
    <w:p>
      <w:pPr>
        <w:pStyle w:val="Heading3"/>
      </w:pPr>
      <w:r>
        <w:t xml:space="preserve">TÓM TẮT</w:t>
      </w:r>
    </w:p>
    <w:p>
      <w:pPr>
        <w:pStyle w:val="FirstParagraph"/>
      </w:pPr>
      <w:r>
        <w:t xml:space="preserve">Chuyên đề tiến sĩ số 2 xây dựng</w:t>
      </w:r>
      <w:r>
        <w:t xml:space="preserve"> </w:t>
      </w:r>
      <w:r>
        <w:rPr>
          <w:iCs/>
          <w:i/>
        </w:rPr>
        <w:t xml:space="preserve">Khung lý thuyết phân tầng CIMT–ICRV–CDCM</w:t>
      </w:r>
      <w:r>
        <w:t xml:space="preserve"> </w:t>
      </w:r>
      <w:r>
        <w:t xml:space="preserve">để giải thích quan hệ giữa quốc tế hóa và hiệu quả hoạt động kinh doanh của các doanh nghiệp ở Châu Á. Khung được thiết kế trên cơ sở tích hợp bốn lý thuyết kinh điển của kinh doanh quốc tế (Uppsala, Quan điểm dựa trên nguồn lực — RBV, Lý thuyết thể chế, Lý thuyết tầng lớp lãnh đạo — Upper Echelons) cùng lớp mở rộng Lăng kính năng lực số (Digital Capability Lens). Khung phân tầng gồm ba lớp: (i)</w:t>
      </w:r>
      <w:r>
        <w:t xml:space="preserve"> </w:t>
      </w:r>
      <w:r>
        <w:rPr>
          <w:iCs/>
          <w:i/>
        </w:rPr>
        <w:t xml:space="preserve">Cơ chế trung tâm</w:t>
      </w:r>
      <w:r>
        <w:t xml:space="preserve"> </w:t>
      </w:r>
      <w:r>
        <w:t xml:space="preserve">— Lý thuyết Bất tương thích Năng lực–Thể chế (Capability–Institution Mismatch Theory, CIMT) — một khung tích hợp tầm trung (middle-range integrative framework) theo nghĩa của Merton (1968), Whetten (1989) và Corley &amp; Gioia (2011), tổng hợp ba kênh đã khẳng định trong văn liệu IB (bảo vệ tô, suy giảm gánh nặng người nước ngoài, khuếch đại khoảng trống thể chế); (ii)</w:t>
      </w:r>
      <w:r>
        <w:t xml:space="preserve"> </w:t>
      </w:r>
      <w:r>
        <w:rPr>
          <w:iCs/>
          <w:i/>
        </w:rPr>
        <w:t xml:space="preserve">Taxonomy thể chế</w:t>
      </w:r>
      <w:r>
        <w:t xml:space="preserve"> </w:t>
      </w:r>
      <w:r>
        <w:t xml:space="preserve">— Biến thiên Chế độ Bối cảnh Thể chế (Institutional Context Regime Variation, ICRV) — phân loại 45 nền kinh tế (mẫu hồi quy) / 47 nền kinh tế (mẫu mô tả) trên hai trục năng lực thể chế và tính dễ tổn thương về nguồn lực thành sáu chế độ con; (iii)</w:t>
      </w:r>
      <w:r>
        <w:t xml:space="preserve"> </w:t>
      </w:r>
      <w:r>
        <w:rPr>
          <w:iCs/>
          <w:i/>
        </w:rPr>
        <w:t xml:space="preserve">Signature thực nghiệm</w:t>
      </w:r>
      <w:r>
        <w:t xml:space="preserve"> </w:t>
      </w:r>
      <w:r>
        <w:t xml:space="preserve">— Mô hình Năng lực số Phụ thuộc Bối cảnh (Context-Contingent Digital Capability Model, CDCM) — biểu hiện quan sát được ở cấp doanh nghiệp dưới điều kiện số hóa. Trên nền tảng khung phân tầng, chuyên đề phát triển sáu giả thuyết H1–H6 cùng điều kiện biên H1b cho các quốc đảo nhỏ Thái Bình Dương (SIDS). Hệ giả thuyết được ánh xạ vào ba thiết kế kiểm định bổ sung cho nhau: phân tích tổng hợp ba tầng (P6), phân tích đa quốc gia trên 45 nền kinh tế (P7), và bốn nghiên cứu đơn quốc gia kiểm định signature CDCM trong từng regime ICRV (P3 Việt Nam, P4 Singapore, P5 Trung Quốc, P9’ Ấn Độ, P8 SIDS).</w:t>
      </w:r>
    </w:p>
    <w:p>
      <w:pPr>
        <w:pStyle w:val="BodyText"/>
      </w:pPr>
      <w:r>
        <w:rPr>
          <w:bCs/>
          <w:b/>
        </w:rPr>
        <w:t xml:space="preserve">Từ khóa</w:t>
      </w:r>
      <w:r>
        <w:t xml:space="preserve">: khung lý thuyết tích hợp; CIMT; ICRV; CDCM; quốc tế hóa; hiệu quả hoạt động kinh doanh; châu Á; giả thuyết phi tuyến chữ U ngược.</w:t>
      </w:r>
    </w:p>
    <w:bookmarkEnd w:id="22"/>
    <w:bookmarkStart w:id="23" w:name="abstract"/>
    <w:p>
      <w:pPr>
        <w:pStyle w:val="Heading3"/>
      </w:pPr>
      <w:r>
        <w:t xml:space="preserve">ABSTRACT</w:t>
      </w:r>
    </w:p>
    <w:p>
      <w:pPr>
        <w:pStyle w:val="FirstParagraph"/>
      </w:pPr>
      <w:r>
        <w:t xml:space="preserve">This dissertation chapter develops the</w:t>
      </w:r>
      <w:r>
        <w:t xml:space="preserve"> </w:t>
      </w:r>
      <w:r>
        <w:rPr>
          <w:iCs/>
          <w:i/>
        </w:rPr>
        <w:t xml:space="preserve">layered CIMT–ICRV–CDCM theoretical framework</w:t>
      </w:r>
      <w:r>
        <w:t xml:space="preserve"> </w:t>
      </w:r>
      <w:r>
        <w:t xml:space="preserve">to explain the internationalization–performance relationship of firms in Asia. The framework integrates four classical IB theories (Uppsala, Resource-Based View, Institutional Theory, Upper Echelons) with a Digital Capability Lens extension. The three layers are: (i)</w:t>
      </w:r>
      <w:r>
        <w:t xml:space="preserve"> </w:t>
      </w:r>
      <w:r>
        <w:rPr>
          <w:iCs/>
          <w:i/>
        </w:rPr>
        <w:t xml:space="preserve">Central mechanism</w:t>
      </w:r>
      <w:r>
        <w:t xml:space="preserve"> </w:t>
      </w:r>
      <w:r>
        <w:t xml:space="preserve">— Capability–Institution Mismatch Theory (CIMT) — a middle-range integrative framework (Merton, 1968; Whetten, 1989; Corley &amp; Gioia, 2011) synthesising three established IB channels (rent protection, liability-of-foreignness attenuation, institutional-void amplification); (ii)</w:t>
      </w:r>
      <w:r>
        <w:t xml:space="preserve"> </w:t>
      </w:r>
      <w:r>
        <w:rPr>
          <w:iCs/>
          <w:i/>
        </w:rPr>
        <w:t xml:space="preserve">Institutional taxonomy</w:t>
      </w:r>
      <w:r>
        <w:t xml:space="preserve"> </w:t>
      </w:r>
      <w:r>
        <w:t xml:space="preserve">— Institutional Context Regime Variation (ICRV) — classifying 45 economies (regression sample) / 47 economies (descriptive coverage) on two axes (institutional capability × resource vulnerability) into six sub-regimes; (iii)</w:t>
      </w:r>
      <w:r>
        <w:t xml:space="preserve"> </w:t>
      </w:r>
      <w:r>
        <w:rPr>
          <w:iCs/>
          <w:i/>
        </w:rPr>
        <w:t xml:space="preserve">Empirical signature</w:t>
      </w:r>
      <w:r>
        <w:t xml:space="preserve"> </w:t>
      </w:r>
      <w:r>
        <w:t xml:space="preserve">— Context-Contingent Digital Capability Model (CDCM) — firm-level observable signature under digital conditions. Six hypotheses (H1–H6) plus a boundary condition H1b for Pacific SIDS are derived and mapped onto three complementary test designs: three-level MARA (P6), multi-country analysis across 45 economies (P7), and four single-country signature tests across ICRV regimes (P3 Vietnam, P4 Singapore, P5 China, P9’ India, P8 SIDS).</w:t>
      </w:r>
    </w:p>
    <w:p>
      <w:pPr>
        <w:pStyle w:val="BodyText"/>
      </w:pPr>
      <w:r>
        <w:rPr>
          <w:bCs/>
          <w:b/>
        </w:rPr>
        <w:t xml:space="preserve">Keywords</w:t>
      </w:r>
      <w:r>
        <w:t xml:space="preserve">: integrative theoretical framework; CIMT; ICRV; CDCM; internationalization; firm performance; Asia; inverted-U non-linear hypothesis.</w:t>
      </w:r>
    </w:p>
    <w:bookmarkEnd w:id="23"/>
    <w:bookmarkStart w:id="24" w:name="mục-lục"/>
    <w:p>
      <w:pPr>
        <w:pStyle w:val="Heading3"/>
      </w:pPr>
      <w:r>
        <w:t xml:space="preserve">MỤC LỤC</w:t>
      </w:r>
    </w:p>
    <w:p>
      <w:pPr>
        <w:pStyle w:val="FirstParagraph"/>
      </w:pPr>
      <w:r>
        <w:rPr>
          <w:iCs/>
          <w:i/>
        </w:rPr>
        <w:t xml:space="preserve">Mục lục sẽ được tự động sinh khi build DOCX qua pandoc.</w:t>
      </w:r>
    </w:p>
    <w:bookmarkEnd w:id="24"/>
    <w:bookmarkStart w:id="25" w:name="danh-mục-bảng"/>
    <w:p>
      <w:pPr>
        <w:pStyle w:val="Heading3"/>
      </w:pPr>
      <w:r>
        <w:t xml:space="preserve">DANH MỤC BẢNG</w:t>
      </w:r>
    </w:p>
    <w:p>
      <w:pPr>
        <w:pStyle w:val="FirstParagraph"/>
      </w:pPr>
      <w:r>
        <w:t xml:space="preserve">Bảng 2.2a — Cấu trúc phân tầng của khung lý thuyết tích hợp (tham chiếu chéo Chương 2 §2.5.4 luận án).</w:t>
      </w:r>
    </w:p>
    <w:bookmarkEnd w:id="25"/>
    <w:bookmarkStart w:id="26" w:name="danh-mục-hình"/>
    <w:p>
      <w:pPr>
        <w:pStyle w:val="Heading3"/>
      </w:pPr>
      <w:r>
        <w:t xml:space="preserve">DANH MỤC HÌNH</w:t>
      </w:r>
    </w:p>
    <w:p>
      <w:pPr>
        <w:pStyle w:val="FirstParagraph"/>
      </w:pPr>
      <w:r>
        <w:t xml:space="preserve">Hình 2.1 — Mô hình khái niệm thống nhất CIMT–ICRV–CDCM (tham chiếu chéo</w:t>
      </w:r>
      <w:r>
        <w:t xml:space="preserve"> </w:t>
      </w:r>
      <w:r>
        <w:rPr>
          <w:rStyle w:val="VerbatimChar"/>
        </w:rPr>
        <w:t xml:space="preserve">thesis/figures/figure_conceptual_model_cimt_layered.png</w:t>
      </w:r>
      <w:r>
        <w:t xml:space="preserve">).</w:t>
      </w:r>
    </w:p>
    <w:bookmarkEnd w:id="26"/>
    <w:bookmarkStart w:id="27" w:name="danh-mục-từ-viết-tắt"/>
    <w:p>
      <w:pPr>
        <w:pStyle w:val="Heading3"/>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CIMT</w:t>
            </w:r>
          </w:p>
        </w:tc>
        <w:tc>
          <w:tcPr/>
          <w:p>
            <w:pPr>
              <w:pStyle w:val="Compact"/>
              <w:jc w:val="left"/>
            </w:pPr>
            <w:r>
              <w:t xml:space="preserve">Capability–Institution Mismatch Theory</w:t>
            </w:r>
          </w:p>
        </w:tc>
        <w:tc>
          <w:tcPr/>
          <w:p>
            <w:pPr>
              <w:pStyle w:val="Compact"/>
              <w:jc w:val="left"/>
            </w:pPr>
            <w:r>
              <w:t xml:space="preserve">Lý thuyết Bất tương thích Năng lực–Thể chế</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Bối cảnh Thể chế</w:t>
            </w:r>
          </w:p>
        </w:tc>
      </w:tr>
      <w:tr>
        <w:tc>
          <w:tcPr/>
          <w:p>
            <w:pPr>
              <w:pStyle w:val="Compact"/>
              <w:jc w:val="left"/>
            </w:pPr>
            <w:r>
              <w:t xml:space="preserve">CDCM</w:t>
            </w:r>
          </w:p>
        </w:tc>
        <w:tc>
          <w:tcPr/>
          <w:p>
            <w:pPr>
              <w:pStyle w:val="Compact"/>
              <w:jc w:val="left"/>
            </w:pPr>
            <w:r>
              <w:t xml:space="preserve">Context-Contingent Digital Capability Model</w:t>
            </w:r>
          </w:p>
        </w:tc>
        <w:tc>
          <w:tcPr/>
          <w:p>
            <w:pPr>
              <w:pStyle w:val="Compact"/>
              <w:jc w:val="left"/>
            </w:pPr>
            <w:r>
              <w:t xml:space="preserve">Mô hình Năng lực số Phụ thuộc Bối cảnh</w:t>
            </w:r>
          </w:p>
        </w:tc>
      </w:tr>
      <w:tr>
        <w:tc>
          <w:tcPr/>
          <w:p>
            <w:pPr>
              <w:pStyle w:val="Compact"/>
              <w:jc w:val="left"/>
            </w:pPr>
            <w:r>
              <w:t xml:space="preserve">FP</w:t>
            </w:r>
          </w:p>
        </w:tc>
        <w:tc>
          <w:tcPr/>
          <w:p>
            <w:pPr>
              <w:pStyle w:val="Compact"/>
              <w:jc w:val="left"/>
            </w:pPr>
            <w:r>
              <w:t xml:space="preserve">Firm Performance</w:t>
            </w:r>
          </w:p>
        </w:tc>
        <w:tc>
          <w:tcPr/>
          <w:p>
            <w:pPr>
              <w:pStyle w:val="Compact"/>
              <w:jc w:val="left"/>
            </w:pPr>
            <w:r>
              <w:t xml:space="preserve">Hiệu quả hoạt động kinh doanh</w:t>
            </w:r>
          </w:p>
        </w:tc>
      </w:tr>
      <w:tr>
        <w:tc>
          <w:tcPr/>
          <w:p>
            <w:pPr>
              <w:pStyle w:val="Compact"/>
              <w:jc w:val="left"/>
            </w:pPr>
            <w:r>
              <w:t xml:space="preserve">FSTS</w:t>
            </w:r>
          </w:p>
        </w:tc>
        <w:tc>
          <w:tcPr/>
          <w:p>
            <w:pPr>
              <w:pStyle w:val="Compact"/>
              <w:jc w:val="left"/>
            </w:pPr>
            <w:r>
              <w:t xml:space="preserve">Foreign Sales to Total Sales</w:t>
            </w:r>
          </w:p>
        </w:tc>
        <w:tc>
          <w:tcPr/>
          <w:p>
            <w:pPr>
              <w:pStyle w:val="Compact"/>
              <w:jc w:val="left"/>
            </w:pPr>
            <w:r>
              <w:t xml:space="preserve">Tỷ lệ doanh thu nước ngoài trên tổng doanh thu</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chấp nhận số</w:t>
            </w:r>
          </w:p>
        </w:tc>
      </w:tr>
      <w:tr>
        <w:tc>
          <w:tcPr/>
          <w:p>
            <w:pPr>
              <w:pStyle w:val="Compact"/>
              <w:jc w:val="left"/>
            </w:pPr>
            <w:r>
              <w:t xml:space="preserve">LoF</w:t>
            </w:r>
          </w:p>
        </w:tc>
        <w:tc>
          <w:tcPr/>
          <w:p>
            <w:pPr>
              <w:pStyle w:val="Compact"/>
              <w:jc w:val="left"/>
            </w:pPr>
            <w:r>
              <w:t xml:space="preserve">Liability of Foreignness</w:t>
            </w:r>
          </w:p>
        </w:tc>
        <w:tc>
          <w:tcPr/>
          <w:p>
            <w:pPr>
              <w:pStyle w:val="Compact"/>
              <w:jc w:val="left"/>
            </w:pPr>
            <w:r>
              <w:t xml:space="preserve">Gánh nặng người nước ngoài</w:t>
            </w:r>
          </w:p>
        </w:tc>
      </w:tr>
      <w:tr>
        <w:tc>
          <w:tcPr/>
          <w:p>
            <w:pPr>
              <w:pStyle w:val="Compact"/>
              <w:jc w:val="left"/>
            </w:pPr>
            <w:r>
              <w:t xml:space="preserve">FIP</w:t>
            </w:r>
          </w:p>
        </w:tc>
        <w:tc>
          <w:tcPr/>
          <w:p>
            <w:pPr>
              <w:pStyle w:val="Compact"/>
              <w:jc w:val="left"/>
            </w:pPr>
            <w:r>
              <w:t xml:space="preserve">Forced Internationalization Penalty</w:t>
            </w:r>
          </w:p>
        </w:tc>
        <w:tc>
          <w:tcPr/>
          <w:p>
            <w:pPr>
              <w:pStyle w:val="Compact"/>
              <w:jc w:val="left"/>
            </w:pPr>
            <w:r>
              <w:t xml:space="preserve">Gánh nặng quốc tế hóa bắt buộc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IB</w:t>
            </w:r>
          </w:p>
        </w:tc>
        <w:tc>
          <w:tcPr/>
          <w:p>
            <w:pPr>
              <w:pStyle w:val="Compact"/>
              <w:jc w:val="left"/>
            </w:pPr>
            <w:r>
              <w:t xml:space="preserve">International Business</w:t>
            </w:r>
          </w:p>
        </w:tc>
        <w:tc>
          <w:tcPr/>
          <w:p>
            <w:pPr>
              <w:pStyle w:val="Compact"/>
              <w:jc w:val="left"/>
            </w:pPr>
            <w:r>
              <w:t xml:space="preserve">Kinh doanh quốc tế</w:t>
            </w:r>
          </w:p>
        </w:tc>
      </w:tr>
    </w:tbl>
    <w:p>
      <w:r>
        <w:pict>
          <v:rect style="width:0;height:1.5pt" o:hralign="center" o:hrstd="t" o:hr="t"/>
        </w:pict>
      </w:r>
    </w:p>
    <w:bookmarkEnd w:id="27"/>
    <w:bookmarkEnd w:id="28"/>
    <w:bookmarkStart w:id="59" w:name="phần-2-nội-dung-chuyên-đề"/>
    <w:p>
      <w:pPr>
        <w:pStyle w:val="Heading2"/>
      </w:pPr>
      <w:r>
        <w:t xml:space="preserve">PHẦN 2 — NỘI DUNG CHUYÊN ĐỀ</w:t>
      </w:r>
    </w:p>
    <w:p>
      <w:pPr>
        <w:pStyle w:val="FirstParagraph"/>
      </w:pPr>
      <w:r>
        <w:t xml:space="preserve">File này trình bày khung lý thuyết tích hợp đa tầng của luận án và phát triển hệ giả thuyết H1–H6, kèm trích dẫn theo chuẩn APA 7th cho từng lập luận khoa học.</w:t>
      </w:r>
    </w:p>
    <w:bookmarkStart w:id="34" w:name="đặt-vấn-đề"/>
    <w:p>
      <w:pPr>
        <w:pStyle w:val="Heading3"/>
      </w:pPr>
      <w:r>
        <w:t xml:space="preserve">2.1 Đặt vấn đề</w:t>
      </w:r>
    </w:p>
    <w:bookmarkStart w:id="29" w:name="giới-thiệu"/>
    <w:p>
      <w:pPr>
        <w:pStyle w:val="Heading4"/>
      </w:pPr>
      <w:r>
        <w:t xml:space="preserve">2.1.1 Giới thiệu</w:t>
      </w:r>
    </w:p>
    <w:p>
      <w:pPr>
        <w:pStyle w:val="FirstParagraph"/>
      </w:pPr>
      <w:r>
        <w:t xml:space="preserve">Tài liệu nghiên cứu về quan hệ giữa quốc tế hóa và hiệu quả hoạt động của doanh nghiệp đã trải qua nhiều thập kỷ nhưng vẫn chưa đạt được đồng thuận, dù ở phương diện lý thuyết hay thực nghiệm. Các phân tích tổng hợp (meta-analysis) cho thấy tác động chung là dương nhưng nhỏ, trong khi mức dị biệt (heterogeneity) lại rất cao. Điều này hàm ý rằng quan hệ nói trên khó có thể được giải thích đầy đủ bằng một lý thuyết đơn lẻ (Bausch &amp; Krist, 2007; Kirca ctv., 2012; Marano ctv., 2016; Wu ctv., 2022). Xuất phát từ đó, luận án này tiếp cận vấn đề bằng một</w:t>
      </w:r>
      <w:r>
        <w:t xml:space="preserve"> </w:t>
      </w:r>
      <w:r>
        <w:rPr>
          <w:bCs/>
          <w:b/>
        </w:rPr>
        <w:t xml:space="preserve">khung giải thích tích hợp đa tầng</w:t>
      </w:r>
      <w:r>
        <w:t xml:space="preserve">: bốn lý thuyết kinh điển của kinh doanh quốc tế được kết hợp với một lớp mở rộng về năng lực số nhằm phản ánh quá trình chuyển đổi số và bối cảnh trí tuệ nhân tạo đương đại.</w:t>
      </w:r>
    </w:p>
    <w:p>
      <w:pPr>
        <w:pStyle w:val="BodyText"/>
      </w:pPr>
      <w:r>
        <w:t xml:space="preserve">Khung này được vận hành hóa trong luận án dưới dạng một</w:t>
      </w:r>
      <w:r>
        <w:t xml:space="preserve"> </w:t>
      </w:r>
      <w:r>
        <w:rPr>
          <w:bCs/>
          <w:b/>
        </w:rPr>
        <w:t xml:space="preserve">cấu trúc phân tầng ba lớp CIMT–ICRV–CDCM</w:t>
      </w:r>
      <w:r>
        <w:t xml:space="preserve"> </w:t>
      </w:r>
      <w:r>
        <w:t xml:space="preserve">(chi tiết tại Chương 2 §2.5.1–2.5.4): (i)</w:t>
      </w:r>
      <w:r>
        <w:t xml:space="preserve"> </w:t>
      </w:r>
      <w:r>
        <w:rPr>
          <w:bCs/>
          <w:b/>
        </w:rPr>
        <w:t xml:space="preserve">CIMT (Capability–Institution Mismatch Theory)</w:t>
      </w:r>
      <w:r>
        <w:t xml:space="preserve"> </w:t>
      </w:r>
      <w:r>
        <w:t xml:space="preserve">là cơ chế lý thuyết bao trùm tầm trung (Merton, 1968; Whetten, 1989; Corley &amp; Gioia, 2011), tích hợp ba kênh đã được khẳng định trong văn liệu (rent protection [Kogut &amp; Zander, 1993]; liability-of-foreignness attenuation [Peng ctv., 2008; Zaheer, 1995]; institutional-void amplification [Khanna &amp; Palepu, 2010]) để giải thích vì sao hiệu quả I-P thay đổi khi năng lực doanh nghiệp lệch pha với môi trường thể chế; (ii)</w:t>
      </w:r>
      <w:r>
        <w:t xml:space="preserve"> </w:t>
      </w:r>
      <w:r>
        <w:rPr>
          <w:bCs/>
          <w:b/>
        </w:rPr>
        <w:t xml:space="preserve">ICRV</w:t>
      </w:r>
      <w:r>
        <w:t xml:space="preserve"> </w:t>
      </w:r>
      <w:r>
        <w:t xml:space="preserve">là taxonomy phân loại 45 nền kinh tế thành sáu chế độ con (sub-regime), trả lời câu hỏi</w:t>
      </w:r>
      <w:r>
        <w:t xml:space="preserve"> </w:t>
      </w:r>
      <w:r>
        <w:rPr>
          <w:iCs/>
          <w:i/>
        </w:rPr>
        <w:t xml:space="preserve">ở đâu</w:t>
      </w:r>
      <w:r>
        <w:t xml:space="preserve"> </w:t>
      </w:r>
      <w:r>
        <w:t xml:space="preserve">mismatch xảy ra mạnh hay yếu; (iii)</w:t>
      </w:r>
      <w:r>
        <w:t xml:space="preserve"> </w:t>
      </w:r>
      <w:r>
        <w:rPr>
          <w:bCs/>
          <w:b/>
        </w:rPr>
        <w:t xml:space="preserve">CDCM</w:t>
      </w:r>
      <w:r>
        <w:t xml:space="preserve"> </w:t>
      </w:r>
      <w:r>
        <w:t xml:space="preserve">là biểu hiện thực nghiệm (observable signature) ở cấp doanh nghiệp dưới điều kiện số hóa, cung cấp bằng chứng kiểm định được cho mechanism + taxonomy. Bốn lý thuyết nền trình bày dưới đây (§2) cung cấp các trực giác cốt lõi cho ba kênh CIMT, lớp mở rộng năng lực số (§3) cung cấp ngôn ngữ vận hành cho CDCM, còn mô hình khái niệm tích hợp (§4) và hệ giả thuyết H1–H6 (§5) là sự operationalisation cụ thể của khung phân tầng vào thiết kế kiểm định thực nghiệm.</w:t>
      </w:r>
    </w:p>
    <w:bookmarkEnd w:id="29"/>
    <w:bookmarkStart w:id="30" w:name="mục-tiêu-chuyên-đề"/>
    <w:p>
      <w:pPr>
        <w:pStyle w:val="Heading4"/>
      </w:pPr>
      <w:r>
        <w:t xml:space="preserve">2.1.2 Mục tiêu chuyên đề</w:t>
      </w:r>
    </w:p>
    <w:p>
      <w:pPr>
        <w:pStyle w:val="FirstParagraph"/>
      </w:pPr>
      <w:r>
        <w:t xml:space="preserve">Chuyên đề tiến sĩ số 2 nhằm hai mục tiêu cụ thể.</w:t>
      </w:r>
      <w:r>
        <w:t xml:space="preserve"> </w:t>
      </w:r>
      <w:r>
        <w:rPr>
          <w:iCs/>
          <w:i/>
        </w:rPr>
        <w:t xml:space="preserve">Mục tiêu thứ nhất</w:t>
      </w:r>
      <w:r>
        <w:t xml:space="preserve"> </w:t>
      </w:r>
      <w:r>
        <w:t xml:space="preserve">là xây dựng một khung lý thuyết tích hợp đa tầng giải thích sự dị biệt cao và dai dẳng trong quan hệ giữa quốc tế hóa và hiệu quả hoạt động kinh doanh, đặc biệt trong bối cảnh các nền kinh tế châu Á. Khung lý thuyết phải đáp ứng tiêu chuẩn what / how / why / when–where–who của Whetten (1989) và tiêu chuẩn originality–utility của Corley và Gioia (2011), đồng thời định vị rõ ràng quan hệ với các lý thuyết kinh điển hiện hành (Uppsala, RBV, Lý thuyết thể chế, Lý thuyết tầng lớp lãnh đạo) thay vì cố ý tạo ra lý thuyết kinh điển mới.</w:t>
      </w:r>
      <w:r>
        <w:t xml:space="preserve"> </w:t>
      </w:r>
      <w:r>
        <w:rPr>
          <w:iCs/>
          <w:i/>
        </w:rPr>
        <w:t xml:space="preserve">Mục tiêu thứ hai</w:t>
      </w:r>
      <w:r>
        <w:t xml:space="preserve"> </w:t>
      </w:r>
      <w:r>
        <w:t xml:space="preserve">là phát triển hệ giả thuyết H1–H6 cùng điều kiện biên H1b, ánh xạ rõ ràng vào ba thiết kế kiểm định bổ sung cho nhau (phân tích tổng hợp ba tầng, phân tích đa quốc gia 45 nền kinh tế, bốn nghiên cứu đơn quốc gia) để bảo đảm hệ giả thuyết có thể kiểm chứng được trên dữ liệu vi mô của Khảo sát Doanh nghiệp của Ngân hàng Thế giới (WBES).</w:t>
      </w:r>
    </w:p>
    <w:bookmarkEnd w:id="30"/>
    <w:bookmarkStart w:id="31" w:name="nội-dung-chuyên-đề"/>
    <w:p>
      <w:pPr>
        <w:pStyle w:val="Heading4"/>
      </w:pPr>
      <w:r>
        <w:t xml:space="preserve">2.1.3 Nội dung chuyên đề</w:t>
      </w:r>
    </w:p>
    <w:p>
      <w:pPr>
        <w:pStyle w:val="FirstParagraph"/>
      </w:pPr>
      <w:r>
        <w:t xml:space="preserve">Chuyên đề trình bày bốn nội dung chính theo cấu trúc Phần 2 của Hướng dẫn QĐ 1799/QĐ-ĐHCT.</w:t>
      </w:r>
      <w:r>
        <w:t xml:space="preserve"> </w:t>
      </w:r>
      <w:r>
        <w:rPr>
          <w:iCs/>
          <w:i/>
        </w:rPr>
        <w:t xml:space="preserve">Đặt vấn đề</w:t>
      </w:r>
      <w:r>
        <w:t xml:space="preserve"> </w:t>
      </w:r>
      <w:r>
        <w:t xml:space="preserve">(Mục 2.1) định vị khoảng trống lý thuyết mà chuyên đề lấp vào và phạm vi áp dụng.</w:t>
      </w:r>
      <w:r>
        <w:t xml:space="preserve"> </w:t>
      </w:r>
      <w:r>
        <w:rPr>
          <w:iCs/>
          <w:i/>
        </w:rPr>
        <w:t xml:space="preserve">Phương pháp nghiên cứu</w:t>
      </w:r>
      <w:r>
        <w:t xml:space="preserve"> </w:t>
      </w:r>
      <w:r>
        <w:t xml:space="preserve">(Mục 2.2) trình bày cách tích hợp bốn lý thuyết nền và lăng kính số thành khung phân tầng CIMT–ICRV–CDCM, cùng cách ánh xạ giả thuyết sang phương pháp kiểm định.</w:t>
      </w:r>
      <w:r>
        <w:t xml:space="preserve"> </w:t>
      </w:r>
      <w:r>
        <w:rPr>
          <w:iCs/>
          <w:i/>
        </w:rPr>
        <w:t xml:space="preserve">Kết quả và thảo luận</w:t>
      </w:r>
      <w:r>
        <w:t xml:space="preserve"> </w:t>
      </w:r>
      <w:r>
        <w:t xml:space="preserve">(Mục 2.3) trình bày mô hình khái niệm tích hợp, hệ giả thuyết H1–H6, và thảo luận tính nhất quán với văn liệu IB đương đại.</w:t>
      </w:r>
      <w:r>
        <w:t xml:space="preserve"> </w:t>
      </w:r>
      <w:r>
        <w:rPr>
          <w:iCs/>
          <w:i/>
        </w:rPr>
        <w:t xml:space="preserve">Kết luận và đề xuất</w:t>
      </w:r>
      <w:r>
        <w:t xml:space="preserve"> </w:t>
      </w:r>
      <w:r>
        <w:t xml:space="preserve">(Mục 2.4) tổng kết đóng góp lý thuyết, hàm ý cho luận án, hạn chế và hướng nghiên cứu tiếp theo.</w:t>
      </w:r>
    </w:p>
    <w:bookmarkEnd w:id="31"/>
    <w:bookmarkStart w:id="32" w:name="giới-hạn-nghiên-cứu"/>
    <w:p>
      <w:pPr>
        <w:pStyle w:val="Heading4"/>
      </w:pPr>
      <w:r>
        <w:t xml:space="preserve">2.1.4 Giới hạn nghiên cứu</w:t>
      </w:r>
    </w:p>
    <w:p>
      <w:pPr>
        <w:pStyle w:val="FirstParagraph"/>
      </w:pPr>
      <w:r>
        <w:t xml:space="preserve">Chuyên đề có ba giới hạn rõ ràng.</w:t>
      </w:r>
      <w:r>
        <w:t xml:space="preserve"> </w:t>
      </w:r>
      <w:r>
        <w:rPr>
          <w:iCs/>
          <w:i/>
        </w:rPr>
        <w:t xml:space="preserve">Giới hạn thứ nhất về phạm vi lý thuyết</w:t>
      </w:r>
      <w:r>
        <w:t xml:space="preserve">: khung CIMT được phát triển làm khung tích hợp tầm trung (middle-range integrative framework) chứ không tuyên bố thay thế các lý thuyết kinh điển; do đó chuyên đề không bao trùm toàn bộ tài liệu lý thuyết về quốc tế hóa, mà tập trung vào bốn lý thuyết kinh điển có liên quan trực tiếp đến quan hệ I-P.</w:t>
      </w:r>
      <w:r>
        <w:t xml:space="preserve"> </w:t>
      </w:r>
      <w:r>
        <w:rPr>
          <w:iCs/>
          <w:i/>
        </w:rPr>
        <w:t xml:space="preserve">Giới hạn thứ hai về phạm vi địa lý</w:t>
      </w:r>
      <w:r>
        <w:t xml:space="preserve">: khung được phát triển cho các nền kinh tế châu Á theo Quyết định 4769/QĐ-ĐHCT (15/10/2024), với mẫu hồi quy chính của Nghiên cứu 7 gồm 45 nền kinh tế và mẫu mô tả 47 nền kinh tế; tính tổng quát hóa ra ngoài khu vực châu Á – Thái Bình Dương cần kiểm chứng riêng.</w:t>
      </w:r>
      <w:r>
        <w:t xml:space="preserve"> </w:t>
      </w:r>
      <w:r>
        <w:rPr>
          <w:iCs/>
          <w:i/>
        </w:rPr>
        <w:t xml:space="preserve">Giới hạn thứ ba về phạm vi phương pháp</w:t>
      </w:r>
      <w:r>
        <w:t xml:space="preserve">: chuyên đề chỉ phát triển hệ giả thuyết và ánh xạ phương pháp; kiểm định thực nghiệm chi tiết thuộc phạm vi của các bài báo thành phần trong luận án (P3–P9’).</w:t>
      </w:r>
    </w:p>
    <w:bookmarkEnd w:id="32"/>
    <w:bookmarkStart w:id="33" w:name="ý-nghĩa-khoa-học-và-thực-tiễn"/>
    <w:p>
      <w:pPr>
        <w:pStyle w:val="Heading4"/>
      </w:pPr>
      <w:r>
        <w:t xml:space="preserve">2.1.5 Ý nghĩa khoa học và thực tiễn</w:t>
      </w:r>
    </w:p>
    <w:p>
      <w:pPr>
        <w:pStyle w:val="FirstParagraph"/>
      </w:pPr>
      <w:r>
        <w:rPr>
          <w:iCs/>
          <w:i/>
        </w:rPr>
        <w:t xml:space="preserve">Về mặt khoa học</w:t>
      </w:r>
      <w:r>
        <w:t xml:space="preserve">, chuyên đề đề xuất một khung lý thuyết tích hợp tầm trung được phát triển cẩn thận theo các tiêu chuẩn đóng góp lý thuyết được công nhận trong văn liệu quản trị (Whetten, 1989; Corley &amp; Gioia, 2011) và trên nền tảng middle-range theorizing của Merton (1968). Khung CIMT–ICRV–CDCM tích hợp bốn lý thuyết nền kinh điển và lăng kính số thành một kiến trúc ba lớp có quan hệ phân tầng rõ ràng, giải quyết được vấn đề</w:t>
      </w:r>
      <w:r>
        <w:t xml:space="preserve"> </w:t>
      </w:r>
      <w:r>
        <w:t xml:space="preserve">“</w:t>
      </w:r>
      <w:r>
        <w:t xml:space="preserve">framework đẻ thêm theo từng paper</w:t>
      </w:r>
      <w:r>
        <w:t xml:space="preserve">”</w:t>
      </w:r>
      <w:r>
        <w:t xml:space="preserve"> </w:t>
      </w:r>
      <w:r>
        <w:t xml:space="preserve">mà các bài phản biện đã chỉ ra trong các luận án có nhiều khung khái niệm. Cách tiếp cận này tương thích với hướng cập nhật gần đây của lý thuyết nội bộ hóa do Verbeke (2026) khởi xướng.</w:t>
      </w:r>
      <w:r>
        <w:t xml:space="preserve"> </w:t>
      </w:r>
      <w:r>
        <w:rPr>
          <w:iCs/>
          <w:i/>
        </w:rPr>
        <w:t xml:space="preserve">Về mặt thực tiễn</w:t>
      </w:r>
      <w:r>
        <w:t xml:space="preserve">, khung và hệ giả thuyết H1–H6 cung cấp công cụ chẩn đoán có thể được áp dụng cho doanh nghiệp và nhà hoạch định chính sách ở các nền kinh tế châu Á có cấu hình thể chế và năng lực số khác nhau, giúp đối chiếu vị trí thực tế của doanh nghiệp trên đường cong I-P với điểm tối ưu được dự đoán theo regime ICRV.</w:t>
      </w:r>
    </w:p>
    <w:bookmarkEnd w:id="33"/>
    <w:bookmarkEnd w:id="34"/>
    <w:bookmarkStart w:id="43" w:name="phương-pháp-nghiên-cứu"/>
    <w:p>
      <w:pPr>
        <w:pStyle w:val="Heading3"/>
      </w:pPr>
      <w:r>
        <w:t xml:space="preserve">2.2 Phương pháp nghiên cứu</w:t>
      </w:r>
    </w:p>
    <w:bookmarkStart w:id="39" w:name="bốn-lý-thuyết-nền-của-khung-tích-hợp"/>
    <w:p>
      <w:pPr>
        <w:pStyle w:val="Heading4"/>
      </w:pPr>
      <w:r>
        <w:t xml:space="preserve">2.2.1 Bốn lý thuyết nền của khung tích hợp</w:t>
      </w:r>
    </w:p>
    <w:bookmarkStart w:id="35" w:name="X62b4a12f64d6263730c46bc96b3bb70ffe86f69"/>
    <w:p>
      <w:pPr>
        <w:pStyle w:val="Heading5"/>
      </w:pPr>
      <w:r>
        <w:t xml:space="preserve">2.2.1.1 Mô hình Uppsala (Uppsala Internationalization Model)</w:t>
      </w:r>
    </w:p>
    <w:p>
      <w:pPr>
        <w:pStyle w:val="FirstParagraph"/>
      </w:pPr>
      <w:r>
        <w:t xml:space="preserve">Mô hình Uppsala (Johanson &amp; Vahlne, 1977, 2009) giải thích quốc tế hóa như một quá trình tích lũy tri thức và cam kết tăng dần, trong đó doanh nghiệp phải đối mặt với bất lợi do là người ngoại quốc (liability of foreignness) và bất lợi do đứng ngoài mạng lưới (liability of outsidership) khi thâm nhập thị trường nước ngoài (Johanson &amp; Vahlne, 2009; Zaheer, 1995). Mô hình này đặt nền cho lập luận về chi phí thâm nhập ban đầu, đồng thời gợi mở lý do vì sao quan hệ giữa quốc tế hóa và hiệu quả hoạt động có thể mang tính phi tuyến, với một giai đoạn chi phí cao trước khi lợi ích trở nên rõ rệt (Lu &amp; Beamish, 2004; Contractor ctv., 2003).</w:t>
      </w:r>
    </w:p>
    <w:p>
      <w:pPr>
        <w:pStyle w:val="BodyText"/>
      </w:pPr>
      <w:r>
        <w:t xml:space="preserve">Quá trình hoàn thiện mô hình Uppsala không dừng lại ở phiên bản 2009. Trong giai đoạn 2017–2020, ba bản cập nhật quan trọng đã định hình lại hướng phát triển của mô hình. Vahlne và Johanson (2017), trong bản tổng kết</w:t>
      </w:r>
      <w:r>
        <w:t xml:space="preserve"> </w:t>
      </w:r>
      <w:r>
        <w:rPr>
          <w:iCs/>
          <w:i/>
        </w:rPr>
        <w:t xml:space="preserve">“</w:t>
      </w:r>
      <w:r>
        <w:rPr>
          <w:iCs/>
          <w:i/>
        </w:rPr>
        <w:t xml:space="preserve">Mô hình Uppsala ở tuổi bốn mươi</w:t>
      </w:r>
      <w:r>
        <w:rPr>
          <w:iCs/>
          <w:i/>
        </w:rPr>
        <w:t xml:space="preserve">”</w:t>
      </w:r>
      <w:r>
        <w:t xml:space="preserve"> </w:t>
      </w:r>
      <w:r>
        <w:t xml:space="preserve">(JIBS), tái định hình mô hình theo hướng tiến hóa của doanh nghiệp đa quốc gia gắn liền với năng lực động (dynamic capabilities), khẳng định rằng quốc tế hóa không phải là điểm đến mà là một dạng tiến hóa liên tục của tổ chức. Coviello, Kano và Liesch (2017), trong bài</w:t>
      </w:r>
      <w:r>
        <w:t xml:space="preserve"> </w:t>
      </w:r>
      <w:r>
        <w:rPr>
          <w:iCs/>
          <w:i/>
        </w:rPr>
        <w:t xml:space="preserve">“</w:t>
      </w:r>
      <w:r>
        <w:rPr>
          <w:iCs/>
          <w:i/>
        </w:rPr>
        <w:t xml:space="preserve">Adapting the Uppsala model to a modern world: Macro-context and microfoundations</w:t>
      </w:r>
      <w:r>
        <w:rPr>
          <w:iCs/>
          <w:i/>
        </w:rPr>
        <w:t xml:space="preserve">”</w:t>
      </w:r>
      <w:r>
        <w:t xml:space="preserve"> </w:t>
      </w:r>
      <w:r>
        <w:t xml:space="preserve">(JIBS), điều chỉnh mô hình cho bối cảnh đương đại bằng cách kết nối tầng vĩ mô (bối cảnh thể chế và công nghệ) với các nền tảng vi mô (đặc điểm doanh nghiệp và quyết định cá nhân), thừa nhận hiện tượng quốc tế hóa nhanh và quốc tế hóa nền tảng số không vi phạm mà mở rộng phạm vi áp dụng của mô hình. Vahlne (2020), trong bài</w:t>
      </w:r>
      <w:r>
        <w:t xml:space="preserve"> </w:t>
      </w:r>
      <w:r>
        <w:rPr>
          <w:iCs/>
          <w:i/>
        </w:rPr>
        <w:t xml:space="preserve">“</w:t>
      </w:r>
      <w:r>
        <w:rPr>
          <w:iCs/>
          <w:i/>
        </w:rPr>
        <w:t xml:space="preserve">Development of the Uppsala model of internationalization process: From internationalization to evolution</w:t>
      </w:r>
      <w:r>
        <w:rPr>
          <w:iCs/>
          <w:i/>
        </w:rPr>
        <w:t xml:space="preserve">”</w:t>
      </w:r>
      <w:r>
        <w:t xml:space="preserve"> </w:t>
      </w:r>
      <w:r>
        <w:t xml:space="preserve">(Global Strategy Journal), tiếp tục phát triển hướng đi từ quốc tế hóa sang tiến hóa, đề xuất rằng mô hình Uppsala hiện đại nên được hiểu như khung phân tích tiến hóa năng lực doanh nghiệp đa quốc gia chứ không phải mô hình ra quyết định thâm nhập. Những bản cập nhật giai đoạn 2017–2020 này cho thấy Uppsala là một khung lý thuyết</w:t>
      </w:r>
      <w:r>
        <w:t xml:space="preserve"> </w:t>
      </w:r>
      <w:r>
        <w:rPr>
          <w:iCs/>
          <w:i/>
        </w:rPr>
        <w:t xml:space="preserve">đang tiến hóa</w:t>
      </w:r>
      <w:r>
        <w:t xml:space="preserve"> </w:t>
      </w:r>
      <w:r>
        <w:t xml:space="preserve">chứ không cố định ở năm 2009, và chính chúng tạo điểm tựa lý luận cho việc luận án mở rộng cơ chế học hỏi sang môi trường số.</w:t>
      </w:r>
    </w:p>
    <w:p>
      <w:pPr>
        <w:pStyle w:val="BodyText"/>
      </w:pPr>
      <w:r>
        <w:t xml:space="preserve">Mô hình Uppsala cổ điển lại được xây dựng trong bối cảnh tiền số, nên những năm gần đây đã chịu nhiều thách thức khi các doanh nghiệp sinh ra toàn cầu (born-global firms; Knight &amp; Cavusgil, 2004) và doanh nghiệp nền tảng (platform firms) quốc tế hóa nhanh, sớm và không theo trình tự tuần tự truyền thống (Stallkamp &amp; Schotter, 2021; Yang ctv., 2025). Luận án này không bác bỏ Uppsala mà</w:t>
      </w:r>
      <w:r>
        <w:t xml:space="preserve"> </w:t>
      </w:r>
      <w:r>
        <w:rPr>
          <w:bCs/>
          <w:b/>
        </w:rPr>
        <w:t xml:space="preserve">tái định vị</w:t>
      </w:r>
      <w:r>
        <w:t xml:space="preserve"> </w:t>
      </w:r>
      <w:r>
        <w:t xml:space="preserve">nó như một tầng nền cho chi phí học hỏi và bất định; cơ chế học hỏi cũng được mở rộng để bao hàm cả việc học hỏi được tăng cường bằng dữ liệu (data-augmented learning) trong kỷ nguyên số, một hướng phát triển nối tiếp lộ trình tiến hóa mà các tác giả Uppsala đã khởi xướng sau 2009 (Vahlne &amp; Johanson, 2017; Vahlne, 2020; Banalieva &amp; Dhanaraj, 2019; Verhoef ctv., 2021). Đáng chú ý, Verbeke (2026) đã đẩy hướng cập nhật này tiến thêm một bước với</w:t>
      </w:r>
      <w:r>
        <w:t xml:space="preserve"> </w:t>
      </w:r>
      <w:r>
        <w:rPr>
          <w:iCs/>
          <w:i/>
        </w:rPr>
        <w:t xml:space="preserve">Lý thuyết Nội bộ hóa Mới (New Internalization Theory, NIT)</w:t>
      </w:r>
      <w:r>
        <w:t xml:space="preserve">, bổ sung khái niệm</w:t>
      </w:r>
      <w:r>
        <w:t xml:space="preserve"> </w:t>
      </w:r>
      <w:r>
        <w:rPr>
          <w:iCs/>
          <w:i/>
        </w:rPr>
        <w:t xml:space="preserve">bounded reliability</w:t>
      </w:r>
      <w:r>
        <w:t xml:space="preserve"> </w:t>
      </w:r>
      <w:r>
        <w:t xml:space="preserve">và</w:t>
      </w:r>
      <w:r>
        <w:t xml:space="preserve"> </w:t>
      </w:r>
      <w:r>
        <w:rPr>
          <w:iCs/>
          <w:i/>
        </w:rPr>
        <w:t xml:space="preserve">Political License to Operate (PLO)</w:t>
      </w:r>
      <w:r>
        <w:t xml:space="preserve"> </w:t>
      </w:r>
      <w:r>
        <w:t xml:space="preserve">làm tham số cắt ngang định hình kiến trúc quản trị doanh nghiệp đa quốc gia trong môi trường thể chế phân mảnh đương đại.</w:t>
      </w:r>
    </w:p>
    <w:bookmarkEnd w:id="35"/>
    <w:bookmarkStart w:id="36" w:name="quan-điểm-dựa-trên-nguồn-lực-rbv"/>
    <w:p>
      <w:pPr>
        <w:pStyle w:val="Heading5"/>
      </w:pPr>
      <w:r>
        <w:t xml:space="preserve">2.2.1.2 Quan điểm dựa trên nguồn lực (RBV)</w:t>
      </w:r>
    </w:p>
    <w:p>
      <w:pPr>
        <w:pStyle w:val="FirstParagraph"/>
      </w:pPr>
      <w:r>
        <w:t xml:space="preserve">Lý thuyết dựa trên nguồn lực (Resource-Based View — RBV) (Wernerfelt, 1984; Barney, 1991) cho rằng khác biệt về hiệu quả hoạt động giữa các doanh nghiệp bắt nguồn từ khác biệt trong việc sở hữu và khai thác những nguồn lực có giá trị, hiếm có, khó sao chép và khó thay thế (VRIN). Đặt vào bối cảnh quốc tế hóa, RBV giải thích vì sao cùng một mức độ quan hệ với thị trường nước ngoài nhưng các doanh nghiệp lại đạt hiệu quả rất khác nhau: những doanh nghiệp sở hữu năng lực công nghệ, năng lực quản trị và năng lực học hỏi tốt hơn sẽ chuyển hóa quốc tế hóa thành hiệu quả vượt trội (Hitt ctv., 2006; Peng, 2001).</w:t>
      </w:r>
    </w:p>
    <w:p>
      <w:pPr>
        <w:pStyle w:val="BodyText"/>
      </w:pPr>
      <w:r>
        <w:t xml:space="preserve">Ở bối cảnh đương đại, RBV được mở rộng bằng năng lực động (dynamic capabilities) (Teece ctv., 1997) và nhất là năng lực số (digital capabilities), vốn cho phép doanh nghiệp tái cấu hình nguồn lực để ứng phó với bất định trong quá trình quốc tế hóa (Bhandari ctv., 2023; Verhoef ctv., 2021). Trong luận án này, RBV là cơ sở lý thuyết cho giả thuyết về vai trò của năng lực công nghệ (technological capability) và mức độ chấp nhận số (digital adoption) như hai khái niệm điều tiết khác nhau.</w:t>
      </w:r>
    </w:p>
    <w:bookmarkEnd w:id="36"/>
    <w:bookmarkStart w:id="37" w:name="lý-thuyết-thể-chế"/>
    <w:p>
      <w:pPr>
        <w:pStyle w:val="Heading5"/>
      </w:pPr>
      <w:r>
        <w:t xml:space="preserve">2.2.1.3 Lý thuyết thể chế</w:t>
      </w:r>
    </w:p>
    <w:p>
      <w:pPr>
        <w:pStyle w:val="FirstParagraph"/>
      </w:pPr>
      <w:r>
        <w:t xml:space="preserve">Lý thuyết thể chế (Institutional Theory) (North, 1990; Scott, 1995; Khanna &amp; Palepu, 2010) cho rằng thể chế tạo ra cấu trúc khuyến khích, chi phí giao dịch và mức bất định khác nhau giữa các quốc gia; do đó cả chiến lược quốc tế hóa lẫn hiệu quả của nó đều phụ thuộc vào môi trường thể chế nơi doanh nghiệp hoạt động. Ở các thị trường mới nổi,</w:t>
      </w:r>
      <w:r>
        <w:t xml:space="preserve"> </w:t>
      </w:r>
      <w:r>
        <w:rPr>
          <w:bCs/>
          <w:b/>
        </w:rPr>
        <w:t xml:space="preserve">khoảng trống thể chế</w:t>
      </w:r>
      <w:r>
        <w:t xml:space="preserve"> </w:t>
      </w:r>
      <w:r>
        <w:t xml:space="preserve">(institutional voids), tức tình trạng thiếu hụt các thể chế trung gian hỗ trợ giao dịch thị trường, làm phát sinh chi phí tăng thêm và dị biệt về hiệu quả giữa các doanh nghiệp (Khanna &amp; Palepu, 2010; Peng, 2003).</w:t>
      </w:r>
    </w:p>
    <w:p>
      <w:pPr>
        <w:pStyle w:val="BodyText"/>
      </w:pPr>
      <w:r>
        <w:t xml:space="preserve">Marano ctv. (2016) cung cấp bằng chứng tổng hợp cho thấy thể chế quốc gia gốc điều tiết quan hệ giữa quốc tế hóa và hiệu quả hoạt động, trong khi Cuervo-Cazurra ctv. (2018) chỉ ra rằng bất định ở quốc gia gốc lại hun đúc năng lực quản lý bất định cho doanh nghiệp thị trường mới nổi. Trên nền tảng này, lý thuyết thể chế là cơ sở cho giả thuyết về vai trò điều tiết của các trở ngại thể chế (institutional obstacles) và cơ chế thay thế số cho thể chế (digital shield effect). Để vận hành hóa tầng thể chế đa cấp, luận án áp dụng khung</w:t>
      </w:r>
      <w:r>
        <w:t xml:space="preserve"> </w:t>
      </w:r>
      <w:r>
        <w:rPr>
          <w:bCs/>
          <w:b/>
        </w:rPr>
        <w:t xml:space="preserve">ICRV (Institutional Context Regime Variation — Biến thiên chế độ bối cảnh thể chế)</w:t>
      </w:r>
      <w:r>
        <w:t xml:space="preserve">, phân loại 47 nền kinh tế (phạm vi mô tả) thành 6 chế độ con (sub-regime): Advanced Innovation-Driven (Singapore), Advanced Resource-Driven (GCC), Upper-middle, Emerging, Frontier, và Pacific SIDS. Mẫu hồi quy đa quốc gia chính của Nghiên cứu 7 gồm 45 nền kinh tế trong số đó (sau khi loại Oman 2003 thiếu biến cốt lõi và loại trừ xuyên lục địa Türkiye / Azerbaijan / Comoros); chi tiết tại Chương 1 §1.4.3 và Chương 3 §3.1.1. Cách phân loại này được mở rộng từ khung thể chế của Khanna và Palepu (2010) và bộ chỉ số quản trị toàn cầu WGI (Kaufmann ctv., 2011). Về mặt cơ chế, ICRV không phải một biến bối cảnh tĩnh mà là một bộ lọc chi phí giao dịch (transaction cost filter): mỗi chế độ quy định mức độ trơn tru mà giao dịch quốc tế hóa được chuyển hóa thành hiệu quả doanh nghiệp. Toàn bộ dải sáu chế độ tạo nên một bản đồ địa hình xuất khẩu chiến lược (strategic export topography), trên đó độ cong của quan hệ I-P sâu dần khi chất lượng thể chế suy giảm và được điều tiết bởi mức độ chấp nhận số, với năng lực số đóng vai trò lá chắn bù đắp cho khoảng trống thể chế.</w:t>
      </w:r>
    </w:p>
    <w:bookmarkEnd w:id="37"/>
    <w:bookmarkStart w:id="38" w:name="Xe1600bc38f52ec68581165985671a37d5bb5a65"/>
    <w:p>
      <w:pPr>
        <w:pStyle w:val="Heading5"/>
      </w:pPr>
      <w:r>
        <w:t xml:space="preserve">2.2.1.4 Lý thuyết tầng lớp lãnh đạo (Upper Echelons)</w:t>
      </w:r>
    </w:p>
    <w:p>
      <w:pPr>
        <w:pStyle w:val="FirstParagraph"/>
      </w:pPr>
      <w:r>
        <w:t xml:space="preserve">Lý thuyết tầng lớp lãnh đạo (Upper Echelons Theory) (Hambrick &amp; Mason, 1984; Hambrick, 2007) cho rằng quyết định chiến lược và kết quả của tổ chức phản ánh đặc điểm nhận thức, giá trị và kinh nghiệm của nhà quản trị cấp cao. Đặt vào quốc tế hóa, kinh nghiệm quốc tế của nhà quản trị cấp cao làm tăng khả năng nhận diện cơ hội và giảm chi phí của bất lợi do là người ngoại quốc (Hsu ctv., 2013; Sambharya, 1996); đa dạng giới ở cấp lãnh đạo cũng được chứng minh có tác động đến kết quả doanh nghiệp thông qua cơ chế nhận thức đa chiều và quản trị rủi ro tốt hơn (Post &amp; Byron, 2015).</w:t>
      </w:r>
    </w:p>
    <w:p>
      <w:pPr>
        <w:pStyle w:val="BodyText"/>
      </w:pPr>
      <w:r>
        <w:t xml:space="preserve">Trên nền tảng này, lý thuyết tầng lớp lãnh đạo cung cấp cơ sở cho khối kiểm soát quản trị nội sinh của khung: kinh nghiệm, học vấn và giới tính của nhà quản trị cấp cao được đưa vào như các biến kiểm soát quản trị nội sinh về chất lượng quản trị, không phải một tầng điều tiết trọng tâm định hình độ cong của đường quan hệ I-P. Bốn nhân tố điều tiết trọng tâm của khung đa tầng là TCI (H2), DAI (H3), chế độ thể chế ICRV (H5) và thời gian (H6); đặc điểm nhà quản trị bổ sung cho các tầng này ở vai trò kiểm soát. Để tăng tính nhận dạng riêng phần (partial identification) của tương tác Thể chế × Công nghệ, các đặc điểm nhà quản trị (kinh nghiệm, học vấn, giới tính) được đưa vào như biến kiểm soát quản trị nội sinh, không phải nhân tố điều tiết trọng tâm của đường cong I-P.</w:t>
      </w:r>
    </w:p>
    <w:bookmarkEnd w:id="38"/>
    <w:bookmarkEnd w:id="39"/>
    <w:bookmarkStart w:id="40" w:name="Xff959321e1162371d4a8680c67fef139de02694"/>
    <w:p>
      <w:pPr>
        <w:pStyle w:val="Heading4"/>
      </w:pPr>
      <w:r>
        <w:t xml:space="preserve">2.2.2 Lớp mở rộng: Lăng kính năng lực số (Digital Capability Lens)</w:t>
      </w:r>
    </w:p>
    <w:p>
      <w:pPr>
        <w:pStyle w:val="FirstParagraph"/>
      </w:pPr>
      <w:r>
        <w:t xml:space="preserve">Chủ đề chuyển đổi số và quốc tế hóa đã phát triển rất nhanh kể từ năm 2019. Banalieva và Dhanaraj (2019) đề xuất rằng lý thuyết nội bộ hóa (internalization theory) cần được cập nhật cho nền kinh tế số, bởi dữ liệu số và các tương tác dựa trên nền tảng làm giảm sự phụ thuộc vào hiện diện vật lý. Stallkamp và Schotter (2021) cho thấy doanh nghiệp nền tảng quốc tế hóa theo một logic khác hẳn so với công ty đa quốc gia truyền thống, còn Verhoef ctv. (2021) đưa ra khung khái niệm phân biệt ba giai đoạn: số hóa dữ liệu (digitization), số hóa quy trình (digitalization) và chuyển đổi số (digital transformation). Yang ctv. (2025) mở rộng hướng này bằng một tổng quan hệ thống về quốc tế hóa của doanh nghiệp số.</w:t>
      </w:r>
    </w:p>
    <w:p>
      <w:pPr>
        <w:pStyle w:val="BodyText"/>
      </w:pPr>
      <w:r>
        <w:t xml:space="preserve">Trong luận án này, lăng kính năng lực số đóng vai trò mở rộng RBV bằng cách tách bạch hai khái niệm độc lập:</w:t>
      </w:r>
    </w:p>
    <w:p>
      <w:pPr>
        <w:numPr>
          <w:ilvl w:val="0"/>
          <w:numId w:val="1001"/>
        </w:numPr>
        <w:pStyle w:val="Compact"/>
      </w:pPr>
      <w:r>
        <w:rPr>
          <w:bCs/>
          <w:b/>
        </w:rPr>
        <w:t xml:space="preserve">Năng lực công nghệ (technological capability)</w:t>
      </w:r>
      <w:r>
        <w:t xml:space="preserve">: chiều sâu của năng lực công nghệ tích hợp vào tổ chức (li-xăng công nghệ nước ngoài, hoạt động nghiên cứu và phát triển, chứng nhận chất lượng).</w:t>
      </w:r>
    </w:p>
    <w:p>
      <w:pPr>
        <w:numPr>
          <w:ilvl w:val="0"/>
          <w:numId w:val="1001"/>
        </w:numPr>
        <w:pStyle w:val="Compact"/>
      </w:pPr>
      <w:r>
        <w:rPr>
          <w:bCs/>
          <w:b/>
        </w:rPr>
        <w:t xml:space="preserve">Mức độ chấp nhận số (digital adoption)</w:t>
      </w:r>
      <w:r>
        <w:t xml:space="preserve">: mức độ áp dụng các công cụ số bề mặt (website, thư điện tử, thanh toán điện tử, bán hàng trực tuyến).</w:t>
      </w:r>
    </w:p>
    <w:p>
      <w:pPr>
        <w:pStyle w:val="FirstParagraph"/>
      </w:pPr>
      <w:r>
        <w:t xml:space="preserve">Hai khái niệm này không đồng nhất và có thể vận hành khác nhau trong quan hệ giữa quốc tế hóa và hiệu quả hoạt động (Bhandari ctv., 2023; Bustamante ctv., 2022; Chen &amp; Meng, 2022).</w:t>
      </w:r>
    </w:p>
    <w:bookmarkEnd w:id="40"/>
    <w:bookmarkStart w:id="41" w:name="khung-phân-tầng-cimticrvcdcm"/>
    <w:p>
      <w:pPr>
        <w:pStyle w:val="Heading4"/>
      </w:pPr>
      <w:r>
        <w:t xml:space="preserve">2.2.3 Khung phân tầng CIMT–ICRV–CDCM</w:t>
      </w:r>
    </w:p>
    <w:p>
      <w:pPr>
        <w:pStyle w:val="FirstParagraph"/>
      </w:pPr>
      <w:r>
        <w:t xml:space="preserve">Đặt vào khung phân tầng đã giới thiệu ở §2.1, lớp năng lực số (§3) không đứng độc lập mà cung cấp ngôn ngữ vận hành cho lớp thứ ba, tức</w:t>
      </w:r>
      <w:r>
        <w:t xml:space="preserve"> </w:t>
      </w:r>
      <w:r>
        <w:rPr>
          <w:iCs/>
          <w:i/>
        </w:rPr>
        <w:t xml:space="preserve">signature CDCM</w:t>
      </w:r>
      <w:r>
        <w:t xml:space="preserve">. CDCM trong luận án này được hiểu là</w:t>
      </w:r>
      <w:r>
        <w:t xml:space="preserve"> </w:t>
      </w:r>
      <w:r>
        <w:rPr>
          <w:iCs/>
          <w:i/>
        </w:rPr>
        <w:t xml:space="preserve">biểu hiện thực nghiệm</w:t>
      </w:r>
      <w:r>
        <w:t xml:space="preserve"> </w:t>
      </w:r>
      <w:r>
        <w:t xml:space="preserve">(observable signature) của logic mismatch CIMT trong điều kiện số hóa, đặc biệt là cơ chế</w:t>
      </w:r>
      <w:r>
        <w:t xml:space="preserve"> </w:t>
      </w:r>
      <w:r>
        <w:rPr>
          <w:iCs/>
          <w:i/>
        </w:rPr>
        <w:t xml:space="preserve">institutional-void amplification</w:t>
      </w:r>
      <w:r>
        <w:t xml:space="preserve"> </w:t>
      </w:r>
      <w:r>
        <w:t xml:space="preserve">(kênh thứ ba của CIMT). Khi thể chế yếu, năng lực số có thể đóng vai trò</w:t>
      </w:r>
      <w:r>
        <w:t xml:space="preserve"> </w:t>
      </w:r>
      <w:r>
        <w:rPr>
          <w:iCs/>
          <w:i/>
        </w:rPr>
        <w:t xml:space="preserve">nguồn lực thay thế một phần</w:t>
      </w:r>
      <w:r>
        <w:t xml:space="preserve"> </w:t>
      </w:r>
      <w:r>
        <w:t xml:space="preserve">cho hạ tầng thể chế thiếu hụt; khi thể chế mạnh, năng lực số phát huy vai trò</w:t>
      </w:r>
      <w:r>
        <w:t xml:space="preserve"> </w:t>
      </w:r>
      <w:r>
        <w:rPr>
          <w:iCs/>
          <w:i/>
        </w:rPr>
        <w:t xml:space="preserve">khuếch đại</w:t>
      </w:r>
      <w:r>
        <w:t xml:space="preserve"> </w:t>
      </w:r>
      <w:r>
        <w:t xml:space="preserve">lợi thế đã có. Hai vai trò này không phải hai mảnh lý thuyết tách rời mà là hai pha quan sát được của cùng một cơ chế mismatch, tùy theo vị trí của doanh nghiệp trên dải ICRV. Bằng chứng kinh tế lượng từ bài báo capstone đa quốc gia (P7), với tương tác</w:t>
      </w:r>
      <w:r>
        <w:t xml:space="preserve"> </w:t>
      </w:r>
      <m:oMath>
        <m:r>
          <m:rPr>
            <m:nor/>
            <m:sty m:val="p"/>
          </m:rPr>
          <m:t>DAI</m:t>
        </m:r>
        <m:r>
          <m:rPr>
            <m:sty m:val="p"/>
          </m:rPr>
          <m:t>×</m:t>
        </m:r>
        <m:r>
          <m:rPr>
            <m:nor/>
            <m:sty m:val="p"/>
          </m:rPr>
          <m:t>ICRV</m:t>
        </m:r>
      </m:oMath>
      <w:r>
        <w:t xml:space="preserve"> </w:t>
      </w:r>
      <w:r>
        <w:t xml:space="preserve">cho β = +0,052 và p = ,049 ở mô hình M11, chính là</w:t>
      </w:r>
      <w:r>
        <w:t xml:space="preserve"> </w:t>
      </w:r>
      <w:r>
        <w:rPr>
          <w:iCs/>
          <w:i/>
        </w:rPr>
        <w:t xml:space="preserve">cross-economy footprint</w:t>
      </w:r>
      <w:r>
        <w:t xml:space="preserve"> </w:t>
      </w:r>
      <w:r>
        <w:t xml:space="preserve">của cơ chế institutional-void amplification trong dữ liệu firm-level WBES, đúng signature mà CIMT dự đoán.</w:t>
      </w:r>
    </w:p>
    <w:p>
      <w:pPr>
        <w:pStyle w:val="BodyText"/>
      </w:pPr>
      <w:r>
        <w:t xml:space="preserve">Việc đặt CDCM vào vị trí</w:t>
      </w:r>
      <w:r>
        <w:t xml:space="preserve"> </w:t>
      </w:r>
      <w:r>
        <w:rPr>
          <w:iCs/>
          <w:i/>
        </w:rPr>
        <w:t xml:space="preserve">signature</w:t>
      </w:r>
      <w:r>
        <w:t xml:space="preserve"> </w:t>
      </w:r>
      <w:r>
        <w:t xml:space="preserve">(thay vì</w:t>
      </w:r>
      <w:r>
        <w:t xml:space="preserve"> </w:t>
      </w:r>
      <w:r>
        <w:rPr>
          <w:iCs/>
          <w:i/>
        </w:rPr>
        <w:t xml:space="preserve">theory ngang hàng với CIMT</w:t>
      </w:r>
      <w:r>
        <w:t xml:space="preserve">) giải đáp một câu hỏi phản biện quan trọng: nếu CIMT đã giải thích digital substitution thì tại sao còn cần CDCM như một khung riêng? Câu trả lời là CDCM không phải framework cạnh tranh, mà là</w:t>
      </w:r>
      <w:r>
        <w:t xml:space="preserve"> </w:t>
      </w:r>
      <w:r>
        <w:rPr>
          <w:iCs/>
          <w:i/>
        </w:rPr>
        <w:t xml:space="preserve">lớp operationalisation</w:t>
      </w:r>
      <w:r>
        <w:t xml:space="preserve"> </w:t>
      </w:r>
      <w:r>
        <w:t xml:space="preserve">của một phần cơ chế CIMT ở cấp doanh nghiệp với các biến số có thể đo lường được trong dữ liệu WBES (DAI Tier-1, DAI Tier-1+2, TCI). Cách định vị này đảm bảo tính nhất quán xuyên CĐ1 (nơi CDCM được phát triển từ đối chiếu Việt Nam–Singapore), CĐ2 (nơi CDCM được mở rộng thành khung kiểm định H1–H6) và Chương 2 luận án (nơi CDCM được nhúng vào kiến trúc CIMT–ICRV–CDCM ba lớp).</w:t>
      </w:r>
    </w:p>
    <w:bookmarkEnd w:id="41"/>
    <w:bookmarkStart w:id="42" w:name="X21ca6ec8329ffee330dca61e6ab2c2906689d4a"/>
    <w:p>
      <w:pPr>
        <w:pStyle w:val="Heading4"/>
      </w:pPr>
      <w:r>
        <w:t xml:space="preserve">2.2.4 Ánh xạ giả thuyết H1–H6 sang phương pháp kiểm định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Cuộc đối thoại kiểm định chính</w:t>
            </w:r>
          </w:p>
        </w:tc>
        <w:tc>
          <w:tcPr/>
          <w:p>
            <w:pPr>
              <w:pStyle w:val="Compact"/>
              <w:jc w:val="left"/>
            </w:pPr>
            <w:r>
              <w:t xml:space="preserve">Phase phân tích</w:t>
            </w:r>
          </w:p>
        </w:tc>
      </w:tr>
      <w:tr>
        <w:tc>
          <w:tcPr/>
          <w:p>
            <w:pPr>
              <w:pStyle w:val="Compact"/>
              <w:jc w:val="left"/>
            </w:pPr>
            <w:r>
              <w:t xml:space="preserve">H1</w:t>
            </w:r>
          </w:p>
        </w:tc>
        <w:tc>
          <w:tcPr/>
          <w:p>
            <w:pPr>
              <w:pStyle w:val="Compact"/>
              <w:jc w:val="left"/>
            </w:pPr>
            <w:r>
              <w:t xml:space="preserve">Mô hình quadratic với</w:t>
            </w:r>
            <w:r>
              <w:t xml:space="preserve"> </w:t>
            </w:r>
            <m:oMath>
              <m:r>
                <m:t>F</m:t>
              </m:r>
              <m:r>
                <m:t>S</m:t>
              </m:r>
              <m:r>
                <m:t>T</m:t>
              </m:r>
              <m:r>
                <m:t>S</m:t>
              </m:r>
            </m:oMath>
            <w:r>
              <w:t xml:space="preserve"> </w:t>
            </w:r>
            <w:r>
              <w:t xml:space="preserve">và</w:t>
            </w:r>
            <w:r>
              <w:t xml:space="preserve"> </w:t>
            </w:r>
            <m:oMath>
              <m:r>
                <m:t>F</m:t>
              </m:r>
              <m:r>
                <m:t>S</m:t>
              </m:r>
              <m:r>
                <m:t>T</m:t>
              </m:r>
              <m:sSup>
                <m:e>
                  <m:r>
                    <m:t>S</m:t>
                  </m:r>
                </m:e>
                <m:sup>
                  <m:r>
                    <m:t>2</m:t>
                  </m:r>
                </m:sup>
              </m:sSup>
            </m:oMath>
            <w:r>
              <w:t xml:space="preserve">; Lind–Mehlum U-test</w:t>
            </w:r>
          </w:p>
        </w:tc>
        <w:tc>
          <w:tcPr/>
          <w:p>
            <w:pPr>
              <w:pStyle w:val="Compact"/>
              <w:jc w:val="left"/>
            </w:pPr>
            <w:r>
              <w:t xml:space="preserve">Country-level và multi-country</w:t>
            </w:r>
          </w:p>
        </w:tc>
      </w:tr>
      <w:tr>
        <w:tc>
          <w:tcPr/>
          <w:p>
            <w:pPr>
              <w:pStyle w:val="Compact"/>
              <w:jc w:val="left"/>
            </w:pPr>
            <w:r>
              <w:t xml:space="preserve">H1b</w:t>
            </w:r>
          </w:p>
        </w:tc>
        <w:tc>
          <w:tcPr/>
          <w:p>
            <w:pPr>
              <w:pStyle w:val="Compact"/>
              <w:jc w:val="left"/>
            </w:pPr>
            <w:r>
              <w:t xml:space="preserve">Mô hình M1 tuyến tính tại SIDS; Lind–Mehlum U-test (NS); kiểm định vững chỉ trên nhóm xuất khẩu (exporters-only)</w:t>
            </w:r>
          </w:p>
        </w:tc>
        <w:tc>
          <w:tcPr/>
          <w:p>
            <w:pPr>
              <w:pStyle w:val="Compact"/>
              <w:jc w:val="left"/>
            </w:pPr>
            <w:r>
              <w:t xml:space="preserve">Pacific SIDS</w:t>
            </w:r>
          </w:p>
        </w:tc>
      </w:tr>
      <w:tr>
        <w:tc>
          <w:tcPr/>
          <w:p>
            <w:pPr>
              <w:pStyle w:val="Compact"/>
              <w:jc w:val="left"/>
            </w:pPr>
            <w:r>
              <w:t xml:space="preserve">H2</w:t>
            </w:r>
          </w:p>
        </w:tc>
        <w:tc>
          <w:tcPr/>
          <w:p>
            <w:pPr>
              <w:pStyle w:val="Compact"/>
              <w:jc w:val="left"/>
            </w:pPr>
            <w:r>
              <w:t xml:space="preserve">Tương tác</w:t>
            </w:r>
            <w:r>
              <w:t xml:space="preserve"> </w:t>
            </w:r>
            <m:oMath>
              <m:r>
                <m:t>F</m:t>
              </m:r>
              <m:r>
                <m:t>S</m:t>
              </m:r>
              <m:r>
                <m:t>T</m:t>
              </m:r>
              <m:r>
                <m:t>S</m:t>
              </m:r>
              <m:r>
                <m:rPr>
                  <m:sty m:val="p"/>
                </m:rPr>
                <m:t>×</m:t>
              </m:r>
              <m:r>
                <m:t>T</m:t>
              </m:r>
              <m:r>
                <m:t>C</m:t>
              </m:r>
              <m:r>
                <m:t>I</m:t>
              </m:r>
            </m:oMath>
            <w:r>
              <w:t xml:space="preserve"> </w:t>
            </w:r>
            <w:r>
              <w:t xml:space="preserve">trong hồi quy</w:t>
            </w:r>
          </w:p>
        </w:tc>
        <w:tc>
          <w:tcPr/>
          <w:p>
            <w:pPr>
              <w:pStyle w:val="Compact"/>
              <w:jc w:val="left"/>
            </w:pPr>
            <w:r>
              <w:t xml:space="preserve">Country-level và multi-country</w:t>
            </w:r>
          </w:p>
        </w:tc>
      </w:tr>
      <w:tr>
        <w:tc>
          <w:tcPr/>
          <w:p>
            <w:pPr>
              <w:pStyle w:val="Compact"/>
              <w:jc w:val="left"/>
            </w:pPr>
            <w:r>
              <w:t xml:space="preserve">H3</w:t>
            </w:r>
          </w:p>
        </w:tc>
        <w:tc>
          <w:tcPr/>
          <w:p>
            <w:pPr>
              <w:pStyle w:val="Compact"/>
              <w:jc w:val="left"/>
            </w:pPr>
            <w:r>
              <w:t xml:space="preserve">Tương tác</w:t>
            </w:r>
            <w:r>
              <w:t xml:space="preserve"> </w:t>
            </w:r>
            <m:oMath>
              <m:r>
                <m:t>F</m:t>
              </m:r>
              <m:r>
                <m:t>S</m:t>
              </m:r>
              <m:r>
                <m:t>T</m:t>
              </m:r>
              <m:r>
                <m:t>S</m:t>
              </m:r>
              <m:r>
                <m:rPr>
                  <m:sty m:val="p"/>
                </m:rPr>
                <m:t>×</m:t>
              </m:r>
              <m:r>
                <m:t>D</m:t>
              </m:r>
              <m:r>
                <m:t>A</m:t>
              </m:r>
              <m:r>
                <m:t>I</m:t>
              </m:r>
            </m:oMath>
            <w:r>
              <w:t xml:space="preserve"> </w:t>
            </w:r>
            <w:r>
              <w:t xml:space="preserve">và</w:t>
            </w:r>
            <w:r>
              <w:t xml:space="preserve"> </w:t>
            </w:r>
            <m:oMath>
              <m:r>
                <m:t>F</m:t>
              </m:r>
              <m:r>
                <m:t>S</m:t>
              </m:r>
              <m:r>
                <m:t>T</m:t>
              </m:r>
              <m:sSup>
                <m:e>
                  <m:r>
                    <m:t>S</m:t>
                  </m:r>
                </m:e>
                <m:sup>
                  <m:r>
                    <m:t>2</m:t>
                  </m:r>
                </m:sup>
              </m:sSup>
              <m:r>
                <m:rPr>
                  <m:sty m:val="p"/>
                </m:rPr>
                <m:t>×</m:t>
              </m:r>
              <m:r>
                <m:t>D</m:t>
              </m:r>
              <m:r>
                <m:t>A</m:t>
              </m:r>
              <m:r>
                <m:t>I</m:t>
              </m:r>
            </m:oMath>
          </w:p>
        </w:tc>
        <w:tc>
          <w:tcPr/>
          <w:p>
            <w:pPr>
              <w:pStyle w:val="Compact"/>
              <w:jc w:val="left"/>
            </w:pPr>
            <w:r>
              <w:t xml:space="preserve">Country-level và multi-country</w:t>
            </w:r>
          </w:p>
        </w:tc>
      </w:tr>
      <w:tr>
        <w:tc>
          <w:tcPr/>
          <w:p>
            <w:pPr>
              <w:pStyle w:val="Compact"/>
              <w:jc w:val="left"/>
            </w:pPr>
            <w:r>
              <w:t xml:space="preserve">H4 (kiểm soát quản trị nội sinh)</w:t>
            </w:r>
          </w:p>
        </w:tc>
        <w:tc>
          <w:tcPr/>
          <w:p>
            <w:pPr>
              <w:pStyle w:val="Compact"/>
              <w:jc w:val="left"/>
            </w:pPr>
            <m:oMath>
              <m:r>
                <m:t>M</m:t>
              </m:r>
              <m:r>
                <m:t>a</m:t>
              </m:r>
              <m:r>
                <m:t>n</m:t>
              </m:r>
              <m:r>
                <m:t>a</m:t>
              </m:r>
              <m:r>
                <m:t>g</m:t>
              </m:r>
              <m:r>
                <m:t>e</m:t>
              </m:r>
              <m:sSub>
                <m:e>
                  <m:r>
                    <m:t>r</m:t>
                  </m:r>
                </m:e>
                <m:sub>
                  <m:r>
                    <m:t>e</m:t>
                  </m:r>
                  <m:r>
                    <m:t>x</m:t>
                  </m:r>
                  <m:r>
                    <m:t>p</m:t>
                  </m:r>
                </m:sub>
              </m:sSub>
            </m:oMath>
            <w:r>
              <w:t xml:space="preserve">,</w:t>
            </w:r>
            <w:r>
              <w:t xml:space="preserve"> </w:t>
            </w:r>
            <m:oMath>
              <m:r>
                <m:t>M</m:t>
              </m:r>
              <m:r>
                <m:t>a</m:t>
              </m:r>
              <m:r>
                <m:t>n</m:t>
              </m:r>
              <m:r>
                <m:t>a</m:t>
              </m:r>
              <m:r>
                <m:t>g</m:t>
              </m:r>
              <m:r>
                <m:t>e</m:t>
              </m:r>
              <m:sSub>
                <m:e>
                  <m:r>
                    <m:t>r</m:t>
                  </m:r>
                </m:e>
                <m:sub>
                  <m:r>
                    <m:t>e</m:t>
                  </m:r>
                  <m:r>
                    <m:t>d</m:t>
                  </m:r>
                  <m:r>
                    <m:t>u</m:t>
                  </m:r>
                  <m:r>
                    <m:t>c</m:t>
                  </m:r>
                </m:sub>
              </m:sSub>
            </m:oMath>
            <w:r>
              <w:t xml:space="preserve">,</w:t>
            </w:r>
            <w:r>
              <w:t xml:space="preserve"> </w:t>
            </w:r>
            <m:oMath>
              <m:r>
                <m:t>M</m:t>
              </m:r>
              <m:r>
                <m:t>a</m:t>
              </m:r>
              <m:r>
                <m:t>n</m:t>
              </m:r>
              <m:r>
                <m:t>a</m:t>
              </m:r>
              <m:r>
                <m:t>g</m:t>
              </m:r>
              <m:r>
                <m:t>e</m:t>
              </m:r>
              <m:sSub>
                <m:e>
                  <m:r>
                    <m:t>r</m:t>
                  </m:r>
                </m:e>
                <m:sub>
                  <m:r>
                    <m:t>g</m:t>
                  </m:r>
                  <m:r>
                    <m:t>e</m:t>
                  </m:r>
                  <m:r>
                    <m:t>n</m:t>
                  </m:r>
                  <m:r>
                    <m:t>d</m:t>
                  </m:r>
                  <m:r>
                    <m:t>e</m:t>
                  </m:r>
                  <m:r>
                    <m:t>r</m:t>
                  </m:r>
                </m:sub>
              </m:sSub>
            </m:oMath>
            <w:r>
              <w:t xml:space="preserve"> </w:t>
            </w:r>
            <w:r>
              <w:t xml:space="preserve">đưa vào ở dạng số hạng chính (kiểm soát mức); số hạng tương tác chỉ báo cáo như chẩn đoán phụ trợ, không phải bằng chứng điều tiết trọng tâm</w:t>
            </w:r>
          </w:p>
        </w:tc>
        <w:tc>
          <w:tcPr/>
          <w:p>
            <w:pPr>
              <w:pStyle w:val="Compact"/>
              <w:jc w:val="left"/>
            </w:pPr>
            <w:r>
              <w:t xml:space="preserve">Multi-country (do dữ liệu quy mô lớn)</w:t>
            </w:r>
          </w:p>
        </w:tc>
      </w:tr>
      <w:tr>
        <w:tc>
          <w:tcPr/>
          <w:p>
            <w:pPr>
              <w:pStyle w:val="Compact"/>
              <w:jc w:val="left"/>
            </w:pPr>
            <w:r>
              <w:t xml:space="preserve">H5</w:t>
            </w:r>
          </w:p>
        </w:tc>
        <w:tc>
          <w:tcPr/>
          <w:p>
            <w:pPr>
              <w:pStyle w:val="Compact"/>
              <w:jc w:val="left"/>
            </w:pPr>
            <w:r>
              <w:t xml:space="preserve">Tương tác</w:t>
            </w:r>
            <w:r>
              <w:t xml:space="preserve"> </w:t>
            </w:r>
            <m:oMath>
              <m:r>
                <m:t>F</m:t>
              </m:r>
              <m:r>
                <m:t>S</m:t>
              </m:r>
              <m:r>
                <m:t>T</m:t>
              </m:r>
              <m:r>
                <m:t>S</m:t>
              </m:r>
              <m:r>
                <m:rPr>
                  <m:sty m:val="p"/>
                </m:rPr>
                <m:t>×</m:t>
              </m:r>
              <m:r>
                <m:t>I</m:t>
              </m:r>
              <m:r>
                <m:t>n</m:t>
              </m:r>
              <m:r>
                <m:t>s</m:t>
              </m:r>
              <m:r>
                <m:t>t</m:t>
              </m:r>
              <m:r>
                <m:t>i</m:t>
              </m:r>
              <m:r>
                <m:t>t</m:t>
              </m:r>
              <m:r>
                <m:t>u</m:t>
              </m:r>
              <m:r>
                <m:t>t</m:t>
              </m:r>
              <m:r>
                <m:t>i</m:t>
              </m:r>
              <m:r>
                <m:t>o</m:t>
              </m:r>
              <m:r>
                <m:t>n</m:t>
              </m:r>
              <m:r>
                <m:t>a</m:t>
              </m:r>
              <m:sSub>
                <m:e>
                  <m:r>
                    <m:t>l</m:t>
                  </m:r>
                </m:e>
                <m:sub>
                  <m:r>
                    <m:t>o</m:t>
                  </m:r>
                  <m:r>
                    <m:t>b</m:t>
                  </m:r>
                  <m:r>
                    <m:t>s</m:t>
                  </m:r>
                  <m:r>
                    <m:t>t</m:t>
                  </m:r>
                  <m:r>
                    <m:t>a</m:t>
                  </m:r>
                  <m:r>
                    <m:t>c</m:t>
                  </m:r>
                  <m:r>
                    <m:t>l</m:t>
                  </m:r>
                  <m:r>
                    <m:t>e</m:t>
                  </m:r>
                  <m:r>
                    <m:t>s</m:t>
                  </m:r>
                </m:sub>
              </m:sSub>
            </m:oMath>
            <w:r>
              <w:t xml:space="preserve">; subgroup theo ICRV regime (Advanced / Emerging / Frontier / SIDS)</w:t>
            </w:r>
          </w:p>
        </w:tc>
        <w:tc>
          <w:tcPr/>
          <w:p>
            <w:pPr>
              <w:pStyle w:val="Compact"/>
              <w:jc w:val="left"/>
            </w:pPr>
            <w:r>
              <w:t xml:space="preserve">Multi-country</w:t>
            </w:r>
          </w:p>
        </w:tc>
      </w:tr>
      <w:tr>
        <w:tc>
          <w:tcPr/>
          <w:p>
            <w:pPr>
              <w:pStyle w:val="Compact"/>
              <w:jc w:val="left"/>
            </w:pPr>
            <w:r>
              <w:t xml:space="preserve">H6</w:t>
            </w:r>
          </w:p>
        </w:tc>
        <w:tc>
          <w:tcPr/>
          <w:p>
            <w:pPr>
              <w:pStyle w:val="Compact"/>
              <w:jc w:val="left"/>
            </w:pPr>
            <w:r>
              <w:t xml:space="preserve">Tương tác</w:t>
            </w:r>
            <w:r>
              <w:t xml:space="preserve"> </w:t>
            </w:r>
            <m:oMath>
              <m:r>
                <m:t>F</m:t>
              </m:r>
              <m:r>
                <m:t>S</m:t>
              </m:r>
              <m:r>
                <m:t>T</m:t>
              </m:r>
              <m:r>
                <m:t>S</m:t>
              </m:r>
              <m:r>
                <m:rPr>
                  <m:sty m:val="p"/>
                </m:rPr>
                <m:t>×</m:t>
              </m:r>
              <m:r>
                <m:t>Y</m:t>
              </m:r>
              <m:r>
                <m:t>e</m:t>
              </m:r>
              <m:r>
                <m:t>a</m:t>
              </m:r>
              <m:sSub>
                <m:e>
                  <m:r>
                    <m:t>r</m:t>
                  </m:r>
                </m:e>
                <m:sub>
                  <m:r>
                    <m:t>2024</m:t>
                  </m:r>
                </m:sub>
              </m:sSub>
            </m:oMath>
            <w:r>
              <w:t xml:space="preserve"> </w:t>
            </w:r>
            <w:r>
              <w:t xml:space="preserve">và</w:t>
            </w:r>
            <w:r>
              <w:t xml:space="preserve"> </w:t>
            </w:r>
            <m:oMath>
              <m:r>
                <m:t>F</m:t>
              </m:r>
              <m:r>
                <m:t>S</m:t>
              </m:r>
              <m:r>
                <m:t>T</m:t>
              </m:r>
              <m:sSup>
                <m:e>
                  <m:r>
                    <m:t>S</m:t>
                  </m:r>
                </m:e>
                <m:sup>
                  <m:r>
                    <m:t>2</m:t>
                  </m:r>
                </m:sup>
              </m:sSup>
              <m:r>
                <m:rPr>
                  <m:sty m:val="p"/>
                </m:rPr>
                <m:t>×</m:t>
              </m:r>
              <m:r>
                <m:t>Y</m:t>
              </m:r>
              <m:r>
                <m:t>e</m:t>
              </m:r>
              <m:r>
                <m:t>a</m:t>
              </m:r>
              <m:sSub>
                <m:e>
                  <m:r>
                    <m:t>r</m:t>
                  </m:r>
                </m:e>
                <m:sub>
                  <m:r>
                    <m:t>2024</m:t>
                  </m:r>
                </m:sub>
              </m:sSub>
            </m:oMath>
          </w:p>
        </w:tc>
        <w:tc>
          <w:tcPr/>
          <w:p>
            <w:pPr>
              <w:pStyle w:val="Compact"/>
              <w:jc w:val="left"/>
            </w:pPr>
            <w:r>
              <w:t xml:space="preserve">China two-wave analysis</w:t>
            </w:r>
          </w:p>
        </w:tc>
      </w:tr>
    </w:tbl>
    <w:p>
      <w:pPr>
        <w:pStyle w:val="BodyText"/>
      </w:pPr>
      <w:r>
        <w:t xml:space="preserve">Chi tiết mô hình phân tích và kiểm định độ vững được trình bày trong file</w:t>
      </w:r>
      <w:r>
        <w:t xml:space="preserve"> </w:t>
      </w:r>
      <w:r>
        <w:rPr>
          <w:rStyle w:val="VerbatimChar"/>
        </w:rPr>
        <w:t xml:space="preserve">03_methodology_vi.md</w:t>
      </w:r>
      <w:r>
        <w:t xml:space="preserve">.</w:t>
      </w:r>
    </w:p>
    <w:bookmarkEnd w:id="42"/>
    <w:bookmarkEnd w:id="43"/>
    <w:bookmarkStart w:id="53" w:name="kết-quả-và-thảo-luận"/>
    <w:p>
      <w:pPr>
        <w:pStyle w:val="Heading3"/>
      </w:pPr>
      <w:r>
        <w:t xml:space="preserve">2.3 Kết quả và thảo luận</w:t>
      </w:r>
    </w:p>
    <w:bookmarkStart w:id="44" w:name="mô-hình-khái-niệm-tích-hợp"/>
    <w:p>
      <w:pPr>
        <w:pStyle w:val="Heading4"/>
      </w:pPr>
      <w:r>
        <w:t xml:space="preserve">2.3.1 Mô hình khái niệm tích hợp</w:t>
      </w:r>
    </w:p>
    <w:p>
      <w:pPr>
        <w:pStyle w:val="SourceCode"/>
      </w:pPr>
      <w:r>
        <w:rPr>
          <w:rStyle w:val="VerbatimChar"/>
        </w:rPr>
        <w:t xml:space="preserve">          INSTITUTIONAL CONTEXT                  TOP MANAGER</w:t>
      </w:r>
      <w:r>
        <w:br/>
      </w:r>
      <w:r>
        <w:rPr>
          <w:rStyle w:val="VerbatimChar"/>
        </w:rPr>
        <w:t xml:space="preserve">          (ICRV 6 sub-regime:                  CHARACTERISTICS</w:t>
      </w:r>
      <w:r>
        <w:br/>
      </w:r>
      <w:r>
        <w:rPr>
          <w:rStyle w:val="VerbatimChar"/>
        </w:rPr>
        <w:t xml:space="preserve">           voids, obstacles,                   (experience, gender)</w:t>
      </w:r>
      <w:r>
        <w:br/>
      </w:r>
      <w:r>
        <w:rPr>
          <w:rStyle w:val="VerbatimChar"/>
        </w:rPr>
        <w:t xml:space="preserve">           regime gradient)</w:t>
      </w:r>
      <w:r>
        <w:br/>
      </w:r>
      <w:r>
        <w:rPr>
          <w:rStyle w:val="VerbatimChar"/>
        </w:rPr>
        <w:t xml:space="preserve">                  ↓                                  ↓</w:t>
      </w:r>
      <w:r>
        <w:br/>
      </w:r>
      <w:r>
        <w:rPr>
          <w:rStyle w:val="VerbatimChar"/>
        </w:rPr>
        <w:t xml:space="preserve">                  ↓           moderates                ↓</w:t>
      </w:r>
      <w:r>
        <w:br/>
      </w:r>
      <w:r>
        <w:rPr>
          <w:rStyle w:val="VerbatimChar"/>
        </w:rPr>
        <w:t xml:space="preserve">                  ↓              ↓↓                   ↓</w:t>
      </w:r>
      <w:r>
        <w:br/>
      </w:r>
      <w:r>
        <w:rPr>
          <w:rStyle w:val="VerbatimChar"/>
        </w:rPr>
        <w:t xml:space="preserve">  INTERNATIONALIZATION  →  [FIRM CAPABILITY]  →  FIRM PERFORMANCE</w:t>
      </w:r>
      <w:r>
        <w:br/>
      </w:r>
      <w:r>
        <w:rPr>
          <w:rStyle w:val="VerbatimChar"/>
        </w:rPr>
        <w:t xml:space="preserve">  (FSTS, FSTS²)            (technological             (labor productivity,</w:t>
      </w:r>
      <w:r>
        <w:br/>
      </w:r>
      <w:r>
        <w:rPr>
          <w:rStyle w:val="VerbatimChar"/>
        </w:rPr>
        <w:t xml:space="preserve">                            capability × digital       ROS, sales growth)</w:t>
      </w:r>
      <w:r>
        <w:br/>
      </w:r>
      <w:r>
        <w:rPr>
          <w:rStyle w:val="VerbatimChar"/>
        </w:rPr>
        <w:t xml:space="preserve">                            adoption)</w:t>
      </w:r>
      <w:r>
        <w:br/>
      </w:r>
      <w:r>
        <w:rPr>
          <w:rStyle w:val="VerbatimChar"/>
        </w:rPr>
        <w:t xml:space="preserve">                                  ↑↑</w:t>
      </w:r>
      <w:r>
        <w:br/>
      </w:r>
      <w:r>
        <w:rPr>
          <w:rStyle w:val="VerbatimChar"/>
        </w:rPr>
        <w:t xml:space="preserve">                                  ↑</w:t>
      </w:r>
      <w:r>
        <w:br/>
      </w:r>
      <w:r>
        <w:rPr>
          <w:rStyle w:val="VerbatimChar"/>
        </w:rPr>
        <w:t xml:space="preserve">                       DIGITAL CAPABILITY LENS</w:t>
      </w:r>
      <w:r>
        <w:br/>
      </w:r>
      <w:r>
        <w:rPr>
          <w:rStyle w:val="VerbatimChar"/>
        </w:rPr>
        <w:t xml:space="preserve">                       (Verhoef ctv., 2021;</w:t>
      </w:r>
      <w:r>
        <w:br/>
      </w:r>
      <w:r>
        <w:rPr>
          <w:rStyle w:val="VerbatimChar"/>
        </w:rPr>
        <w:t xml:space="preserve">                        Banalieva &amp; Dhanaraj, 2019)</w:t>
      </w:r>
    </w:p>
    <w:p>
      <w:pPr>
        <w:pStyle w:val="FirstParagraph"/>
      </w:pPr>
      <w:r>
        <w:t xml:space="preserve">Khung này vận hành ở bốn tầng, gồm tầng thể chế, tầng năng lực, tầng quản trị và tầng hình dạng quan hệ, cùng với lớp mở rộng về năng lực số. Tùy mức độ dữ liệu cho phép, luận án khám phá các dạng điều tiết khác nhau: hiệu ứng chính, tương tác hai chiều và tương tác ba chiều.</w:t>
      </w:r>
    </w:p>
    <w:bookmarkEnd w:id="44"/>
    <w:bookmarkStart w:id="52" w:name="hệ-giả-thuyết-h1h6"/>
    <w:p>
      <w:pPr>
        <w:pStyle w:val="Heading4"/>
      </w:pPr>
      <w:r>
        <w:t xml:space="preserve">2.3.2 Hệ giả thuyết H1–H6</w:t>
      </w:r>
    </w:p>
    <w:bookmarkStart w:id="45" w:name="h1-quan-hệ-phi-tuyến-chữ-u-ngược"/>
    <w:p>
      <w:pPr>
        <w:pStyle w:val="Heading5"/>
      </w:pPr>
      <w:r>
        <w:t xml:space="preserve">2.3.2.1 H1 — Quan hệ phi tuyến chữ U ngược</w:t>
      </w:r>
    </w:p>
    <w:p>
      <w:pPr>
        <w:pStyle w:val="FirstParagraph"/>
      </w:pPr>
      <w:r>
        <w:rPr>
          <w:bCs/>
          <w:b/>
        </w:rPr>
        <w:t xml:space="preserve">H1</w:t>
      </w:r>
      <w:r>
        <w:t xml:space="preserve">: Quan hệ giữa mức độ quốc tế hóa và hiệu quả hoạt động của doanh nghiệp ở các quốc gia châu Á có dạng phi tuyến (chữ U ngược), với một điểm uốn tối ưu (turning point) trước khi chi phí điều phối và bất định vượt qua lợi ích từ việc mở rộng.</w:t>
      </w:r>
    </w:p>
    <w:p>
      <w:pPr>
        <w:pStyle w:val="BodyText"/>
      </w:pPr>
      <w:r>
        <w:t xml:space="preserve">Cơ sở lý thuyết: Lu và Beamish (2004) với giả thuyết đường chữ S (S-curve hypothesis); Contractor ctv. (2003) với lý thuyết ba giai đoạn; Hitt ctv. (1997) với dạng chữ U ngược ở các doanh nghiệp đa dạng hóa sản phẩm.</w:t>
      </w:r>
    </w:p>
    <w:bookmarkEnd w:id="45"/>
    <w:bookmarkStart w:id="46" w:name="h1b-điều-kiện-biên-fip-tại-pacific-sids"/>
    <w:p>
      <w:pPr>
        <w:pStyle w:val="Heading5"/>
      </w:pPr>
      <w:r>
        <w:t xml:space="preserve">2.3.2.2 H1b — Điều kiện biên FIP tại Pacific SIDS</w:t>
      </w:r>
    </w:p>
    <w:p>
      <w:pPr>
        <w:pStyle w:val="FirstParagraph"/>
      </w:pPr>
      <w:r>
        <w:rPr>
          <w:bCs/>
          <w:b/>
        </w:rPr>
        <w:t xml:space="preserve">H1b</w:t>
      </w:r>
      <w:r>
        <w:t xml:space="preserve">: Tại các nền kinh tế Pacific SIDS (ICRV Nhóm VI), quan hệ giữa mức độ quốc tế hóa và hiệu quả hoạt động doanh nghiệp là</w:t>
      </w:r>
      <w:r>
        <w:t xml:space="preserve"> </w:t>
      </w:r>
      <w:r>
        <w:rPr>
          <w:bCs/>
          <w:b/>
        </w:rPr>
        <w:t xml:space="preserve">âm đơn điệu</w:t>
      </w:r>
      <w:r>
        <w:t xml:space="preserve"> </w:t>
      </w:r>
      <w:r>
        <w:t xml:space="preserve">(không có điểm uốn trong phạm vi dữ liệu). Quan hệ này phản ánh gánh nặng quốc tế hóa bắt buộc (Forced Internationalization Penalty — FIP), xuất hiện khi ba điều kiện cấu trúc đồng thời bị vi phạm: thị trường nội địa quá nhỏ, chi phí thương mại cực cao, và thiếu hỗ trợ thể chế.</w:t>
      </w:r>
    </w:p>
    <w:p>
      <w:pPr>
        <w:pStyle w:val="BodyText"/>
      </w:pPr>
      <w:r>
        <w:t xml:space="preserve">Cơ sở lý thuyết: North (1990) với lý thuyết thể chế; Williamson (1985) với lý thuyết chi phí giao dịch; Khanna và Palepu (2010) với khoảng trống thể chế; Lall (2004) với các ràng buộc cấu trúc của SIDS. H1b chính là</w:t>
      </w:r>
      <w:r>
        <w:t xml:space="preserve"> </w:t>
      </w:r>
      <w:r>
        <w:rPr>
          <w:bCs/>
          <w:b/>
        </w:rPr>
        <w:t xml:space="preserve">điều kiện biên</w:t>
      </w:r>
      <w:r>
        <w:t xml:space="preserve"> </w:t>
      </w:r>
      <w:r>
        <w:t xml:space="preserve">của H1: H1 áp dụng khi các điều kiện cấu trúc tối thiểu được đáp ứng, còn H1b áp dụng khi những điều kiện đó cùng lúc thất bại.</w:t>
      </w:r>
    </w:p>
    <w:p>
      <w:pPr>
        <w:pStyle w:val="BodyText"/>
      </w:pPr>
      <w:r>
        <w:t xml:space="preserve">H1b không nên được đọc như một ngoại lệ thứ yếu mà như cực đối lập trong một trục lý thuyết chạy xuyên toàn bộ dải ICRV: ở một đầu là</w:t>
      </w:r>
      <w:r>
        <w:t xml:space="preserve"> </w:t>
      </w:r>
      <w:r>
        <w:rPr>
          <w:bCs/>
          <w:b/>
        </w:rPr>
        <w:t xml:space="preserve">quốc tế hóa để mở rộng quy mô</w:t>
      </w:r>
      <w:r>
        <w:t xml:space="preserve">, nơi thể chế mạnh cho phép xuất khẩu tối ưu hóa biên lợi nhuận và đường cong còn dư địa sinh lợi đến cường độ rất cao (Singapore, điểm uốn khoảng 82%); ở đầu kia là</w:t>
      </w:r>
      <w:r>
        <w:t xml:space="preserve"> </w:t>
      </w:r>
      <w:r>
        <w:rPr>
          <w:bCs/>
          <w:b/>
        </w:rPr>
        <w:t xml:space="preserve">quốc tế hóa để sinh tồn</w:t>
      </w:r>
      <w:r>
        <w:t xml:space="preserve">, nơi xuất khẩu là bắt buộc và đường cong chữ U ngược sụp đổ thành quan hệ âm đơn điệu. Đặt FIP làm cực biên này cho thấy chữ U ngược không phải một quy luật phổ quát mà là một quan hệ có điều kiện, qua đó FIP làm lộ rõ chính những tiền đề cấu trúc mà các dạng hàm còn lại ngầm giả định, và trở thành một đóng góp lý thuyết trung tâm chứ không phải một trường hợp bên lề.</w:t>
      </w:r>
    </w:p>
    <w:bookmarkEnd w:id="46"/>
    <w:bookmarkStart w:id="47" w:name="h2-điều-tiết-bởi-năng-lực-công-nghệ-tci"/>
    <w:p>
      <w:pPr>
        <w:pStyle w:val="Heading5"/>
      </w:pPr>
      <w:r>
        <w:t xml:space="preserve">2.3.2.3 H2 — Điều tiết bởi năng lực công nghệ (TCI)</w:t>
      </w:r>
    </w:p>
    <w:p>
      <w:pPr>
        <w:pStyle w:val="FirstParagraph"/>
      </w:pPr>
      <w:r>
        <w:rPr>
          <w:bCs/>
          <w:b/>
        </w:rPr>
        <w:t xml:space="preserve">H2</w:t>
      </w:r>
      <w:r>
        <w:t xml:space="preserve">: Năng lực công nghệ làm gia tăng tác động tích cực của quốc tế hóa lên hiệu quả hoạt động của doanh nghiệp, bằng cách nâng mặt bằng hiệu quả và giảm chi phí học hỏi thị trường quốc tế.</w:t>
      </w:r>
    </w:p>
    <w:p>
      <w:pPr>
        <w:pStyle w:val="BodyText"/>
      </w:pPr>
      <w:r>
        <w:t xml:space="preserve">Cơ sở lý thuyết: Barney (1991) với nguồn lực VRIN; Teece ctv. (1997) với năng lực động; Bhandari ctv. (2023) với việc dàn xếp nguồn lực (resource orchestration) trong kỷ nguyên số.</w:t>
      </w:r>
    </w:p>
    <w:bookmarkEnd w:id="47"/>
    <w:bookmarkStart w:id="48" w:name="h3-điều-tiết-bởi-mức-độ-chấp-nhận-số-dai"/>
    <w:p>
      <w:pPr>
        <w:pStyle w:val="Heading5"/>
      </w:pPr>
      <w:r>
        <w:t xml:space="preserve">2.3.2.4 H3 — Điều tiết bởi mức độ chấp nhận số (DAI)</w:t>
      </w:r>
    </w:p>
    <w:p>
      <w:pPr>
        <w:pStyle w:val="FirstParagraph"/>
      </w:pPr>
      <w:r>
        <w:rPr>
          <w:bCs/>
          <w:b/>
        </w:rPr>
        <w:t xml:space="preserve">H3</w:t>
      </w:r>
      <w:r>
        <w:t xml:space="preserve">: Mức độ chấp nhận số điều tiết quan hệ giữa quốc tế hóa và hiệu quả hoạt động, với vai trò bổ trợ rõ rệt hơn ở mức cường độ xuất khẩu cao, nhờ giảm chi phí điều phối xuyên biên giới.</w:t>
      </w:r>
    </w:p>
    <w:p>
      <w:pPr>
        <w:pStyle w:val="BodyText"/>
      </w:pPr>
      <w:r>
        <w:t xml:space="preserve">Cơ sở lý thuyết: Verhoef ctv. (2021) với khung chuyển đổi số; Stallkamp và Schotter (2021) với quốc tế hóa của doanh nghiệp nền tảng; Bustamante ctv. (2022) với vai trò của năng lực số trong quốc tế hóa của doanh nghiệp nhỏ và vừa. Điểm phân biệt với H2 nằm ở cơ chế: năng lực công nghệ chủ yếu nâng mặt bằng hiệu quả, trong khi mức độ chấp nhận số làm thay đổi độ dốc hoặc độ cong của đường quan hệ.</w:t>
      </w:r>
    </w:p>
    <w:bookmarkEnd w:id="48"/>
    <w:bookmarkStart w:id="49" w:name="X55bfdeeb33439156b221c339908c63acf16a858"/>
    <w:p>
      <w:pPr>
        <w:pStyle w:val="Heading5"/>
      </w:pPr>
      <w:r>
        <w:t xml:space="preserve">2.3.2.5 H4 — Kiểm soát quản trị nội sinh (Upper Echelons)</w:t>
      </w:r>
    </w:p>
    <w:p>
      <w:pPr>
        <w:pStyle w:val="FirstParagraph"/>
      </w:pPr>
      <w:r>
        <w:rPr>
          <w:bCs/>
          <w:b/>
        </w:rPr>
        <w:t xml:space="preserve">H4 (kiểm soát quản trị nội sinh)</w:t>
      </w:r>
      <w:r>
        <w:t xml:space="preserve">: Kinh nghiệm, học vấn và giới tính nữ của nhà quản trị cấp cao được đưa vào như nhóm biến kiểm soát quản trị nội sinh nâng mặt bằng hiệu quả doanh nghiệp, không phải nhân tố điều tiết trọng tâm định hình độ cong của đường quan hệ I-P. Việc kiểm soát các đặc điểm này, thay vì nâng chúng thành trục điều tiết, khóa chặt thiên lệch nội sinh phát sinh từ năng lực và sự đa dạng giới của nhà quản trị, qua đó tăng tính nhận dạng riêng phần (partial identification) của tương tác Thể chế × Công nghệ. Các đặc điểm này vẫn được ước lượng trong các mô hình thực nghiệm, song với tư cách biến kiểm soát; ký hiệu H4 được giữ nguyên để bảo đảm tính nhất quán giữa các phân tích quốc gia của luận án.</w:t>
      </w:r>
    </w:p>
    <w:p>
      <w:pPr>
        <w:pStyle w:val="BodyText"/>
      </w:pPr>
      <w:r>
        <w:t xml:space="preserve">Cơ sở lý thuyết: Hambrick và Mason (1984) với lý thuyết tầng lớp lãnh đạo; Hsu ctv. (2013) với đặc điểm của tổng giám đốc trong quốc tế hóa của doanh nghiệp nhỏ và vừa; Post và Byron (2015) với tỷ lệ nữ trong hội đồng quản trị và hiệu quả doanh nghiệp.</w:t>
      </w:r>
    </w:p>
    <w:bookmarkEnd w:id="49"/>
    <w:bookmarkStart w:id="50" w:name="h5-điều-tiết-bởi-bối-cảnh-thể-chế-icrv"/>
    <w:p>
      <w:pPr>
        <w:pStyle w:val="Heading5"/>
      </w:pPr>
      <w:r>
        <w:t xml:space="preserve">2.3.2.6 H5 — Điều tiết bởi bối cảnh thể chế ICRV</w:t>
      </w:r>
    </w:p>
    <w:p>
      <w:pPr>
        <w:pStyle w:val="FirstParagraph"/>
      </w:pPr>
      <w:r>
        <w:rPr>
          <w:bCs/>
          <w:b/>
        </w:rPr>
        <w:t xml:space="preserve">H5</w:t>
      </w:r>
      <w:r>
        <w:t xml:space="preserve">: Chất lượng thể chế theo khung ICRV (6 chế độ con từ Advanced Innovation-Driven đến Pacific SIDS) điều tiết tác động của các trở ngại thể chế lên hiệu quả hoạt động trong quá trình quốc tế hóa, với mức độ chấp nhận số đóng vai trò năng lực số bù đắp một phần cho khoảng trống thể chế. Cường độ điều tiết giảm dần theo dải biến thiên (gradient) ICRV, từ nhóm Frontier đến nhóm Advanced.</w:t>
      </w:r>
    </w:p>
    <w:p>
      <w:pPr>
        <w:pStyle w:val="BodyText"/>
      </w:pPr>
      <w:r>
        <w:t xml:space="preserve">Cơ sở lý thuyết: North (1990) với thể chế và hiệu quả kinh tế; Khanna và Palepu (2010) với khoảng trống thể chế; Marano ctv. (2016) với bằng chứng tổng hợp về thể chế quốc gia gốc trong quan hệ giữa quốc tế hóa và hiệu quả hoạt động.</w:t>
      </w:r>
    </w:p>
    <w:bookmarkEnd w:id="50"/>
    <w:bookmarkStart w:id="51" w:name="h6-dị-biệt-theo-thời-gian"/>
    <w:p>
      <w:pPr>
        <w:pStyle w:val="Heading5"/>
      </w:pPr>
      <w:r>
        <w:t xml:space="preserve">2.3.2.7 H6 — Dị biệt theo thời gian</w:t>
      </w:r>
    </w:p>
    <w:p>
      <w:pPr>
        <w:pStyle w:val="FirstParagraph"/>
      </w:pPr>
      <w:r>
        <w:rPr>
          <w:bCs/>
          <w:b/>
        </w:rPr>
        <w:t xml:space="preserve">H6</w:t>
      </w:r>
      <w:r>
        <w:t xml:space="preserve">: Hình dạng phi tuyến của quan hệ giữa quốc tế hóa và hiệu quả hoạt động thay đổi theo thời gian ở các nền kinh tế chuyển đổi nhanh, phản ánh sự phát triển của năng lực doanh nghiệp và điều kiện thể chế qua từng giai đoạn.</w:t>
      </w:r>
    </w:p>
    <w:p>
      <w:pPr>
        <w:pStyle w:val="BodyText"/>
      </w:pPr>
      <w:r>
        <w:t xml:space="preserve">Cơ sở lý thuyết: Wu ctv. (2022) với phân tích tổng hợp hai mươi năm về doanh nghiệp đa quốc gia thị trường mới nổi; Xiao ctv. (2013) về các yếu tố điều tiết quản trị đặc thù của Trung Quốc; Banalieva và Dhanaraj (2019) về logic nội bộ hóa đang tiến hóa trong kỷ nguyên số.</w:t>
      </w:r>
    </w:p>
    <w:bookmarkEnd w:id="51"/>
    <w:bookmarkEnd w:id="52"/>
    <w:bookmarkEnd w:id="53"/>
    <w:bookmarkStart w:id="58" w:name="kết-luận-và-đề-xuất"/>
    <w:p>
      <w:pPr>
        <w:pStyle w:val="Heading3"/>
      </w:pPr>
      <w:r>
        <w:t xml:space="preserve">2.4 Kết luận và đề xuất</w:t>
      </w:r>
    </w:p>
    <w:bookmarkStart w:id="54" w:name="kết-nối-với-tài-liệu-nghiên-cứu-quốc-tế"/>
    <w:p>
      <w:pPr>
        <w:pStyle w:val="Heading4"/>
      </w:pPr>
      <w:r>
        <w:t xml:space="preserve">2.4.1 Kết nối với tài liệu nghiên cứu quốc tế</w:t>
      </w:r>
    </w:p>
    <w:p>
      <w:pPr>
        <w:pStyle w:val="FirstParagraph"/>
      </w:pPr>
      <w:r>
        <w:t xml:space="preserve">Khung bốn tầng kết hợp lăng kính năng lực số của luận án đối thoại trực tiếp với ba dòng nghiên cứu chính trong tài liệu đương đại. Dòng thứ nhất là phân tích tổng hợp về quan hệ giữa quốc tế hóa và hiệu quả hoạt động (Bausch &amp; Krist, 2007; Kirca ctv., 2012; Marano ctv., 2016; Wu ctv., 2022; Arte &amp; Larimo, 2022), cung cấp mức tham chiếu về độ lớn của hiệu ứng và mức dị biệt. Bên cạnh đó, dòng nghiên cứu về doanh nghiệp đa quốc gia thị trường mới nổi và môi trường thể chế (Cuervo-Cazurra ctv., 2018; Khanna &amp; Palepu, 2010; Peng, 2003) tạo lực đẩy lý thuyết cho tầng thể chế. Sau cùng, dòng nghiên cứu về quốc tế hóa số (Banalieva &amp; Dhanaraj, 2019; Stallkamp &amp; Schotter, 2021; Verhoef ctv., 2021; Yang ctv., 2025) cung cấp lớp mở rộng cho kỷ nguyên số.</w:t>
      </w:r>
    </w:p>
    <w:p>
      <w:pPr>
        <w:pStyle w:val="BodyText"/>
      </w:pPr>
      <w:r>
        <w:t xml:space="preserve">Luận án này đóng góp vào cả ba dòng nghiên cứu trên bằng cách tích hợp chúng vào một khung nhất quán, rồi kiểm định trên dữ liệu doanh nghiệp quy mô lớn tại châu Á, vốn là một bối cảnh còn ít được đại diện trong các phân tích tổng hợp quốc tế trước đây.</w:t>
      </w:r>
    </w:p>
    <w:bookmarkEnd w:id="54"/>
    <w:bookmarkStart w:id="55" w:name="đóng-góp-lý-thuyết"/>
    <w:p>
      <w:pPr>
        <w:pStyle w:val="Heading4"/>
      </w:pPr>
      <w:r>
        <w:t xml:space="preserve">2.4.2 Đóng góp lý thuyết</w:t>
      </w:r>
    </w:p>
    <w:p>
      <w:pPr>
        <w:pStyle w:val="FirstParagraph"/>
      </w:pPr>
      <w:r>
        <w:t xml:space="preserve">Khung phân tầng CIMT–ICRV–CDCM đóng góp lý thuyết theo ba hướng.</w:t>
      </w:r>
      <w:r>
        <w:t xml:space="preserve"> </w:t>
      </w:r>
      <w:r>
        <w:rPr>
          <w:iCs/>
          <w:i/>
        </w:rPr>
        <w:t xml:space="preserve">Đóng góp thứ nhất</w:t>
      </w:r>
      <w:r>
        <w:t xml:space="preserve"> </w:t>
      </w:r>
      <w:r>
        <w:t xml:space="preserve">là tích hợp ba kênh đã khẳng định trong văn liệu IB (rent protection, LoF attenuation, institutional-void amplification) thành một cơ chế trung tâm có thể kiểm định đồng thời, thay vì để các kênh này nằm rải rác trong các nghiên cứu riêng lẻ. Cách tích hợp này phù hợp với tiêu chuẩn what / how / why của Whetten (1989) về cấu phần đóng góp lý thuyết.</w:t>
      </w:r>
      <w:r>
        <w:t xml:space="preserve"> </w:t>
      </w:r>
      <w:r>
        <w:rPr>
          <w:iCs/>
          <w:i/>
        </w:rPr>
        <w:t xml:space="preserve">Đóng góp thứ hai</w:t>
      </w:r>
      <w:r>
        <w:t xml:space="preserve"> </w:t>
      </w:r>
      <w:r>
        <w:t xml:space="preserve">là phân biệt rõ ràng giữa ba vai trò lý thuyết (cơ chế trung tâm – taxonomy bối cảnh – signature thực nghiệm) thay vì để chúng vận hành song song, giải quyết vấn đề</w:t>
      </w:r>
      <w:r>
        <w:t xml:space="preserve"> </w:t>
      </w:r>
      <w:r>
        <w:t xml:space="preserve">“</w:t>
      </w:r>
      <w:r>
        <w:t xml:space="preserve">framework đẻ thêm theo từng paper</w:t>
      </w:r>
      <w:r>
        <w:t xml:space="preserve">”</w:t>
      </w:r>
      <w:r>
        <w:t xml:space="preserve"> </w:t>
      </w:r>
      <w:r>
        <w:t xml:space="preserve">mà các bài phản biện đã chỉ ra.</w:t>
      </w:r>
      <w:r>
        <w:t xml:space="preserve"> </w:t>
      </w:r>
      <w:r>
        <w:rPr>
          <w:iCs/>
          <w:i/>
        </w:rPr>
        <w:t xml:space="preserve">Đóng góp thứ ba</w:t>
      </w:r>
      <w:r>
        <w:t xml:space="preserve"> </w:t>
      </w:r>
      <w:r>
        <w:t xml:space="preserve">là khung được phát triển một cách tường minh là middle-range integrative framework theo nghĩa của Merton (1968), không tuyên bố thay thế Uppsala / RBV / Lý thuyết thể chế / Upper Echelons mà bổ trợ và làm rõ quan hệ giữa các lý thuyết kinh điển trong bối cảnh quan hệ I-P ở châu Á.</w:t>
      </w:r>
    </w:p>
    <w:bookmarkEnd w:id="55"/>
    <w:bookmarkStart w:id="56" w:name="X8dfaf752bff28ffa61cbc68e06df11eb5797a3d"/>
    <w:p>
      <w:pPr>
        <w:pStyle w:val="Heading4"/>
      </w:pPr>
      <w:r>
        <w:t xml:space="preserve">2.4.3 Hàm ý cho luận án và nghiên cứu thực nghiệm</w:t>
      </w:r>
    </w:p>
    <w:p>
      <w:pPr>
        <w:pStyle w:val="FirstParagraph"/>
      </w:pPr>
      <w:r>
        <w:t xml:space="preserve">Khung CIMT–ICRV–CDCM cung cấp ba hàm ý trực tiếp cho thiết kế thực nghiệm của luận án.</w:t>
      </w:r>
      <w:r>
        <w:t xml:space="preserve"> </w:t>
      </w:r>
      <w:r>
        <w:rPr>
          <w:iCs/>
          <w:i/>
        </w:rPr>
        <w:t xml:space="preserve">Hàm ý thứ nhất</w:t>
      </w:r>
      <w:r>
        <w:t xml:space="preserve"> </w:t>
      </w:r>
      <w:r>
        <w:t xml:space="preserve">là yêu cầu kết hợp ba thiết kế kiểm định bổ sung cho nhau: (i) phân tích tổng hợp ba tầng (P6) để kiểm định cơ chế CIMT ở cấp văn liệu; (ii) phân tích đa quốc gia 45 nền kinh tế (P7) để kiểm định sự dịch chuyển điểm tối ưu theo taxonomy ICRV; (iii) bốn nghiên cứu đơn quốc gia (P3 Việt Nam, P4 Singapore, P5 Trung Quốc, P9’ Ấn Độ, P8 SIDS) để kiểm định signature CDCM trong từng regime cụ thể.</w:t>
      </w:r>
      <w:r>
        <w:t xml:space="preserve"> </w:t>
      </w:r>
      <w:r>
        <w:rPr>
          <w:iCs/>
          <w:i/>
        </w:rPr>
        <w:t xml:space="preserve">Hàm ý thứ hai</w:t>
      </w:r>
      <w:r>
        <w:t xml:space="preserve"> </w:t>
      </w:r>
      <w:r>
        <w:t xml:space="preserve">là sự cần thiết của một thước đo hiệu quả ít bị bóp méo bởi trợ cấp xuyên quốc gia; chuyên đề bảo vệ lựa chọn năng suất lao động (ln LP) làm biến phụ thuộc chính, được OECD MAGIC (2026) hậu thuẫn (trợ cấp tăng thị phần nhưng không tăng năng suất).</w:t>
      </w:r>
      <w:r>
        <w:t xml:space="preserve"> </w:t>
      </w:r>
      <w:r>
        <w:rPr>
          <w:iCs/>
          <w:i/>
        </w:rPr>
        <w:t xml:space="preserve">Hàm ý thứ ba</w:t>
      </w:r>
      <w:r>
        <w:t xml:space="preserve"> </w:t>
      </w:r>
      <w:r>
        <w:t xml:space="preserve">là sự cần thiết của việc phân tách Chỉ số năng lực công nghệ (TCI) khỏi Chỉ số chấp nhận số (DAI) như hai cấu trúc khái niệm độc lập, một quyết định được khung CDCM tường minh hóa và được kiểm định trong các bài báo thành phần.</w:t>
      </w:r>
    </w:p>
    <w:bookmarkEnd w:id="56"/>
    <w:bookmarkStart w:id="57" w:name="hạn-chế-và-hướng-nghiên-cứu-tiếp-theo"/>
    <w:p>
      <w:pPr>
        <w:pStyle w:val="Heading4"/>
      </w:pPr>
      <w:r>
        <w:t xml:space="preserve">2.4.4 Hạn chế và hướng nghiên cứu tiếp theo</w:t>
      </w:r>
    </w:p>
    <w:p>
      <w:pPr>
        <w:pStyle w:val="FirstParagraph"/>
      </w:pPr>
      <w:r>
        <w:t xml:space="preserve">Chuyên đề thừa nhận ba hạn chế.</w:t>
      </w:r>
      <w:r>
        <w:t xml:space="preserve"> </w:t>
      </w:r>
      <w:r>
        <w:rPr>
          <w:iCs/>
          <w:i/>
        </w:rPr>
        <w:t xml:space="preserve">Hạn chế thứ nhất</w:t>
      </w:r>
      <w:r>
        <w:t xml:space="preserve">: khung CIMT là middle-range integrative framework mới được phát triển trong luận án này; tính khái quát hóa ra ngoài bối cảnh châu Á cần kiểm chứng riêng.</w:t>
      </w:r>
      <w:r>
        <w:t xml:space="preserve"> </w:t>
      </w:r>
      <w:r>
        <w:rPr>
          <w:iCs/>
          <w:i/>
        </w:rPr>
        <w:t xml:space="preserve">Hạn chế thứ hai</w:t>
      </w:r>
      <w:r>
        <w:t xml:space="preserve">: bộ ba moderator ở cấp meta-analytic (ICRV / cDAI / DPL) chỉ vận hành ở độ phân giải nghiên cứu (study-level), không thể thay thế cho việc kiểm định cơ chế ở cấp doanh nghiệp; do đó P6 và P7 phải bổ sung cho nhau.</w:t>
      </w:r>
      <w:r>
        <w:t xml:space="preserve"> </w:t>
      </w:r>
      <w:r>
        <w:rPr>
          <w:iCs/>
          <w:i/>
        </w:rPr>
        <w:t xml:space="preserve">Hạn chế thứ ba</w:t>
      </w:r>
      <w:r>
        <w:t xml:space="preserve">: signature CDCM hiện tại chỉ dùng DAI Tier 1-2 (website + e-payment) từ WBES; các cấp Tier 3-4 (integration + dynamic capability per Verhoef ctv., 2021) chưa quan sát được.</w:t>
      </w:r>
      <w:r>
        <w:t xml:space="preserve"> </w:t>
      </w:r>
      <w:r>
        <w:rPr>
          <w:iCs/>
          <w:i/>
        </w:rPr>
        <w:t xml:space="preserve">Hướng nghiên cứu tiếp theo</w:t>
      </w:r>
      <w:r>
        <w:t xml:space="preserve"> </w:t>
      </w:r>
      <w:r>
        <w:t xml:space="preserve">gồm: (i) kiểm chứng khung CIMT–ICRV–CDCM trên dữ liệu khu vực khác (Latin America, châu Phi) để đánh giá tính khái quát hóa; (ii) phát triển công cụ đo Tier 3-4 cho CDCM signature; (iii) khảo sát vai trò của Political License to Operate (PLO; Verbeke, 2026) như một moderator vĩ mô bổ sung cho ICRV trong bối cảnh phân mảnh địa chính trị đương đại.</w:t>
      </w:r>
    </w:p>
    <w:p>
      <w:r>
        <w:pict>
          <v:rect style="width:0;height:1.5pt" o:hralign="center" o:hrstd="t" o:hr="t"/>
        </w:pict>
      </w:r>
    </w:p>
    <w:bookmarkEnd w:id="57"/>
    <w:bookmarkEnd w:id="58"/>
    <w:bookmarkEnd w:id="59"/>
    <w:bookmarkStart w:id="60" w:name="tài-liệu-tham-khảo"/>
    <w:p>
      <w:pPr>
        <w:pStyle w:val="Heading2"/>
      </w:pPr>
      <w:r>
        <w:t xml:space="preserve">TÀI LIỆU THAM KHẢO</w:t>
      </w:r>
    </w:p>
    <w:p>
      <w:pPr>
        <w:pStyle w:val="FirstParagraph"/>
      </w:pPr>
      <w:r>
        <w:rPr>
          <w:iCs/>
          <w:i/>
        </w:rPr>
        <w:t xml:space="preserve">Xem</w:t>
      </w:r>
      <w:r>
        <w:rPr>
          <w:iCs/>
          <w:i/>
        </w:rPr>
        <w:t xml:space="preserve"> </w:t>
      </w:r>
      <w:r>
        <w:rPr>
          <w:rStyle w:val="VerbatimChar"/>
          <w:iCs/>
          <w:i/>
        </w:rPr>
        <w:t xml:space="preserve">thesis/04_references_apa7.md</w:t>
      </w:r>
      <w:r>
        <w:rPr>
          <w:iCs/>
          <w:i/>
        </w:rPr>
        <w:t xml:space="preserve"> </w:t>
      </w:r>
      <w:r>
        <w:rPr>
          <w:iCs/>
          <w:i/>
        </w:rPr>
        <w:t xml:space="preserve">cho danh mục tài liệu tham khảo đầy đủ theo chuẩn APA 7 áp dụng cho cả luận án và hai chuyên đề tiến sĩ.</w:t>
      </w:r>
    </w:p>
    <w:bookmarkEnd w:id="60"/>
    <w:bookmarkEnd w:id="6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2026-06-05T02:16:03Z</dcterms:created>
  <dcterms:modified xsi:type="dcterms:W3CDTF">2026-06-05T02:16:03Z</dcterms:modified>
</cp:coreProperties>
</file>

<file path=docProps/custom.xml><?xml version="1.0" encoding="utf-8"?>
<Properties xmlns="http://schemas.openxmlformats.org/officeDocument/2006/custom-properties" xmlns:vt="http://schemas.openxmlformats.org/officeDocument/2006/docPropsVTypes"/>
</file>