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International Business Review (IBR, Elsevier,</w:t>
      </w:r>
      <w:r>
        <w:rPr>
          <w:iCs/>
          <w:i/>
        </w:rPr>
        <w:t xml:space="preserve"> </w:t>
      </w:r>
      <w:r>
        <w:rPr>
          <w:iCs/>
          <w:i/>
        </w:rPr>
        <w:t xml:space="preserve">IF ≈ 5.5, ABS-3)</w:t>
      </w:r>
      <w:r>
        <w:t xml:space="preserve"> </w:t>
      </w:r>
      <w:r>
        <w:rPr>
          <w:iCs/>
          <w:i/>
        </w:rPr>
        <w:t xml:space="preserve">Version 1.0, May 2026 (target journal submission: Q4</w:t>
      </w:r>
      <w:r>
        <w:rPr>
          <w:iCs/>
          <w:i/>
        </w:rPr>
        <w:t xml:space="preserve"> </w:t>
      </w:r>
      <w:r>
        <w:rPr>
          <w:iCs/>
          <w:i/>
        </w:rPr>
        <w:t xml:space="preserve">2026)</w: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(I→P) relationship</w:t>
      </w:r>
      <w:r>
        <w:t xml:space="preserve"> </w:t>
      </w:r>
      <w:r>
        <w:t xml:space="preserve">three theoretically motivated moderators that prior meta-analyses have</w:t>
      </w:r>
      <w:r>
        <w:t xml:space="preserve"> </w:t>
      </w:r>
      <w:r>
        <w:t xml:space="preserve">not examined.</w:t>
      </w:r>
      <w:r>
        <w:t xml:space="preserve"> </w:t>
      </w:r>
      <w:r>
        <w:rPr>
          <w:bCs/>
          <w:b/>
        </w:rPr>
        <w:t xml:space="preserve">Design/methodology/approach:</w:t>
      </w:r>
      <w:r>
        <w:t xml:space="preserve"> </w:t>
      </w:r>
      <w:r>
        <w:t xml:space="preserve">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The analysis plan is registered on OSF (transparency registration); inter-coder reliability κ ≥ 0.70 on 20%</w:t>
      </w:r>
      <w:r>
        <w:t xml:space="preserve"> </w:t>
      </w:r>
      <w:r>
        <w:t xml:space="preserve">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238</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rPr>
          <w:bCs/>
          <w:b/>
        </w:rPr>
        <w:t xml:space="preserve">Originality/value:</w:t>
      </w:r>
      <w:r>
        <w:t xml:space="preserve"> </w:t>
      </w:r>
      <w:r>
        <w:t xml:space="preserve">This is the first three-level MARA of I→P drawing</w:t>
      </w:r>
      <w:r>
        <w:t xml:space="preserve"> </w:t>
      </w:r>
      <w:r>
        <w:t xml:space="preserve">on</w:t>
      </w:r>
      <w:r>
        <w:t xml:space="preserve"> </w:t>
      </w:r>
      <w:r>
        <w:rPr>
          <w:iCs/>
          <w:i/>
        </w:rPr>
        <w:t xml:space="preserve">k</w:t>
      </w:r>
      <w:r>
        <w:t xml:space="preserve"> </w:t>
      </w:r>
      <w:r>
        <w:t xml:space="preserve">= 238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w:t>
      </w:r>
      <w:r>
        <w:t xml:space="preserve"> </w:t>
      </w:r>
      <w:r>
        <w:t xml:space="preserve">connect the three new moderators to established predictions about the</w:t>
      </w:r>
      <w:r>
        <w:t xml:space="preserve"> </w:t>
      </w:r>
      <w:r>
        <w:t xml:space="preserve">I→P relationship.</w:t>
      </w:r>
    </w:p>
    <w:p>
      <w:pPr>
        <w:pStyle w:val="BodyText"/>
      </w:pPr>
      <w:r>
        <w:rPr>
          <w:bCs/>
          <w:b/>
        </w:rPr>
        <w:t xml:space="preserve">Resource-Based View (RBV).</w:t>
      </w:r>
      <w:r>
        <w:t xml:space="preserve"> </w:t>
      </w:r>
      <w:r>
        <w:t xml:space="preserve">Barney (1991) establishes that</w:t>
      </w:r>
      <w:r>
        <w:t xml:space="preserve"> </w:t>
      </w:r>
      <w:r>
        <w:t xml:space="preserve">sustainable competitive advantages derive from VRIN (valuable, rare,</w:t>
      </w:r>
      <w:r>
        <w:t xml:space="preserve"> </w:t>
      </w:r>
      <w:r>
        <w:t xml:space="preserve">inimitable, non-substitutable) resources. In the I→P context, this</w:t>
      </w:r>
      <w:r>
        <w:t xml:space="preserve"> </w:t>
      </w:r>
      <w:r>
        <w:t xml:space="preserve">predicts that firms with strong home-country resource endowments</w:t>
      </w:r>
      <w:r>
        <w:t xml:space="preserve"> </w:t>
      </w:r>
      <w:r>
        <w:t xml:space="preserve">including human capital, technological capability, and digital</w:t>
      </w:r>
      <w:r>
        <w:t xml:space="preserve"> </w:t>
      </w:r>
      <w:r>
        <w:t xml:space="preserve">infrastructure access, will generate higher performance returns from</w:t>
      </w:r>
      <w:r>
        <w:t xml:space="preserve"> </w:t>
      </w:r>
      <w:r>
        <w:t xml:space="preserve">international expansion than resource-constrained peers. Wernerfelt's</w:t>
      </w:r>
      <w:r>
        <w:t xml:space="preserve"> </w:t>
      </w:r>
      <w:r>
        <w:t xml:space="preserve">(1984) resource bundling logic further predicts that national digital</w:t>
      </w:r>
      <w:r>
        <w:t xml:space="preserve"> </w:t>
      </w:r>
      <w:r>
        <w:t xml:space="preserve">infrastructure provides a coordination-enabling environment that</w:t>
      </w:r>
      <w:r>
        <w:t xml:space="preserve"> </w:t>
      </w:r>
      <w:r>
        <w:t xml:space="preserve">amplifies the returns to firm-level resources: in high-cDAI</w:t>
      </w:r>
      <w:r>
        <w:t xml:space="preserve"> </w:t>
      </w:r>
      <w:r>
        <w:t xml:space="preserve">environments, firms can deploy their existing technological and</w:t>
      </w:r>
      <w:r>
        <w:t xml:space="preserve"> </w:t>
      </w:r>
      <w:r>
        <w:t xml:space="preserve">organizational capabilities across borders at lower per-unit cost,</w:t>
      </w:r>
      <w:r>
        <w:t xml:space="preserve"> </w:t>
      </w:r>
      <w:r>
        <w:t xml:space="preserve">raising the marginal productivity return to each additional unit of</w:t>
      </w:r>
      <w:r>
        <w:t xml:space="preserve"> </w:t>
      </w:r>
      <w:r>
        <w:t xml:space="preserve">international expansion. It is important to note that cDAI</w:t>
      </w:r>
      <w:r>
        <w:t xml:space="preserve"> </w:t>
      </w:r>
      <w:r>
        <w:t xml:space="preserve">(country-level) is analytically distinct from firm-level digital</w:t>
      </w:r>
      <w:r>
        <w:t xml:space="preserve"> </w:t>
      </w:r>
      <w:r>
        <w:t xml:space="preserve">adoption (DAI) and from firm-level technological capability (TCI), which</w:t>
      </w:r>
      <w:r>
        <w:t xml:space="preserve"> </w:t>
      </w:r>
      <w:r>
        <w:t xml:space="preserve">the companion primary studies (P3–P8) treat as separate constructs with</w:t>
      </w:r>
      <w:r>
        <w:t xml:space="preserve"> </w:t>
      </w:r>
      <w:r>
        <w:t xml:space="preserve">distinct measurement bases and theoretical roles. In the present</w:t>
      </w:r>
      <w:r>
        <w:t xml:space="preserve"> </w:t>
      </w:r>
      <w:r>
        <w:t xml:space="preserve">meta-analytic study, only cDAI is operationalized as a study-level</w:t>
      </w:r>
      <w:r>
        <w:t xml:space="preserve"> </w:t>
      </w:r>
      <w:r>
        <w:t xml:space="preserve">moderator; DAI and TCI remain within-study variables in the</w:t>
      </w:r>
      <w:r>
        <w:t xml:space="preserve"> </w:t>
      </w:r>
      <w:r>
        <w:t xml:space="preserve">primary-study designs and are not separately extractable at</w:t>
      </w:r>
      <w:r>
        <w:t xml:space="preserve"> </w:t>
      </w:r>
      <w:r>
        <w:t xml:space="preserve">meta-analytic resolution from the k = 238 corpus. The resource-bundling</w:t>
      </w:r>
      <w:r>
        <w:t xml:space="preserve"> </w:t>
      </w:r>
      <w:r>
        <w:t xml:space="preserve">prediction for P6 therefore concerns whether a richer national digital</w:t>
      </w:r>
      <w:r>
        <w:t xml:space="preserve"> </w:t>
      </w:r>
      <w:r>
        <w:t xml:space="preserve">environment raises the aggregate I→P effect across studies, a</w:t>
      </w:r>
      <w:r>
        <w:t xml:space="preserve"> </w:t>
      </w:r>
      <w:r>
        <w:t xml:space="preserve">between-study moderation claim at the country level, not a within-study</w:t>
      </w:r>
      <w:r>
        <w:t xml:space="preserve"> </w:t>
      </w:r>
      <w:r>
        <w:t xml:space="preserve">claim about firm-level capability bundles.</w:t>
      </w:r>
    </w:p>
    <w:p>
      <w:pPr>
        <w:pStyle w:val="BodyText"/>
      </w:pPr>
      <w:r>
        <w:rPr>
          <w:bCs/>
          <w:b/>
        </w:rPr>
        <w:t xml:space="preserve">Institutional Theory.</w:t>
      </w:r>
      <w:r>
        <w:t xml:space="preserve"> </w:t>
      </w:r>
      <w:r>
        <w:t xml:space="preserve">North's (1990) framework positions formal and</w:t>
      </w:r>
      <w:r>
        <w:t xml:space="preserve"> </w:t>
      </w:r>
      <w:r>
        <w:t xml:space="preserve">informal institutions as the "rules of the game" that govern transaction</w:t>
      </w:r>
      <w:r>
        <w:t xml:space="preserve"> </w:t>
      </w:r>
      <w:r>
        <w:t xml:space="preserve">costs. In the I→P context, higher institutional quality, measured</w:t>
      </w:r>
      <w:r>
        <w:t xml:space="preserve"> </w:t>
      </w:r>
      <w:r>
        <w:t xml:space="preserve">through rule of law, contract enforcement, IP protection, and regulatory</w:t>
      </w:r>
      <w:r>
        <w:t xml:space="preserve"> </w:t>
      </w:r>
      <w:r>
        <w:t xml:space="preserve">quality, reduces the coordination costs of cross-border expansion by</w:t>
      </w:r>
      <w:r>
        <w:t xml:space="preserve"> </w:t>
      </w:r>
      <w:r>
        <w:t xml:space="preserve">attenuating opportunism risk, monitoring costs, and information</w:t>
      </w:r>
      <w:r>
        <w:t xml:space="preserve"> </w:t>
      </w:r>
      <w:r>
        <w:t xml:space="preserve">asymmetry between home and host markets. Scott's (1995) three-pillar</w:t>
      </w:r>
      <w:r>
        <w:t xml:space="preserve"> </w:t>
      </w:r>
      <w:r>
        <w:t xml:space="preserve">framework extends this logic: regulative, normative, and cognitive</w:t>
      </w:r>
      <w:r>
        <w:t xml:space="preserve"> </w:t>
      </w:r>
      <w:r>
        <w:t xml:space="preserve">institutions jointly determine the transaction cost environment in which</w:t>
      </w:r>
      <w:r>
        <w:t xml:space="preserve"> </w:t>
      </w:r>
      <w:r>
        <w:t xml:space="preserve">internationalization occurs. When regulative institutions are strong</w:t>
      </w:r>
      <w:r>
        <w:t xml:space="preserve"> </w:t>
      </w:r>
      <w:r>
        <w:t xml:space="preserve">(ICRV Regime I), firms can enforce contracts with foreign counterparts</w:t>
      </w:r>
      <w:r>
        <w:t xml:space="preserve"> </w:t>
      </w:r>
      <w:r>
        <w:t xml:space="preserve">at lower cost, protect innovation rents across jurisdictions, and</w:t>
      </w:r>
      <w:r>
        <w:t xml:space="preserve"> </w:t>
      </w:r>
      <w:r>
        <w:t xml:space="preserve">exploit economies of scale without the institutional friction that</w:t>
      </w:r>
      <w:r>
        <w:t xml:space="preserve"> </w:t>
      </w:r>
      <w:r>
        <w:t xml:space="preserve">truncates these returns in weaker institutional environments. The ICRV</w:t>
      </w:r>
      <w:r>
        <w:t xml:space="preserve"> </w:t>
      </w:r>
      <w:r>
        <w:t xml:space="preserve">gradient hypothesis (H1) thus derives directly from institutional</w:t>
      </w:r>
      <w:r>
        <w:t xml:space="preserve"> </w:t>
      </w:r>
      <w:r>
        <w:t xml:space="preserve">theory: the expected I→P effect should decline monotonically from</w:t>
      </w:r>
      <w:r>
        <w:t xml:space="preserve"> </w:t>
      </w:r>
      <w:r>
        <w:t xml:space="preserve">Advanced-Innovation (Regime I) to Frontier (Regime FR) as institutional</w:t>
      </w:r>
      <w:r>
        <w:t xml:space="preserve"> </w:t>
      </w:r>
      <w:r>
        <w:t xml:space="preserve">quality falls and coordination costs rise.</w:t>
      </w:r>
    </w:p>
    <w:p>
      <w:pPr>
        <w:pStyle w:val="BodyText"/>
      </w:pPr>
      <w:r>
        <w:rPr>
          <w:bCs/>
          <w:b/>
        </w:rPr>
        <w:t xml:space="preserve">Organizational Learning Theory.</w:t>
      </w:r>
      <w:r>
        <w:t xml:space="preserve"> </w:t>
      </w:r>
      <w:r>
        <w:t xml:space="preserve">Johanson and Vahlne's (1977, 2009)</w:t>
      </w:r>
      <w:r>
        <w:t xml:space="preserve"> </w:t>
      </w:r>
      <w:r>
        <w:t xml:space="preserve">Uppsala model posits that internationalization knowledge accumulates</w:t>
      </w:r>
      <w:r>
        <w:t xml:space="preserve"> </w:t>
      </w:r>
      <w:r>
        <w:t xml:space="preserve">through market-specific experience and is subsequently encoded in</w:t>
      </w:r>
      <w:r>
        <w:t xml:space="preserve"> </w:t>
      </w:r>
      <w:r>
        <w:t xml:space="preserve">organizational routines. Digital platforms accelerate this knowledge</w:t>
      </w:r>
      <w:r>
        <w:t xml:space="preserve"> </w:t>
      </w:r>
      <w:r>
        <w:t xml:space="preserve">accumulation by reducing information asymmetries between home and host</w:t>
      </w:r>
      <w:r>
        <w:t xml:space="preserve"> </w:t>
      </w:r>
      <w:r>
        <w:t xml:space="preserve">markets: cloud-based analytics, real-time demand signaling, and B2B</w:t>
      </w:r>
      <w:r>
        <w:t xml:space="preserve"> </w:t>
      </w:r>
      <w:r>
        <w:t xml:space="preserve">digital platforms enable firms to monitor foreign market conditions</w:t>
      </w:r>
      <w:r>
        <w:t xml:space="preserve"> </w:t>
      </w:r>
      <w:r>
        <w:t xml:space="preserve">without the physical presence that prior eras required (Stallkamp &amp;</w:t>
      </w:r>
      <w:r>
        <w:t xml:space="preserve"> </w:t>
      </w:r>
      <w:r>
        <w:t xml:space="preserve">Schotter, 2021). The DPL Follow phase (post-2014) is the period in which</w:t>
      </w:r>
      <w:r>
        <w:t xml:space="preserve"> </w:t>
      </w:r>
      <w:r>
        <w:t xml:space="preserve">these digital learning channels reach sufficient maturity and</w:t>
      </w:r>
      <w:r>
        <w:t xml:space="preserve"> </w:t>
      </w:r>
      <w:r>
        <w:t xml:space="preserve">penetration to systematically compress the experiential learning curve,</w:t>
      </w:r>
      <w:r>
        <w:t xml:space="preserve"> </w:t>
      </w:r>
      <w:r>
        <w:t xml:space="preserve">predicting that I→P effects are largest in studies drawing on data from</w:t>
      </w:r>
      <w:r>
        <w:t xml:space="preserve"> </w:t>
      </w:r>
      <w:r>
        <w:t xml:space="preserve">this period (H2). The Span phase captures the transitional period in</w:t>
      </w:r>
      <w:r>
        <w:t xml:space="preserve"> </w:t>
      </w:r>
      <w:r>
        <w:t xml:space="preserve">which digital tools were diffusing but had not yet reached the maturity</w:t>
      </w:r>
      <w:r>
        <w:t xml:space="preserve"> </w:t>
      </w:r>
      <w:r>
        <w:t xml:space="preserve">threshold at which their learning-cost compression effects became</w:t>
      </w:r>
      <w:r>
        <w:t xml:space="preserve"> </w:t>
      </w:r>
      <w:r>
        <w:t xml:space="preserve">systemic.</w:t>
      </w:r>
    </w:p>
    <w:p>
      <w:pPr>
        <w:pStyle w:val="BodyText"/>
      </w:pPr>
      <w:r>
        <w:rPr>
          <w:bCs/>
          <w:b/>
        </w:rPr>
        <w:t xml:space="preserve">Coordination Cost Theory.</w:t>
      </w:r>
      <w:r>
        <w:t xml:space="preserve"> </w:t>
      </w:r>
      <w:r>
        <w:t xml:space="preserve">The classic coordination cost argument in</w:t>
      </w:r>
      <w:r>
        <w:t xml:space="preserve"> </w:t>
      </w:r>
      <w:r>
        <w:t xml:space="preserve">the I→P literature (Hitt et al., 1997; Lu &amp; Beamish, 2004) posits that</w:t>
      </w:r>
      <w:r>
        <w:t xml:space="preserve"> </w:t>
      </w:r>
      <w:r>
        <w:t xml:space="preserve">international expansion initially generates productivity gains through</w:t>
      </w:r>
      <w:r>
        <w:t xml:space="preserve"> </w:t>
      </w:r>
      <w:r>
        <w:t xml:space="preserve">scale economies and learning, but eventually produces diseconomies as</w:t>
      </w:r>
      <w:r>
        <w:t xml:space="preserve"> </w:t>
      </w:r>
      <w:r>
        <w:t xml:space="preserve">the administrative burden of coordinating dispersed operations exceeds</w:t>
      </w:r>
      <w:r>
        <w:t xml:space="preserve"> </w:t>
      </w:r>
      <w:r>
        <w:t xml:space="preserve">the gains from further geographic diversification. This logic produces</w:t>
      </w:r>
      <w:r>
        <w:t xml:space="preserve"> </w:t>
      </w:r>
      <w:r>
        <w:t xml:space="preserve">the inverted-U relationship that constitutes the modal finding in the</w:t>
      </w:r>
      <w:r>
        <w:t xml:space="preserve"> </w:t>
      </w:r>
      <w:r>
        <w:t xml:space="preserve">I→P literature (Marano et al., 2016). However, digital platforms</w:t>
      </w:r>
      <w:r>
        <w:t xml:space="preserve"> </w:t>
      </w:r>
      <w:r>
        <w:t xml:space="preserve">systematically reduce coordination costs through three channels: (a)</w:t>
      </w:r>
      <w:r>
        <w:t xml:space="preserve"> </w:t>
      </w:r>
      <w:r>
        <w:rPr>
          <w:iCs/>
          <w:i/>
        </w:rPr>
        <w:t xml:space="preserve">communication compression</w:t>
      </w:r>
      <w:r>
        <w:t xml:space="preserve">, real-time digital communication across</w:t>
      </w:r>
      <w:r>
        <w:t xml:space="preserve"> </w:t>
      </w:r>
      <w:r>
        <w:t xml:space="preserve">time zones reduces the bandwidth cost of coordinating dispersed</w:t>
      </w:r>
      <w:r>
        <w:t xml:space="preserve"> </w:t>
      </w:r>
      <w:r>
        <w:t xml:space="preserve">operations; (b)</w:t>
      </w:r>
      <w:r>
        <w:t xml:space="preserve"> </w:t>
      </w:r>
      <w:r>
        <w:rPr>
          <w:iCs/>
          <w:i/>
        </w:rPr>
        <w:t xml:space="preserve">transaction cost reduction</w:t>
      </w:r>
      <w:r>
        <w:t xml:space="preserve">, electronic payment</w:t>
      </w:r>
      <w:r>
        <w:t xml:space="preserve"> </w:t>
      </w:r>
      <w:r>
        <w:t xml:space="preserve">systems and digital contracting reduce the cost and time of cross-border</w:t>
      </w:r>
      <w:r>
        <w:t xml:space="preserve"> </w:t>
      </w:r>
      <w:r>
        <w:t xml:space="preserve">transactions; (c)</w:t>
      </w:r>
      <w:r>
        <w:t xml:space="preserve"> </w:t>
      </w:r>
      <w:r>
        <w:rPr>
          <w:iCs/>
          <w:i/>
        </w:rPr>
        <w:t xml:space="preserve">information asymmetry compression</w:t>
      </w:r>
      <w:r>
        <w:t xml:space="preserve">, digital</w:t>
      </w:r>
      <w:r>
        <w:t xml:space="preserve"> </w:t>
      </w:r>
      <w:r>
        <w:t xml:space="preserve">analytics platforms reduce the monitoring cost of verifying foreign</w:t>
      </w:r>
      <w:r>
        <w:t xml:space="preserve"> </w:t>
      </w:r>
      <w:r>
        <w:t xml:space="preserve">partner performance. When national digital infrastructure is mature</w:t>
      </w:r>
      <w:r>
        <w:t xml:space="preserve"> </w:t>
      </w:r>
      <w:r>
        <w:t xml:space="preserve">(high cDAI), all three channels operate simultaneously, predicting that</w:t>
      </w:r>
      <w:r>
        <w:t xml:space="preserve"> </w:t>
      </w:r>
      <w:r>
        <w:t xml:space="preserve">the coordination cost mechanism, which generates the right-side decline</w:t>
      </w:r>
      <w:r>
        <w:t xml:space="preserve"> </w:t>
      </w:r>
      <w:r>
        <w:t xml:space="preserve">of the inverted-U, is attenuated or shifted to higher</w:t>
      </w:r>
      <w:r>
        <w:t xml:space="preserve"> </w:t>
      </w:r>
      <w:r>
        <w:t xml:space="preserve">internationalization intensities than would be observed in low-cDAI</w:t>
      </w:r>
      <w:r>
        <w:t xml:space="preserve"> </w:t>
      </w:r>
      <w:r>
        <w:t xml:space="preserve">environments.</w:t>
      </w:r>
    </w:p>
    <w:p>
      <w:pPr>
        <w:pStyle w:val="BodyText"/>
      </w:pPr>
      <w:r>
        <w:rPr>
          <w:bCs/>
          <w:b/>
        </w:rPr>
        <w:t xml:space="preserve">Foundational Digital Adoption Framework.</w:t>
      </w:r>
      <w:r>
        <w:t xml:space="preserve"> </w:t>
      </w:r>
      <w:r>
        <w:t xml:space="preserve">Verhoef et al.'s (2021)</w:t>
      </w:r>
      <w:r>
        <w:t xml:space="preserve"> </w:t>
      </w:r>
      <w:r>
        <w:t xml:space="preserve">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w:t>
      </w:r>
      <w:r>
        <w:t xml:space="preserve"> </w:t>
      </w:r>
      <w:r>
        <w:t xml:space="preserve">EDI), Tier-3</w:t>
      </w:r>
      <w:r>
        <w:t xml:space="preserve"> </w:t>
      </w:r>
      <w:r>
        <w:rPr>
          <w:iCs/>
          <w:i/>
        </w:rPr>
        <w:t xml:space="preserve">digital integration</w:t>
      </w:r>
      <w:r>
        <w:t xml:space="preserve"> </w:t>
      </w:r>
      <w:r>
        <w:t xml:space="preserve">(ERP, CRM, supply chain integration),</w:t>
      </w:r>
      <w:r>
        <w:t xml:space="preserve"> </w:t>
      </w:r>
      <w:r>
        <w:t xml:space="preserve">and Tier-4</w:t>
      </w:r>
      <w:r>
        <w:t xml:space="preserve"> </w:t>
      </w:r>
      <w:r>
        <w:rPr>
          <w:iCs/>
          <w:i/>
        </w:rPr>
        <w:t xml:space="preserve">digital dynamic capability</w:t>
      </w:r>
      <w:r>
        <w:t xml:space="preserve"> </w:t>
      </w:r>
      <w:r>
        <w:t xml:space="preserve">(AI deployment, platform</w:t>
      </w:r>
      <w:r>
        <w:t xml:space="preserve"> </w:t>
      </w:r>
      <w:r>
        <w:t xml:space="preserve">orchestration). Stallkamp and Schotter (2021) extend this hierarchy to</w:t>
      </w:r>
      <w:r>
        <w:t xml:space="preserve"> </w:t>
      </w:r>
      <w:r>
        <w:t xml:space="preserve">the IB context, showing that Tier-1 and Tier-2 digital adoption, the</w:t>
      </w:r>
      <w:r>
        <w:t xml:space="preserve"> </w:t>
      </w:r>
      <w:r>
        <w:t xml:space="preserve">layers most widely measured in firm-level surveys, function as</w:t>
      </w:r>
      <w:r>
        <w:t xml:space="preserve"> </w:t>
      </w:r>
      <w:r>
        <w:rPr>
          <w:iCs/>
          <w:i/>
        </w:rPr>
        <w:t xml:space="preserve">platform infrastructure</w:t>
      </w:r>
      <w:r>
        <w:t xml:space="preserve"> </w:t>
      </w:r>
      <w:r>
        <w:t xml:space="preserve">for cross-border coordination rather than as</w:t>
      </w:r>
      <w:r>
        <w:t xml:space="preserve"> </w:t>
      </w:r>
      <w:r>
        <w:t xml:space="preserve">proprietary capabilities. At the country level, the aggregate adoption</w:t>
      </w:r>
      <w:r>
        <w:t xml:space="preserve"> </w:t>
      </w:r>
      <w:r>
        <w:t xml:space="preserve">of Tier-1 and Tier-2 tools across the economy defines the</w:t>
      </w:r>
      <w:r>
        <w:t xml:space="preserve"> </w:t>
      </w:r>
      <w:r>
        <w:rPr>
          <w:iCs/>
          <w:i/>
        </w:rPr>
        <w:t xml:space="preserve">national</w:t>
      </w:r>
      <w:r>
        <w:rPr>
          <w:iCs/>
          <w:i/>
        </w:rPr>
        <w:t xml:space="preserve"> </w:t>
      </w:r>
      <w:r>
        <w:rPr>
          <w:iCs/>
          <w:i/>
        </w:rPr>
        <w:t xml:space="preserve">digital adoption environment</w:t>
      </w:r>
      <w:r>
        <w:t xml:space="preserve"> </w:t>
      </w:r>
      <w:r>
        <w:t xml:space="preserve">(cDAI): the availability of a digitally</w:t>
      </w:r>
      <w:r>
        <w:t xml:space="preserve"> </w:t>
      </w:r>
      <w:r>
        <w:t xml:space="preserve">enabled transaction ecosystem that reduces the minimum infrastructure</w:t>
      </w:r>
      <w:r>
        <w:t xml:space="preserve"> </w:t>
      </w:r>
      <w:r>
        <w:t xml:space="preserve">investment required for firms to participate in cross-border trade. This</w:t>
      </w:r>
      <w:r>
        <w:t xml:space="preserve"> </w:t>
      </w:r>
      <w:r>
        <w:t xml:space="preserve">country-level construct is analytically distinct from firm-level digital</w:t>
      </w:r>
      <w:r>
        <w:t xml:space="preserve"> </w:t>
      </w:r>
      <w:r>
        <w:t xml:space="preserve">adoption: cDAI captures the shared digital infrastructure environment,</w:t>
      </w:r>
      <w:r>
        <w:t xml:space="preserve"> </w:t>
      </w:r>
      <w:r>
        <w:t xml:space="preserve">whereas firm-level DAI captures a firm's own position within that</w:t>
      </w:r>
      <w:r>
        <w:t xml:space="preserve"> </w:t>
      </w:r>
      <w:r>
        <w:t xml:space="preserve">environment. The cDAI amplification hypothesis (H3) thus concerns</w:t>
      </w:r>
      <w:r>
        <w:t xml:space="preserve"> </w:t>
      </w:r>
      <w:r>
        <w:t xml:space="preserve">whether a richer national digital environment raises the aggregate I→P</w:t>
      </w:r>
      <w:r>
        <w:t xml:space="preserve"> </w:t>
      </w:r>
      <w:r>
        <w:t xml:space="preserve">effect across the studies that draw on it, a between-study moderation</w:t>
      </w:r>
      <w:r>
        <w:t xml:space="preserve"> </w:t>
      </w:r>
      <w:r>
        <w:t xml:space="preserve">claim, not a within-study mediation claim.</w:t>
      </w:r>
    </w:p>
    <w:bookmarkEnd w:id="22"/>
    <w:bookmarkStart w:id="23" w:name="X0441fb0bed103c363ef3b0c58f4e35b0253858e"/>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w:t>
      </w:r>
      <w:r>
        <w:t xml:space="preserve"> </w:t>
      </w:r>
      <w:r>
        <w:t xml:space="preserve">the ICRV gradient in meta-analytic I→P effect sizes. CIMT's core claim</w:t>
      </w:r>
      <w:r>
        <w:t xml:space="preserve"> </w:t>
      </w:r>
      <w:r>
        <w:t xml:space="preserve">is that the productivity returns to international expansion are a</w:t>
      </w:r>
      <w:r>
        <w:t xml:space="preserve"> </w:t>
      </w:r>
      <w:r>
        <w:t xml:space="preserve">function not only of firm-level capabilities but of the degree to which</w:t>
      </w:r>
      <w:r>
        <w:t xml:space="preserve"> </w:t>
      </w:r>
      <w:r>
        <w:t xml:space="preserve">home-country institutions enable those capabilities to be deployed</w:t>
      </w:r>
      <w:r>
        <w:t xml:space="preserve"> </w:t>
      </w:r>
      <w:r>
        <w:t xml:space="preserve">productively across borders. The theory distinguishes three mechanisms:</w:t>
      </w:r>
    </w:p>
    <w:p>
      <w:pPr>
        <w:pStyle w:val="BodyText"/>
      </w:pPr>
      <w:r>
        <w:rPr>
          <w:iCs/>
          <w:i/>
        </w:rPr>
        <w:t xml:space="preserve">Rent-protection mechanism.</w:t>
      </w:r>
      <w:r>
        <w:t xml:space="preserve"> </w:t>
      </w:r>
      <w:r>
        <w:t xml:space="preserve">Institutional quality determines the degree</w:t>
      </w:r>
      <w:r>
        <w:t xml:space="preserve"> </w:t>
      </w:r>
      <w:r>
        <w:t xml:space="preserve">to which firms can protect the proprietary rents generated by their</w:t>
      </w:r>
      <w:r>
        <w:t xml:space="preserve"> </w:t>
      </w:r>
      <w:r>
        <w:t xml:space="preserve">internationalization activities. In high-quality institutional</w:t>
      </w:r>
      <w:r>
        <w:t xml:space="preserve"> </w:t>
      </w:r>
      <w:r>
        <w:t xml:space="preserve">environments (ICRV Regime I), strong IP protection and contract</w:t>
      </w:r>
      <w:r>
        <w:t xml:space="preserve"> </w:t>
      </w:r>
      <w:r>
        <w:t xml:space="preserve">enforcement allow firms to maintain competitive advantages across</w:t>
      </w:r>
      <w:r>
        <w:t xml:space="preserve"> </w:t>
      </w:r>
      <w:r>
        <w:t xml:space="preserve">foreign markets without the knowledge leakage and imitation risk that</w:t>
      </w:r>
      <w:r>
        <w:t xml:space="preserve"> </w:t>
      </w:r>
      <w:r>
        <w:t xml:space="preserve">characterize weaker institutional contexts (Kogut &amp; Zander, 1993;</w:t>
      </w:r>
      <w:r>
        <w:t xml:space="preserve"> </w:t>
      </w:r>
      <w:r>
        <w:t xml:space="preserve">Zaheer, 1995). Each unit of international expansion therefore translates</w:t>
      </w:r>
      <w:r>
        <w:t xml:space="preserve"> </w:t>
      </w:r>
      <w:r>
        <w:t xml:space="preserve">into larger cumulative rent streams, raising the average I→P effect</w:t>
      </w:r>
      <w:r>
        <w:t xml:space="preserve"> </w:t>
      </w:r>
      <w:r>
        <w:t xml:space="preserve">observed in studies drawing on Regime I samples.</w:t>
      </w:r>
    </w:p>
    <w:p>
      <w:pPr>
        <w:pStyle w:val="BodyText"/>
      </w:pPr>
      <w:r>
        <w:rPr>
          <w:iCs/>
          <w:i/>
        </w:rPr>
        <w:t xml:space="preserve">Liability-of-foreignness attenuation mechanism.</w:t>
      </w:r>
      <w:r>
        <w:t xml:space="preserve"> </w:t>
      </w:r>
      <w:r>
        <w:t xml:space="preserve">Zaheer (1995)</w:t>
      </w:r>
      <w:r>
        <w:t xml:space="preserve"> </w:t>
      </w:r>
      <w:r>
        <w:t xml:space="preserve">identifies liability of foreignness (LOF), the costs incurred by</w:t>
      </w:r>
      <w:r>
        <w:t xml:space="preserve"> </w:t>
      </w:r>
      <w:r>
        <w:t xml:space="preserve">foreign firms that domestic rivals do not bear, as a key driver of</w:t>
      </w:r>
      <w:r>
        <w:t xml:space="preserve"> </w:t>
      </w:r>
      <w:r>
        <w:t xml:space="preserve">internationalization costs. LOF is attenuated in high-quality</w:t>
      </w:r>
      <w:r>
        <w:t xml:space="preserve"> </w:t>
      </w:r>
      <w:r>
        <w:t xml:space="preserve">institutional environments because strong rule of law, transparent</w:t>
      </w:r>
      <w:r>
        <w:t xml:space="preserve"> </w:t>
      </w:r>
      <w:r>
        <w:t xml:space="preserve">regulatory processes, and low corruption reduce the information</w:t>
      </w:r>
      <w:r>
        <w:t xml:space="preserve"> </w:t>
      </w:r>
      <w:r>
        <w:t xml:space="preserve">asymmetries and discriminatory treatment that generate LOF in weaker</w:t>
      </w:r>
      <w:r>
        <w:t xml:space="preserve"> </w:t>
      </w:r>
      <w:r>
        <w:t xml:space="preserve">institutional contexts (Peng et al., 2008). When LOF is low (ICRV-I),</w:t>
      </w:r>
      <w:r>
        <w:t xml:space="preserve"> </w:t>
      </w:r>
      <w:r>
        <w:t xml:space="preserve">firms can capture a larger share of the productivity gains from</w:t>
      </w:r>
      <w:r>
        <w:t xml:space="preserve"> </w:t>
      </w:r>
      <w:r>
        <w:t xml:space="preserve">cross-border scale economies and learning, raising the meta-analytic</w:t>
      </w:r>
      <w:r>
        <w:t xml:space="preserve"> </w:t>
      </w:r>
      <w:r>
        <w:t xml:space="preserve">effect size.</w:t>
      </w:r>
    </w:p>
    <w:p>
      <w:pPr>
        <w:pStyle w:val="BodyText"/>
      </w:pPr>
      <w:r>
        <w:rPr>
          <w:iCs/>
          <w:i/>
        </w:rPr>
        <w:t xml:space="preserve">Institutional void amplification mechanism.</w:t>
      </w:r>
      <w:r>
        <w:t xml:space="preserve"> </w:t>
      </w:r>
      <w:r>
        <w:t xml:space="preserve">In institutional voids</w:t>
      </w:r>
      <w:r>
        <w:t xml:space="preserve"> </w:t>
      </w:r>
      <w:r>
        <w:t xml:space="preserve">environments where formal institutions are weak or absent, firms must</w:t>
      </w:r>
      <w:r>
        <w:t xml:space="preserve"> </w:t>
      </w:r>
      <w:r>
        <w:t xml:space="preserve">invest in substitute governance mechanisms (relationship capital,</w:t>
      </w:r>
      <w:r>
        <w:t xml:space="preserve"> </w:t>
      </w:r>
      <w:r>
        <w:t xml:space="preserve">political connections, informal contracts) that absorb managerial</w:t>
      </w:r>
      <w:r>
        <w:t xml:space="preserve"> </w:t>
      </w:r>
      <w:r>
        <w:t xml:space="preserve">attention and reduce the net productivity returns to</w:t>
      </w:r>
      <w:r>
        <w:t xml:space="preserve"> </w:t>
      </w:r>
      <w:r>
        <w:t xml:space="preserve">internationalization (Khanna &amp; Palepu, 2010). As institutional quality</w:t>
      </w:r>
      <w:r>
        <w:t xml:space="preserve"> </w:t>
      </w:r>
      <w:r>
        <w:t xml:space="preserve">declines across the ICRV spectrum (Regime II → III → FR), these</w:t>
      </w:r>
      <w:r>
        <w:t xml:space="preserve"> </w:t>
      </w:r>
      <w:r>
        <w:t xml:space="preserve">substitute governance costs accumulate, progressively depressing the I→P</w:t>
      </w:r>
      <w:r>
        <w:t xml:space="preserve"> </w:t>
      </w:r>
      <w:r>
        <w:t xml:space="preserve">effect toward zero and potentially negative territory.</w:t>
      </w:r>
    </w:p>
    <w:p>
      <w:pPr>
        <w:pStyle w:val="BodyText"/>
      </w:pPr>
      <w:r>
        <w:t xml:space="preserve">CIMT predicts between-regime heterogeneity in I→P effect sizes, with</w:t>
      </w:r>
      <w:r>
        <w:t xml:space="preserve"> </w:t>
      </w:r>
      <w:r>
        <w:t xml:space="preserve">Advanced-regime studies expected to show the largest effects because all</w:t>
      </w:r>
      <w:r>
        <w:t xml:space="preserve"> </w:t>
      </w:r>
      <w:r>
        <w:t xml:space="preserve">three CIMT mechanisms operate simultaneously at the institutional</w:t>
      </w:r>
      <w:r>
        <w:t xml:space="preserve"> </w:t>
      </w:r>
      <w:r>
        <w:t xml:space="preserve">frontier. Prior meta-analyses have not adequately tested this</w:t>
      </w:r>
      <w:r>
        <w:t xml:space="preserve"> </w:t>
      </w:r>
      <w:r>
        <w:t xml:space="preserve">institutional gradient because they lacked a fine-grained taxonomy that</w:t>
      </w:r>
      <w:r>
        <w:t xml:space="preserve"> </w:t>
      </w:r>
      <w:r>
        <w:t xml:space="preserve">disaggregates the spectrum from Advanced Innovation economies to</w:t>
      </w:r>
      <w:r>
        <w:t xml:space="preserve"> </w:t>
      </w:r>
      <w:r>
        <w:t xml:space="preserve">Frontier and SIDS contexts at sufficient resolution. Marano et al.</w:t>
      </w:r>
      <w:r>
        <w:t xml:space="preserve"> </w:t>
      </w:r>
      <w:r>
        <w:t xml:space="preserve">(2016) used a six-category global classification that did not separate</w:t>
      </w:r>
      <w:r>
        <w:t xml:space="preserve"> </w:t>
      </w:r>
      <w:r>
        <w:t xml:space="preserve">the Advanced/Upper-Middle/Emerging/Frontier spectrum examined here. The</w:t>
      </w:r>
      <w:r>
        <w:t xml:space="preserve"> </w:t>
      </w:r>
      <w:r>
        <w:t xml:space="preserve">ICRV 5-regime taxonomy, anchored in World Bank World Governance</w:t>
      </w:r>
      <w:r>
        <w:t xml:space="preserve"> </w:t>
      </w:r>
      <w:r>
        <w:t xml:space="preserve">Indicators (Rule of Law dimension, 2023 vintage) and applied to the full</w:t>
      </w:r>
      <w:r>
        <w:t xml:space="preserve"> </w:t>
      </w:r>
      <w:r>
        <w:t xml:space="preserve">k = 238 global study corpus, provides the first classification capable</w:t>
      </w:r>
      <w:r>
        <w:t xml:space="preserve"> </w:t>
      </w:r>
      <w:r>
        <w:t xml:space="preserve">of testing the CIMT between-regime prediction meta-analytically across</w:t>
      </w:r>
      <w:r>
        <w:t xml:space="preserve"> </w:t>
      </w:r>
      <w:r>
        <w:t xml:space="preserve">economies ranging from Singapore (WGI +1.84) to Pakistan (WGI −0.55) and</w:t>
      </w:r>
      <w:r>
        <w:t xml:space="preserve"> </w:t>
      </w:r>
      <w:r>
        <w:t xml:space="preserve">Iran (WGI −0.74).</w:t>
      </w:r>
    </w:p>
    <w:p>
      <w:pPr>
        <w:pStyle w:val="BodyText"/>
      </w:pPr>
      <w:r>
        <w:rPr>
          <w:bCs/>
          <w:b/>
        </w:rPr>
        <w:t xml:space="preserve">Hypothesis 1 (H1, ICRV between-regime heterogeneity):</w:t>
      </w:r>
      <w:r>
        <w:t xml:space="preserve"> </w:t>
      </w:r>
      <w:r>
        <w:t xml:space="preserve">Pooled I→P</w:t>
      </w:r>
      <w:r>
        <w:t xml:space="preserve"> </w:t>
      </w:r>
      <w:r>
        <w:t xml:space="preserve">effect sizes vary systematically across ICRV institutional regimes, with</w:t>
      </w:r>
      <w:r>
        <w:t xml:space="preserve"> </w:t>
      </w:r>
      <w:r>
        <w:t xml:space="preserve">Advanced-regime studies expected to show the largest average effects,</w:t>
      </w:r>
      <w:r>
        <w:t xml:space="preserve"> </w:t>
      </w:r>
      <w:r>
        <w:t xml:space="preserve">because formal institutions, contract enforcement, IP protection, and</w:t>
      </w:r>
      <w:r>
        <w:t xml:space="preserve"> </w:t>
      </w:r>
      <w:r>
        <w:t xml:space="preserve">reduced liability of foreignness, amplify the productivity returns to</w:t>
      </w:r>
      <w:r>
        <w:t xml:space="preserve"> </w:t>
      </w:r>
      <w:r>
        <w:t xml:space="preserve">international expansion through rent protection, LOF attenuation, and</w:t>
      </w:r>
      <w:r>
        <w:t xml:space="preserve"> </w:t>
      </w:r>
      <w:r>
        <w:t xml:space="preserve">void-cost reduction (Khanna &amp; Palepu, 2010; North, 1990; Zaheer, 1995).</w:t>
      </w:r>
      <w:r>
        <w:t xml:space="preserve"> </w:t>
      </w:r>
      <w:r>
        <w:t xml:space="preserve">Formally: the between-regime Q_M test for ICRV is statistically</w:t>
      </w:r>
      <w:r>
        <w:t xml:space="preserve"> </w:t>
      </w:r>
      <w:r>
        <w:t xml:space="preserve">significant (</w:t>
      </w:r>
      <w:r>
        <w:rPr>
          <w:iCs/>
          <w:i/>
        </w:rPr>
        <w:t xml:space="preserve">p</w:t>
      </w:r>
      <w:r>
        <w:t xml:space="preserve"> </w:t>
      </w:r>
      <w:r>
        <w:t xml:space="preserve">&lt; .05), and the point estimate for Advanced-regime</w:t>
      </w:r>
      <w:r>
        <w:t xml:space="preserve"> </w:t>
      </w:r>
      <w:r>
        <w:t xml:space="preserve">studies (ICRV-I) exceeds those for Emerging (ICRV-III) and Mixed-regime</w:t>
      </w:r>
      <w:r>
        <w:t xml:space="preserve"> </w:t>
      </w:r>
      <w:r>
        <w:t xml:space="preserve">(MX) studies. The directional ordering among Frontier studies (ICRV-FR)</w:t>
      </w:r>
      <w:r>
        <w:t xml:space="preserve"> </w:t>
      </w:r>
      <w:r>
        <w:t xml:space="preserve">is treated as an exploratory question pending adequate</w:t>
      </w:r>
      <w:r>
        <w:t xml:space="preserve"> </w:t>
      </w:r>
      <w:r>
        <w:rPr>
          <w:iCs/>
          <w:i/>
        </w:rPr>
        <w:t xml:space="preserve">k</w:t>
      </w:r>
      <w:r>
        <w:t xml:space="preserve"> </w:t>
      </w:r>
      <w:r>
        <w:t xml:space="preserve">in that group</w:t>
      </w:r>
      <w:r>
        <w:t xml:space="preserve"> </w:t>
      </w:r>
      <w:r>
        <w:t xml:space="preserve">(see Exploratory Propositions 1a–1b).</w:t>
      </w:r>
    </w:p>
    <w:p>
      <w:pPr>
        <w:pStyle w:val="BodyText"/>
      </w:pPr>
      <w:r>
        <w:rPr>
          <w:iCs/>
          <w:i/>
        </w:rPr>
        <w:t xml:space="preserve">Exploratory Proposition 1a (E1a):</w:t>
      </w:r>
      <w:r>
        <w:t xml:space="preserve"> </w:t>
      </w:r>
      <w:r>
        <w:t xml:space="preserve">Studies drawing on Advanced-regime</w:t>
      </w:r>
      <w:r>
        <w:t xml:space="preserve"> </w:t>
      </w:r>
      <w:r>
        <w:t xml:space="preserve">firms (ICRV-I) are expected to show the largest pooled I→P effect,</w:t>
      </w:r>
      <w:r>
        <w:t xml:space="preserve"> </w:t>
      </w:r>
      <w:r>
        <w:t xml:space="preserve">reflecting simultaneous activation of the three CIMT rent-protection,</w:t>
      </w:r>
      <w:r>
        <w:t xml:space="preserve"> </w:t>
      </w:r>
      <w:r>
        <w:t xml:space="preserve">LOF-attenuation, and void-elimination mechanisms. The direction of E1a</w:t>
      </w:r>
      <w:r>
        <w:t xml:space="preserve"> </w:t>
      </w:r>
      <w:r>
        <w:t xml:space="preserve">is confirmatory; the magnitude is not pre-specified given heterogeneity</w:t>
      </w:r>
      <w:r>
        <w:t xml:space="preserve"> </w:t>
      </w:r>
      <w:r>
        <w:t xml:space="preserve">in DOI measurement and performance construct across ICRV-I studies.</w:t>
      </w:r>
    </w:p>
    <w:p>
      <w:pPr>
        <w:pStyle w:val="BodyText"/>
      </w:pPr>
      <w:r>
        <w:rPr>
          <w:iCs/>
          <w:i/>
        </w:rPr>
        <w:t xml:space="preserve">Exploratory Proposition 1b (E1b):</w:t>
      </w:r>
      <w:r>
        <w:t xml:space="preserve"> </w:t>
      </w:r>
      <w:r>
        <w:t xml:space="preserve">Studies drawing on Frontier-regime</w:t>
      </w:r>
      <w:r>
        <w:t xml:space="preserve"> </w:t>
      </w:r>
      <w:r>
        <w:t xml:space="preserve">firms (ICRV-FR) are expected to show the smallest, potentially null or</w:t>
      </w:r>
      <w:r>
        <w:t xml:space="preserve"> </w:t>
      </w:r>
      <w:r>
        <w:t xml:space="preserve">negative, pooled I→P effect, reflecting the dominance of institutional</w:t>
      </w:r>
      <w:r>
        <w:t xml:space="preserve"> </w:t>
      </w:r>
      <w:r>
        <w:t xml:space="preserve">void amplification costs over scale and learning returns. E1b is treated</w:t>
      </w:r>
      <w:r>
        <w:t xml:space="preserve"> </w:t>
      </w:r>
      <w:r>
        <w:t xml:space="preserve">as exploratory rather than confirmatory because current Frontier-group</w:t>
      </w:r>
      <w:r>
        <w:t xml:space="preserve"> </w:t>
      </w:r>
      <w:r>
        <w:rPr>
          <w:iCs/>
          <w:i/>
        </w:rPr>
        <w:t xml:space="preserve">k</w:t>
      </w:r>
      <w:r>
        <w:t xml:space="preserve"> </w:t>
      </w:r>
      <w:r>
        <w:t xml:space="preserve">= 3 is insufficient for reliable inference (at α = .05, minimum k</w:t>
      </w:r>
      <w:r>
        <w:t xml:space="preserve"> </w:t>
      </w:r>
      <w:r>
        <w:t xml:space="preserve">for stable random-effects moderation is typically k ≥ 10; Valentine et</w:t>
      </w:r>
      <w:r>
        <w:t xml:space="preserve"> </w:t>
      </w:r>
      <w:r>
        <w:t xml:space="preserve">al., 2010).</w:t>
      </w:r>
    </w:p>
    <w:bookmarkEnd w:id="23"/>
    <w:bookmarkStart w:id="24" w:name="X2deb80d12906b7a6f29f11e064c8a8329815dad"/>
    <w:p>
      <w:pPr>
        <w:pStyle w:val="Heading3"/>
      </w:pPr>
      <w:r>
        <w:t xml:space="preserve">2.3 Digital Paradox Lifecycle (DPL, New, Hm2)</w:t>
      </w:r>
    </w:p>
    <w:p>
      <w:pPr>
        <w:pStyle w:val="FirstParagraph"/>
      </w:pPr>
      <w:r>
        <w:t xml:space="preserve">The Digital Paradox Lifecycle is a temporal moderator grounded in</w:t>
      </w:r>
      <w:r>
        <w:t xml:space="preserve"> </w:t>
      </w:r>
      <w:r>
        <w:t xml:space="preserve">Brynjolfsson et al.'s (2021) productivity J-curve and David's (1990)</w:t>
      </w:r>
      <w:r>
        <w:t xml:space="preserve"> </w:t>
      </w:r>
      <w:r>
        <w:t xml:space="preserve">dynamo analogy. David's (1990) study of the transition from steam power</w:t>
      </w:r>
      <w:r>
        <w:t xml:space="preserve"> </w:t>
      </w:r>
      <w:r>
        <w:t xml:space="preserve">to electrification demonstrated that general-purpose technologies</w:t>
      </w:r>
      <w:r>
        <w:t xml:space="preserve"> </w:t>
      </w:r>
      <w:r>
        <w:t xml:space="preserve">require decades of complementary investment, in organizational</w:t>
      </w:r>
      <w:r>
        <w:t xml:space="preserve"> </w:t>
      </w:r>
      <w:r>
        <w:t xml:space="preserve">practices, worker skills, and infrastructure, before their productivity</w:t>
      </w:r>
      <w:r>
        <w:t xml:space="preserve"> </w:t>
      </w:r>
      <w:r>
        <w:t xml:space="preserve">benefits materialize. Brynjolfsson et al. (2021) applied this analogy to</w:t>
      </w:r>
      <w:r>
        <w:t xml:space="preserve"> </w:t>
      </w:r>
      <w:r>
        <w:t xml:space="preserve">the AI era, documenting a J-curve in which productivity first stagnates</w:t>
      </w:r>
      <w:r>
        <w:t xml:space="preserve"> </w:t>
      </w:r>
      <w:r>
        <w:t xml:space="preserve">as firms invest in digital infrastructure and then accelerates as</w:t>
      </w:r>
      <w:r>
        <w:t xml:space="preserve"> </w:t>
      </w:r>
      <w:r>
        <w:t xml:space="preserve">complementary assets mature. We extend this framework to the I→P</w:t>
      </w:r>
      <w:r>
        <w:t xml:space="preserve"> </w:t>
      </w:r>
      <w:r>
        <w:t xml:space="preserve">literature, arguing that the coordination cost compression enabled by</w:t>
      </w:r>
      <w:r>
        <w:t xml:space="preserve"> </w:t>
      </w:r>
      <w:r>
        <w:t xml:space="preserve">digital platforms follows a similar J-curve at the aggregate study</w:t>
      </w:r>
      <w:r>
        <w:t xml:space="preserve"> </w:t>
      </w:r>
      <w:r>
        <w:t xml:space="preserve">level.</w:t>
      </w:r>
    </w:p>
    <w:p>
      <w:pPr>
        <w:pStyle w:val="BodyText"/>
      </w:pPr>
      <w:r>
        <w:t xml:space="preserve">Three DPL phases characterize the digital transformation of</w:t>
      </w:r>
      <w:r>
        <w:t xml:space="preserve"> </w:t>
      </w:r>
      <w:r>
        <w:t xml:space="preserve">internationalization:</w:t>
      </w:r>
    </w:p>
    <w:p>
      <w:pPr>
        <w:numPr>
          <w:ilvl w:val="0"/>
          <w:numId w:val="1001"/>
        </w:numPr>
        <w:pStyle w:val="Compact"/>
      </w:pPr>
      <w:r>
        <w:rPr>
          <w:bCs/>
          <w:b/>
        </w:rPr>
        <w:t xml:space="preserve">Precede</w:t>
      </w:r>
      <w:r>
        <w:t xml:space="preserve"> </w:t>
      </w:r>
      <w:r>
        <w:t xml:space="preserve">(data collected predominantly before 2009): Low digital</w:t>
      </w:r>
      <w:r>
        <w:t xml:space="preserve"> </w:t>
      </w:r>
      <w:r>
        <w:t xml:space="preserve">penetration in cross-border trade. B2B e-commerce platforms,</w:t>
      </w:r>
      <w:r>
        <w:t xml:space="preserve"> </w:t>
      </w:r>
      <w:r>
        <w:t xml:space="preserve">cloud-based logistics management, and electronic payment systems have</w:t>
      </w:r>
      <w:r>
        <w:t xml:space="preserve"> </w:t>
      </w:r>
      <w:r>
        <w:t xml:space="preserve">not yet achieved the critical mass necessary to alter the coordination</w:t>
      </w:r>
      <w:r>
        <w:t xml:space="preserve"> </w:t>
      </w:r>
      <w:r>
        <w:t xml:space="preserve">cost structure of international operations. I→P dynamics in this</w:t>
      </w:r>
      <w:r>
        <w:t xml:space="preserve"> </w:t>
      </w:r>
      <w:r>
        <w:t xml:space="preserve">period are governed primarily by the traditional coordination cost</w:t>
      </w:r>
      <w:r>
        <w:t xml:space="preserve"> </w:t>
      </w:r>
      <w:r>
        <w:t xml:space="preserve">mechanisms documented by Hitt et al. (1997) and Lu and Beamish (2004);</w:t>
      </w:r>
      <w:r>
        <w:t xml:space="preserve"> </w:t>
      </w:r>
      <w:r>
        <w:t xml:space="preserve">the inverted-U is the expected modal form.</w:t>
      </w:r>
    </w:p>
    <w:p>
      <w:pPr>
        <w:numPr>
          <w:ilvl w:val="0"/>
          <w:numId w:val="1001"/>
        </w:numPr>
        <w:pStyle w:val="Compact"/>
      </w:pPr>
      <w:r>
        <w:rPr>
          <w:bCs/>
          <w:b/>
        </w:rPr>
        <w:t xml:space="preserve">Span</w:t>
      </w:r>
      <w:r>
        <w:t xml:space="preserve"> </w:t>
      </w:r>
      <w:r>
        <w:t xml:space="preserve">(data spanning 2005–2014): A transitional period in which</w:t>
      </w:r>
      <w:r>
        <w:t xml:space="preserve"> </w:t>
      </w:r>
      <w:r>
        <w:t xml:space="preserve">digital infrastructure is being built and firms begin to experiment</w:t>
      </w:r>
      <w:r>
        <w:t xml:space="preserve"> </w:t>
      </w:r>
      <w:r>
        <w:t xml:space="preserve">with digital coordination tools. The productivity effects are mixed:</w:t>
      </w:r>
      <w:r>
        <w:t xml:space="preserve"> </w:t>
      </w:r>
      <w:r>
        <w:t xml:space="preserve">early adopters may benefit from coordination cost reductions, but the</w:t>
      </w:r>
      <w:r>
        <w:t xml:space="preserve"> </w:t>
      </w:r>
      <w:r>
        <w:t xml:space="preserve">majority of firms have not yet accumulated the complementary</w:t>
      </w:r>
      <w:r>
        <w:t xml:space="preserve"> </w:t>
      </w:r>
      <w:r>
        <w:t xml:space="preserve">organizational capabilities (digital routines, platform-integrated</w:t>
      </w:r>
      <w:r>
        <w:t xml:space="preserve"> </w:t>
      </w:r>
      <w:r>
        <w:t xml:space="preserve">supply chains) to translate infrastructure availability into</w:t>
      </w:r>
      <w:r>
        <w:t xml:space="preserve"> </w:t>
      </w:r>
      <w:r>
        <w:t xml:space="preserve">productivity gains. I→P effect sizes in this period should be</w:t>
      </w:r>
      <w:r>
        <w:t xml:space="preserve"> </w:t>
      </w:r>
      <w:r>
        <w:t xml:space="preserve">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w:t>
      </w:r>
      <w:r>
        <w:t xml:space="preserve"> </w:t>
      </w:r>
      <w:r>
        <w:t xml:space="preserve">platforms, including cloud-based logistics, B2B e-commerce,</w:t>
      </w:r>
      <w:r>
        <w:t xml:space="preserve"> </w:t>
      </w:r>
      <w:r>
        <w:t xml:space="preserve">electronic payment systems, and digital trade finance, have reached</w:t>
      </w:r>
      <w:r>
        <w:t xml:space="preserve"> </w:t>
      </w:r>
      <w:r>
        <w:t xml:space="preserve">sufficient maturity and penetration in the Asia-Pacific region to</w:t>
      </w:r>
      <w:r>
        <w:t xml:space="preserve"> </w:t>
      </w:r>
      <w:r>
        <w:t xml:space="preserve">systematically compress coordination costs for internationalizing</w:t>
      </w:r>
      <w:r>
        <w:t xml:space="preserve"> </w:t>
      </w:r>
      <w:r>
        <w:t xml:space="preserve">firms. The complementary organizational investment lag documented by</w:t>
      </w:r>
      <w:r>
        <w:t xml:space="preserve"> </w:t>
      </w:r>
      <w:r>
        <w:t xml:space="preserve">Brynjolfsson et al. (2021) has been substantially absorbed; the</w:t>
      </w:r>
      <w:r>
        <w:t xml:space="preserve"> </w:t>
      </w:r>
      <w:r>
        <w:t xml:space="preserve">productivity J-curve has passed its inflection point. I→P effect sizes</w:t>
      </w:r>
      <w:r>
        <w:t xml:space="preserve"> </w:t>
      </w:r>
      <w:r>
        <w:t xml:space="preserve">in this period should be largest.</w:t>
      </w:r>
    </w:p>
    <w:p>
      <w:pPr>
        <w:pStyle w:val="FirstParagraph"/>
      </w:pPr>
      <w:r>
        <w:t xml:space="preserve">The choice of 2009 as the primary inflection point is grounded in three</w:t>
      </w:r>
      <w:r>
        <w:t xml:space="preserve"> </w:t>
      </w:r>
      <w:r>
        <w:t xml:space="preserve">empirical anchors: (1) the global proliferation of smartphones and</w:t>
      </w:r>
      <w:r>
        <w:t xml:space="preserve"> </w:t>
      </w:r>
      <w:r>
        <w:t xml:space="preserve">mobile internet (2007–2009) transformed cross-border communication</w:t>
      </w:r>
      <w:r>
        <w:t xml:space="preserve"> </w:t>
      </w:r>
      <w:r>
        <w:t xml:space="preserve">costs; (2) the rapid growth of B2B e-commerce platforms in China and</w:t>
      </w:r>
      <w:r>
        <w:t xml:space="preserve"> </w:t>
      </w:r>
      <w:r>
        <w:t xml:space="preserve">Southeast Asia (Alibaba B2B international: 2008–2010; Lazada: 2011;</w:t>
      </w:r>
      <w:r>
        <w:t xml:space="preserve"> </w:t>
      </w:r>
      <w:r>
        <w:t xml:space="preserve">Tokopedia: 2009) created new digital trade infrastructure specifically</w:t>
      </w:r>
      <w:r>
        <w:t xml:space="preserve"> </w:t>
      </w:r>
      <w:r>
        <w:t xml:space="preserve">suited to emerging Asia-Pacific exporters; (3) the 2009 global financial</w:t>
      </w:r>
      <w:r>
        <w:t xml:space="preserve"> </w:t>
      </w:r>
      <w:r>
        <w:t xml:space="preserve">crisis accelerated digital adoption among SMEs as a cost-reduction</w:t>
      </w:r>
      <w:r>
        <w:t xml:space="preserve"> </w:t>
      </w:r>
      <w:r>
        <w:t xml:space="preserve">strategy. These three concurrent developments make 2009 a defensible</w:t>
      </w:r>
      <w:r>
        <w:t xml:space="preserve"> </w:t>
      </w:r>
      <w:r>
        <w:t xml:space="preserve">global inflection point for digital adoption in trade-oriented economies</w:t>
      </w:r>
      <w:r>
        <w:t xml:space="preserve"> </w:t>
      </w:r>
      <w:r>
        <w:t xml:space="preserve">rather than an arbitrary choice; the Asia-Pacific region, home to 52%</w:t>
      </w:r>
      <w:r>
        <w:t xml:space="preserve"> </w:t>
      </w:r>
      <w:r>
        <w:t xml:space="preserve">of the k = 238 corpus, was a primary site of this diffusion.</w:t>
      </w:r>
    </w:p>
    <w:p>
      <w:pPr>
        <w:pStyle w:val="BodyText"/>
      </w:pPr>
      <w:r>
        <w:rPr>
          <w:bCs/>
          <w:b/>
        </w:rPr>
        <w:t xml:space="preserve">Hypothesis 2 (H2, DPL phase):</w:t>
      </w:r>
      <w:r>
        <w:t xml:space="preserve"> </w:t>
      </w:r>
      <w:r>
        <w:t xml:space="preserve">Studies drawing predominantly on</w:t>
      </w:r>
      <w:r>
        <w:t xml:space="preserve"> </w:t>
      </w:r>
      <w:r>
        <w:t xml:space="preserve">post-2014 data (DPL Follow phase) are expected to show larger pooled I→P</w:t>
      </w:r>
      <w:r>
        <w:t xml:space="preserve"> </w:t>
      </w:r>
      <w:r>
        <w:t xml:space="preserve">effects than studies drawing on pre-2009 data (DPL Precede phase),</w:t>
      </w:r>
      <w:r>
        <w:t xml:space="preserve"> </w:t>
      </w:r>
      <w:r>
        <w:t xml:space="preserve">because digital platforms had reached the maturity threshold at which</w:t>
      </w:r>
      <w:r>
        <w:t xml:space="preserve"> </w:t>
      </w:r>
      <w:r>
        <w:t xml:space="preserve">coordination-cost compression systematically raises the net productivity</w:t>
      </w:r>
      <w:r>
        <w:t xml:space="preserve"> </w:t>
      </w:r>
      <w:r>
        <w:t xml:space="preserve">return to international expansion (Brynjolfsson et al., 2021; David,</w:t>
      </w:r>
      <w:r>
        <w:t xml:space="preserve"> </w:t>
      </w:r>
      <w:r>
        <w:t xml:space="preserve">1990). Span-phase studies (data spanning 2005–2014) are expected to show</w:t>
      </w:r>
      <w:r>
        <w:t xml:space="preserve"> </w:t>
      </w:r>
      <w:r>
        <w:t xml:space="preserve">intermediate effects, reflecting the transitional period in which</w:t>
      </w:r>
      <w:r>
        <w:t xml:space="preserve"> </w:t>
      </w:r>
      <w:r>
        <w:t xml:space="preserve">digital infrastructure was building but complementary organizational</w:t>
      </w:r>
      <w:r>
        <w:t xml:space="preserve"> </w:t>
      </w:r>
      <w:r>
        <w:t xml:space="preserve">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w:t>
      </w:r>
      <w:r>
        <w:t xml:space="preserve"> </w:t>
      </w:r>
      <w:r>
        <w:t xml:space="preserve">This prediction is bounded by the Brynjolfsson et al. (2021) J-curve</w:t>
      </w:r>
      <w:r>
        <w:t xml:space="preserve"> </w:t>
      </w:r>
      <w:r>
        <w:t xml:space="preserve">logic: even if the DPL effect is real, the statistical precision of the</w:t>
      </w:r>
      <w:r>
        <w:t xml:space="preserve"> </w:t>
      </w:r>
      <w:r>
        <w:rPr>
          <w:iCs/>
          <w:i/>
        </w:rPr>
        <w:t xml:space="preserve">Q</w:t>
      </w:r>
      <w:r>
        <w:t xml:space="preserve">_M test depends on within-phase k and cross-phase variance in effect</w:t>
      </w:r>
      <w:r>
        <w:t xml:space="preserve"> </w:t>
      </w:r>
      <w:r>
        <w:t xml:space="preserve">sizes, below approximately k = 30 per phase, the between-group test is</w:t>
      </w:r>
      <w:r>
        <w:t xml:space="preserve"> </w:t>
      </w:r>
      <w:r>
        <w:t xml:space="preserve">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w:t>
      </w:r>
      <w:r>
        <w:t xml:space="preserve"> </w:t>
      </w:r>
      <w:r>
        <w:t xml:space="preserve">captures the aggregate availability of digital infrastructure as a</w:t>
      </w:r>
      <w:r>
        <w:t xml:space="preserve"> </w:t>
      </w:r>
      <w:r>
        <w:t xml:space="preserve">coordination-enabling environment. It is analytically distinct from</w:t>
      </w:r>
      <w:r>
        <w:t xml:space="preserve"> </w:t>
      </w:r>
      <w:r>
        <w:t xml:space="preserve">firm-level digital adoption (DAI) in two important respects. First, cDAI</w:t>
      </w:r>
      <w:r>
        <w:t xml:space="preserve"> </w:t>
      </w:r>
      <w:r>
        <w:t xml:space="preserve">is an</w:t>
      </w:r>
      <w:r>
        <w:t xml:space="preserve"> </w:t>
      </w:r>
      <w:r>
        <w:rPr>
          <w:iCs/>
          <w:i/>
        </w:rPr>
        <w:t xml:space="preserve">ecosystem property</w:t>
      </w:r>
      <w:r>
        <w:t xml:space="preserve"> </w:t>
      </w:r>
      <w:r>
        <w:t xml:space="preserve">rather than a firm choice: it reflects the</w:t>
      </w:r>
      <w:r>
        <w:t xml:space="preserve"> </w:t>
      </w:r>
      <w:r>
        <w:t xml:space="preserve">density of broadband coverage, electronic payment infrastructure,</w:t>
      </w:r>
      <w:r>
        <w:t xml:space="preserve"> </w:t>
      </w:r>
      <w:r>
        <w:t xml:space="preserve">digital identity systems, and regulatory support for digital commerce</w:t>
      </w:r>
      <w:r>
        <w:t xml:space="preserve"> </w:t>
      </w:r>
      <w:r>
        <w:t xml:space="preserve">that exists in a country's economic environment regardless of any</w:t>
      </w:r>
      <w:r>
        <w:t xml:space="preserve"> </w:t>
      </w:r>
      <w:r>
        <w:t xml:space="preserve">individual firm's adoption decision. Second, cDAI operates at the</w:t>
      </w:r>
      <w:r>
        <w:t xml:space="preserve"> </w:t>
      </w:r>
      <w:r>
        <w:t xml:space="preserve">between-study level in a meta-analysis: variation in the pooled I→P</w:t>
      </w:r>
      <w:r>
        <w:t xml:space="preserve"> </w:t>
      </w:r>
      <w:r>
        <w:t xml:space="preserve">effect across studies is partly attributable to variation in the</w:t>
      </w:r>
      <w:r>
        <w:t xml:space="preserve"> </w:t>
      </w:r>
      <w:r>
        <w:t xml:space="preserve">national digital infrastructure environments from which those studies'</w:t>
      </w:r>
      <w:r>
        <w:t xml:space="preserve"> </w:t>
      </w:r>
      <w:r>
        <w:t xml:space="preserve">samples were drawn.</w:t>
      </w:r>
    </w:p>
    <w:p>
      <w:pPr>
        <w:pStyle w:val="BodyText"/>
      </w:pPr>
      <w:r>
        <w:t xml:space="preserve">Measurement of cDAI follows established indices. The primary source is</w:t>
      </w:r>
      <w:r>
        <w:t xml:space="preserve"> </w:t>
      </w:r>
      <w:r>
        <w:t xml:space="preserve">the World Bank Digital Adoption Index (2016 vintage: Knomad/ICT; updated</w:t>
      </w:r>
      <w:r>
        <w:t xml:space="preserve"> </w:t>
      </w:r>
      <w:r>
        <w:t xml:space="preserve">through ITU Digital Development Index for 2017–2026), which aggregates</w:t>
      </w:r>
      <w:r>
        <w:t xml:space="preserve"> </w:t>
      </w:r>
      <w:r>
        <w:t xml:space="preserve">Tier-1 and Tier-2 digital adoption across government, business, and</w:t>
      </w:r>
      <w:r>
        <w:t xml:space="preserve"> </w:t>
      </w:r>
      <w:r>
        <w:t xml:space="preserve">household sectors into a composite 0–1 score (Sahay et al., 2020). For</w:t>
      </w:r>
      <w:r>
        <w:t xml:space="preserve"> </w:t>
      </w:r>
      <w:r>
        <w:t xml:space="preserve">studies where country-year DAI scores are unavailable, the ITU ICT</w:t>
      </w:r>
      <w:r>
        <w:t xml:space="preserve"> </w:t>
      </w:r>
      <w:r>
        <w:t xml:space="preserve">Development Index serves as a substitute, with linear rescaling to 0–1.</w:t>
      </w:r>
      <w:r>
        <w:t xml:space="preserve"> </w:t>
      </w:r>
      <w:r>
        <w:t xml:space="preserve">Country-year assignment follows the dominant data period of each study:</w:t>
      </w:r>
      <w:r>
        <w:t xml:space="preserve"> </w:t>
      </w:r>
      <w:r>
        <w:t xml:space="preserve">a study using 2018–2020 panel data from Vietnam is assigned Vietnam's</w:t>
      </w:r>
      <w:r>
        <w:t xml:space="preserve"> </w:t>
      </w:r>
      <w:r>
        <w:t xml:space="preserve">2019 cDAI score.</w:t>
      </w:r>
    </w:p>
    <w:p>
      <w:pPr>
        <w:pStyle w:val="BodyText"/>
      </w:pPr>
      <w:r>
        <w:t xml:space="preserve">The mechanism by which cDAI amplifies the I→P relationship operates</w:t>
      </w:r>
      <w:r>
        <w:t xml:space="preserve"> </w:t>
      </w:r>
      <w:r>
        <w:t xml:space="preserve">through the</w:t>
      </w:r>
      <w:r>
        <w:t xml:space="preserve"> </w:t>
      </w:r>
      <w:r>
        <w:rPr>
          <w:iCs/>
          <w:i/>
        </w:rPr>
        <w:t xml:space="preserve">coordination platform effect</w:t>
      </w:r>
      <w:r>
        <w:t xml:space="preserve"> </w:t>
      </w:r>
      <w:r>
        <w:t xml:space="preserve">(Stallkamp &amp; Schotter, 2021):</w:t>
      </w:r>
      <w:r>
        <w:t xml:space="preserve"> </w:t>
      </w:r>
      <w:r>
        <w:t xml:space="preserve">in countries where Tier-1 and Tier-2 digital tools are widely diffused,</w:t>
      </w:r>
      <w:r>
        <w:t xml:space="preserve"> </w:t>
      </w:r>
      <w:r>
        <w:t xml:space="preserve">firms face a richer ecosystem of digital coordination channels that</w:t>
      </w:r>
      <w:r>
        <w:t xml:space="preserve"> </w:t>
      </w:r>
      <w:r>
        <w:t xml:space="preserve">reduce the per-unit cost of cross-border transactions. This reduction is</w:t>
      </w:r>
      <w:r>
        <w:t xml:space="preserve"> </w:t>
      </w:r>
      <w:r>
        <w:t xml:space="preserve">not uniform across all export intensities. For firms at low</w:t>
      </w:r>
      <w:r>
        <w:t xml:space="preserve"> </w:t>
      </w:r>
      <w:r>
        <w:t xml:space="preserve">internationalization intensities, the availability of digital</w:t>
      </w:r>
      <w:r>
        <w:t xml:space="preserve"> </w:t>
      </w:r>
      <w:r>
        <w:t xml:space="preserve">coordination tools may not generate measurable I→P gains because the</w:t>
      </w:r>
      <w:r>
        <w:t xml:space="preserve"> </w:t>
      </w:r>
      <w:r>
        <w:t xml:space="preserve">volume of cross-border transactions does not justify intensive use of</w:t>
      </w:r>
      <w:r>
        <w:t xml:space="preserve"> </w:t>
      </w:r>
      <w:r>
        <w:t xml:space="preserve">digital platforms. For firms at higher internationalization intensities,</w:t>
      </w:r>
      <w:r>
        <w:t xml:space="preserve"> </w:t>
      </w:r>
      <w:r>
        <w:t xml:space="preserve">however, digital coordination tools become critically</w:t>
      </w:r>
      <w:r>
        <w:t xml:space="preserve"> </w:t>
      </w:r>
      <w:r>
        <w:t xml:space="preserve">productivity-relevant as they substitute for the physical coordination</w:t>
      </w:r>
      <w:r>
        <w:t xml:space="preserve"> </w:t>
      </w:r>
      <w:r>
        <w:t xml:space="preserve">investments that would otherwise be required (Bharadwaj et al., 2013;</w:t>
      </w:r>
      <w:r>
        <w:t xml:space="preserve"> </w:t>
      </w:r>
      <w:r>
        <w:t xml:space="preserve">Verhoef et al., 2021). The cDAI amplification therefore predicts a</w:t>
      </w:r>
      <w:r>
        <w:t xml:space="preserve"> </w:t>
      </w:r>
      <w:r>
        <w:t xml:space="preserve">positive meta-regression coefficient in a study-level regression where</w:t>
      </w:r>
      <w:r>
        <w:t xml:space="preserve"> </w:t>
      </w:r>
      <w:r>
        <w:t xml:space="preserve">cDAI scores predict pooled I→P effect sizes, reflecting the</w:t>
      </w:r>
      <w:r>
        <w:t xml:space="preserve"> </w:t>
      </w:r>
      <w:r>
        <w:t xml:space="preserve">country-level analog of the export-contingent digital complementarity</w:t>
      </w:r>
      <w:r>
        <w:t xml:space="preserve"> </w:t>
      </w:r>
      <w:r>
        <w:t xml:space="preserve">mechanism documented at the firm level in the Asia-Pacific primary</w:t>
      </w:r>
      <w:r>
        <w:t xml:space="preserve"> </w:t>
      </w:r>
      <w:r>
        <w:t xml:space="preserve">studies.</w:t>
      </w:r>
    </w:p>
    <w:p>
      <w:pPr>
        <w:pStyle w:val="BodyText"/>
      </w:pPr>
      <w:r>
        <w:t xml:space="preserve">The cDAI amplification is expected to be concentrated in the DPL Follow</w:t>
      </w:r>
      <w:r>
        <w:t xml:space="preserve"> </w:t>
      </w:r>
      <w:r>
        <w:t xml:space="preserve">phase (post-2014) because it is only in this period that digital</w:t>
      </w:r>
      <w:r>
        <w:t xml:space="preserve"> </w:t>
      </w:r>
      <w:r>
        <w:t xml:space="preserve">infrastructure has reached sufficient maturity to serve as a</w:t>
      </w:r>
      <w:r>
        <w:t xml:space="preserve"> </w:t>
      </w:r>
      <w:r>
        <w:t xml:space="preserve">coordination platform rather than a mere communication tool. In the</w:t>
      </w:r>
      <w:r>
        <w:t xml:space="preserve"> </w:t>
      </w:r>
      <w:r>
        <w:t xml:space="preserve">Precede phase, high cDAI does not yet translate into coordination cost</w:t>
      </w:r>
      <w:r>
        <w:t xml:space="preserve"> </w:t>
      </w:r>
      <w:r>
        <w:t xml:space="preserve">compression because B2B digital platforms and electronic payment systems</w:t>
      </w:r>
      <w:r>
        <w:t xml:space="preserve"> </w:t>
      </w:r>
      <w:r>
        <w:t xml:space="preserve">are not yet integrated into international trade workflows. In the Follow</w:t>
      </w:r>
      <w:r>
        <w:t xml:space="preserve"> </w:t>
      </w:r>
      <w:r>
        <w:t xml:space="preserve">phase, the same cDAI level enables firms to access a fully integrated</w:t>
      </w:r>
      <w:r>
        <w:t xml:space="preserve"> </w:t>
      </w:r>
      <w:r>
        <w:t xml:space="preserve">digital coordination ecosystem, generating the amplification predicted</w:t>
      </w:r>
      <w:r>
        <w:t xml:space="preserve"> </w:t>
      </w:r>
      <w:r>
        <w:t xml:space="preserve">by H3.</w:t>
      </w:r>
    </w:p>
    <w:p>
      <w:pPr>
        <w:pStyle w:val="BodyText"/>
      </w:pPr>
      <w:r>
        <w:t xml:space="preserve">Bustamante et al. (2022) provide the closest prior evidence: they find</w:t>
      </w:r>
      <w:r>
        <w:t xml:space="preserve"> </w:t>
      </w:r>
      <w:r>
        <w:t xml:space="preserve">that national digital capabilities interact with institutional quality</w:t>
      </w:r>
      <w:r>
        <w:t xml:space="preserve"> </w:t>
      </w:r>
      <w:r>
        <w:t xml:space="preserve">in determining SME internationalization success in a cross-country</w:t>
      </w:r>
      <w:r>
        <w:t xml:space="preserve"> </w:t>
      </w:r>
      <w:r>
        <w:t xml:space="preserve">sample. The present study extends this finding to the meta-analytic</w:t>
      </w:r>
      <w:r>
        <w:t xml:space="preserve"> </w:t>
      </w:r>
      <w:r>
        <w:t xml:space="preserve">level and introduces the DPL phase as a temporal boundary condition that</w:t>
      </w:r>
      <w:r>
        <w:t xml:space="preserve"> </w:t>
      </w:r>
      <w:r>
        <w:t xml:space="preserve">moderates when cDAI amplification is detectable.</w:t>
      </w:r>
    </w:p>
    <w:p>
      <w:pPr>
        <w:pStyle w:val="BodyText"/>
      </w:pPr>
      <w:r>
        <w:rPr>
          <w:bCs/>
          <w:b/>
        </w:rPr>
        <w:t xml:space="preserve">Hypothesis 3 (H3, cDAI amplification):</w:t>
      </w:r>
      <w:r>
        <w:t xml:space="preserve"> </w:t>
      </w:r>
      <w:r>
        <w:t xml:space="preserve">Studies drawing on samples</w:t>
      </w:r>
      <w:r>
        <w:t xml:space="preserve"> </w:t>
      </w:r>
      <w:r>
        <w:t xml:space="preserve">from high-cDAI national contexts are expected to show larger pooled I→P</w:t>
      </w:r>
      <w:r>
        <w:t xml:space="preserve"> </w:t>
      </w:r>
      <w:r>
        <w:t xml:space="preserve">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w:t>
      </w:r>
      <w:r>
        <w:t xml:space="preserve"> </w:t>
      </w:r>
      <w:r>
        <w:t xml:space="preserve">.05), because mature national digital infrastructure reduces the</w:t>
      </w:r>
      <w:r>
        <w:t xml:space="preserve"> </w:t>
      </w:r>
      <w:r>
        <w:t xml:space="preserve">per-unit coordination cost of cross-border expansion through the</w:t>
      </w:r>
      <w:r>
        <w:t xml:space="preserve"> </w:t>
      </w:r>
      <w:r>
        <w:t xml:space="preserve">coordination platform effect (Stallkamp &amp; Schotter, 2021). The cDAI</w:t>
      </w:r>
      <w:r>
        <w:t xml:space="preserve"> </w:t>
      </w:r>
      <w:r>
        <w:t xml:space="preserve">amplification is operationalized as a between-group comparison across</w:t>
      </w:r>
      <w:r>
        <w:t xml:space="preserve"> </w:t>
      </w:r>
      <w:r>
        <w:t xml:space="preserve">three tiers (Low / Medium / High) classified from World Bank Digital</w:t>
      </w:r>
      <w:r>
        <w:t xml:space="preserve"> </w:t>
      </w:r>
      <w:r>
        <w:t xml:space="preserve">Adoption Index and ITU ICT Development Index scores, rather than as a</w:t>
      </w:r>
      <w:r>
        <w:t xml:space="preserve"> </w:t>
      </w:r>
      <w:r>
        <w:t xml:space="preserve">continuous meta-regression coefficient, because the study corpus does</w:t>
      </w:r>
      <w:r>
        <w:t xml:space="preserve"> </w:t>
      </w:r>
      <w:r>
        <w:t xml:space="preserve">not yet provide sufficient within-tier variance for reliable continuous</w:t>
      </w:r>
      <w:r>
        <w:t xml:space="preserve"> </w:t>
      </w:r>
      <w:r>
        <w:t xml:space="preserve">moderation estimation. The amplification is bounded by DPL phase: H3 is</w:t>
      </w:r>
      <w:r>
        <w:t xml:space="preserve"> </w:t>
      </w:r>
      <w:r>
        <w:t xml:space="preserve">expected to be most consistently detectable in Follow-phase studies</w:t>
      </w:r>
      <w:r>
        <w:t xml:space="preserve"> </w:t>
      </w:r>
      <w:r>
        <w:t xml:space="preserve">(post-2014), where national digital infrastructure has reached the</w:t>
      </w:r>
      <w:r>
        <w:t xml:space="preserve"> </w:t>
      </w:r>
      <w:r>
        <w:t xml:space="preserve">maturity threshold necessary to function as an active coordination</w:t>
      </w:r>
      <w:r>
        <w:t xml:space="preserve"> </w:t>
      </w:r>
      <w:r>
        <w:t xml:space="preserve">platform; in Precede-phase studies, high cDAI is not expected to amplify</w:t>
      </w:r>
      <w:r>
        <w:t xml:space="preserve"> </w:t>
      </w:r>
      <w:r>
        <w:t xml:space="preserve">I→P because B2B digital trade infrastructure had not yet achieved</w:t>
      </w:r>
      <w:r>
        <w:t xml:space="preserve"> </w:t>
      </w:r>
      <w:r>
        <w:t xml:space="preserve">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w:t>
      </w:r>
      <w:r>
        <w:t xml:space="preserve"> </w:t>
      </w:r>
      <w:r>
        <w:t xml:space="preserve">et al., 2021), we test publication bias as a formal null hypothesis:</w:t>
      </w:r>
    </w:p>
    <w:p>
      <w:pPr>
        <w:pStyle w:val="BodyText"/>
      </w:pPr>
      <w:r>
        <w:rPr>
          <w:bCs/>
          <w:b/>
        </w:rPr>
        <w:t xml:space="preserve">Hypothesis 4 (H4, Publication bias):</w:t>
      </w:r>
      <w:r>
        <w:t xml:space="preserve"> </w:t>
      </w:r>
      <w:r>
        <w:t xml:space="preserve">Selective reporting of</w:t>
      </w:r>
      <w:r>
        <w:t xml:space="preserve"> </w:t>
      </w:r>
      <w:r>
        <w:t xml:space="preserve">statistically significant positive I→P results is expected to inflate</w:t>
      </w:r>
      <w:r>
        <w:t xml:space="preserve"> </w:t>
      </w:r>
      <w:r>
        <w:t xml:space="preserve">the raw pooled effect relative to the true underlying population effect,</w:t>
      </w:r>
      <w:r>
        <w:t xml:space="preserve"> </w:t>
      </w:r>
      <w:r>
        <w:t xml:space="preserve">because positive results are more likely to be published in the I→P</w:t>
      </w:r>
      <w:r>
        <w:t xml:space="preserve"> </w:t>
      </w:r>
      <w:r>
        <w:t xml:space="preserve">literature (Borenstein et al., 2021; Dickersin, 1990). Three directional</w:t>
      </w:r>
      <w:r>
        <w:t xml:space="preserve"> </w:t>
      </w:r>
      <w:r>
        <w:t xml:space="preserve">predictions follow: (H4a) Funnel-plot asymmetry tests (Egger's</w:t>
      </w:r>
      <w:r>
        <w:t xml:space="preserve"> </w:t>
      </w:r>
      <w:r>
        <w:t xml:space="preserve">regression intercept, Begg's rank correlation) are expected to be</w:t>
      </w:r>
      <w:r>
        <w:t xml:space="preserve"> </w:t>
      </w:r>
      <w:r>
        <w:t xml:space="preserve">statistically significant, indicating that smaller-sample studies show</w:t>
      </w:r>
      <w:r>
        <w:t xml:space="preserve"> </w:t>
      </w:r>
      <w:r>
        <w:t xml:space="preserve">disproportionately large positive effects relative to the</w:t>
      </w:r>
      <w:r>
        <w:t xml:space="preserve"> </w:t>
      </w:r>
      <w:r>
        <w:t xml:space="preserve">regression-estimated pooled mean; (H4b) Duval and Tweedie's (2000)</w:t>
      </w:r>
      <w:r>
        <w:t xml:space="preserve"> </w:t>
      </w:r>
      <w:r>
        <w:t xml:space="preserve">trim-and-fill procedure is expected to impute missing studies on the</w:t>
      </w:r>
      <w:r>
        <w:t xml:space="preserve"> </w:t>
      </w:r>
      <w:r>
        <w:t xml:space="preserve">left side of the funnel (suppressed null/negative results) and produce a</w:t>
      </w:r>
      <w:r>
        <w:t xml:space="preserve"> </w:t>
      </w:r>
      <w:r>
        <w:t xml:space="preserve">bias-adjusted pooled estimate (</w:t>
      </w:r>
      <w:r>
        <w:rPr>
          <w:iCs/>
          <w:i/>
        </w:rPr>
        <w:t xml:space="preserve">r̄</w:t>
      </w:r>
      <w:r>
        <w:t xml:space="preserve">_adj) that is smaller than the raw</w:t>
      </w:r>
      <w:r>
        <w:t xml:space="preserve"> </w:t>
      </w:r>
      <w:r>
        <w:t xml:space="preserve">estimate but remains positive (</w:t>
      </w:r>
      <w:r>
        <w:rPr>
          <w:iCs/>
          <w:i/>
        </w:rPr>
        <w:t xml:space="preserve">r̄</w:t>
      </w:r>
      <w:r>
        <w:t xml:space="preserve">_adj &gt; 0); (H4c) Orwin's (1983)</w:t>
      </w:r>
      <w:r>
        <w:t xml:space="preserve"> </w:t>
      </w:r>
      <w:r>
        <w:t xml:space="preserve">fail-safe N is expected to substantially exceed the threshold of 2,000</w:t>
      </w:r>
      <w:r>
        <w:t xml:space="preserve"> </w:t>
      </w:r>
      <w:r>
        <w:t xml:space="preserve">studies required to reduce the pooled effect to a negligible level,</w:t>
      </w:r>
      <w:r>
        <w:t xml:space="preserve"> </w:t>
      </w:r>
      <w:r>
        <w:t xml:space="preserve">confirming that the positive I→P effect is not an artifact of</w:t>
      </w:r>
      <w:r>
        <w:t xml:space="preserve"> </w:t>
      </w:r>
      <w:r>
        <w:t xml:space="preserve">publication bias alone.</w:t>
      </w:r>
    </w:p>
    <w:bookmarkEnd w:id="26"/>
    <w:bookmarkStart w:id="27" w:name="X9f459728ae2c4e39aee69d49761868d88bce138"/>
    <w:p>
      <w:pPr>
        <w:pStyle w:val="Heading3"/>
      </w:pPr>
      <w:r>
        <w:t xml:space="preserve">2.6 Conceptual Model</w:t>
      </w:r>
    </w:p>
    <w:p>
      <w:pPr>
        <w:pStyle w:val="FirstParagraph"/>
      </w:pPr>
      <w:r>
        <w:t xml:space="preserve">Figure 1: Conceptual model, Three-level MARA with ICRV, cDAI, and DPL</w:t>
      </w:r>
      <w:r>
        <w:t xml:space="preserve"> </w:t>
      </w:r>
      <w:r>
        <w:t xml:space="preserve">moderators</w:t>
      </w:r>
    </w:p>
    <w:p>
      <w:pPr>
        <w:pStyle w:val="BodyText"/>
      </w:pPr>
      <w:r>
        <w:rPr>
          <w:iCs/>
          <w:i/>
        </w:rPr>
        <w:t xml:space="preserve">Figure 1.</w:t>
      </w:r>
      <w:r>
        <w:t xml:space="preserve"> </w:t>
      </w:r>
      <w:r>
        <w:t xml:space="preserve">Conceptual model for Paper 6 (Three-Level Meta-Analytic</w:t>
      </w:r>
      <w:r>
        <w:t xml:space="preserve"> </w:t>
      </w:r>
      <w:r>
        <w:t xml:space="preserve">Regression Analysis).</w:t>
      </w:r>
    </w:p>
    <w:p>
      <w:pPr>
        <w:pStyle w:val="BodyText"/>
      </w:pPr>
      <w:r>
        <w:rPr>
          <w:iCs/>
          <w:i/>
        </w:rPr>
        <w:t xml:space="preserve">Note:</w:t>
      </w:r>
      <w:r>
        <w:t xml:space="preserve"> </w:t>
      </w:r>
      <w:r>
        <w:t xml:space="preserve">Solid arrows represent the primary meta-analytic effect</w:t>
      </w:r>
      <w:r>
        <w:t xml:space="preserve"> </w:t>
      </w:r>
      <w:r>
        <w:t xml:space="preserve">(baseline I→P pooled effect, k = 238 studies from 49 economies, K = 288</w:t>
      </w:r>
      <w:r>
        <w:t xml:space="preserve"> </w:t>
      </w:r>
      <w:r>
        <w:t xml:space="preserve">effects, r̄ = 0.074, 95% CI [0.060, 0.088]). Dashed arrows represent</w:t>
      </w:r>
      <w:r>
        <w:t xml:space="preserve"> </w:t>
      </w:r>
      <w:r>
        <w:t xml:space="preserve">hypothesised moderating relationships. Three study-level constructs were</w:t>
      </w:r>
      <w:r>
        <w:t xml:space="preserve"> </w:t>
      </w:r>
      <w:r>
        <w:t xml:space="preserve">tested as moderators: (1) ICRV Regime (H1), hypothesised between-regime</w:t>
      </w:r>
      <w:r>
        <w:t xml:space="preserve"> </w:t>
      </w:r>
      <w:r>
        <w:t xml:space="preserve">Q_M statistically significant; H1 confirmed (Q_M = 17.35, p = .002);</w:t>
      </w:r>
      <w:r>
        <w:t xml:space="preserve"> </w:t>
      </w:r>
      <w:r>
        <w:t xml:space="preserve">directional Exploratory Propositions E1a (Advanced largest) and E1b</w:t>
      </w:r>
      <w:r>
        <w:t xml:space="preserve"> </w:t>
      </w:r>
      <w:r>
        <w:t xml:space="preserve">(Frontier smallest) not meta-analytically confirmable at k = 3 Frontier.</w:t>
      </w:r>
      <w:r>
        <w:t xml:space="preserve"> </w:t>
      </w:r>
      <w:r>
        <w:t xml:space="preserve">(2) cDAI, Country Digital Adoption Index (H3), hypothesised positive</w:t>
      </w:r>
      <w:r>
        <w:t xml:space="preserve"> </w:t>
      </w:r>
      <w:r>
        <w:t xml:space="preserve">amplification [High &gt; Low]; actual Q_M = 1.34 (p = .513), H3 not</w:t>
      </w:r>
      <w:r>
        <w:t xml:space="preserve"> </w:t>
      </w:r>
      <w:r>
        <w:t xml:space="preserve">supported. (3) DPL Phase (H2), hypothesised Follow &gt; Precede; actual</w:t>
      </w:r>
      <w:r>
        <w:t xml:space="preserve"> </w:t>
      </w:r>
      <w:r>
        <w:t xml:space="preserve">Q_M = 0.62 (p = .734), H2 not supported. The three-level model nests K =</w:t>
      </w:r>
      <w:r>
        <w:t xml:space="preserve"> </w:t>
      </w:r>
      <w:r>
        <w:t xml:space="preserve">288 effects within k = 238 studies (σ²_within = 0.00878, I²_(2) =</w:t>
      </w:r>
      <w:r>
        <w:t xml:space="preserve"> </w:t>
      </w:r>
      <w:r>
        <w:t xml:space="preserve">54.1%) within between-study heterogeneity (σ²_between = 0.00136, I²_(3)</w:t>
      </w:r>
      <w:r>
        <w:t xml:space="preserve"> </w:t>
      </w:r>
      <w:r>
        <w:t xml:space="preserve">= 8.4%); total I² = 62.5%. Publication bias (H4 confirmed): Egger's b =</w:t>
      </w:r>
      <w:r>
        <w:t xml:space="preserve"> </w:t>
      </w:r>
      <w:r>
        <w:t xml:space="preserve">0.487 (p = .052), Begg's τ = −0.132 (p = .001); trim-and-fill imputes k</w:t>
      </w:r>
      <w:r>
        <w:t xml:space="preserve"> </w:t>
      </w:r>
      <w:r>
        <w:t xml:space="preserve">= 57 studies, adjusted r = 0.035; fail-safe N = 44,782. Abbreviations:</w:t>
      </w:r>
      <w:r>
        <w:t xml:space="preserve"> </w:t>
      </w:r>
      <w:r>
        <w:t xml:space="preserve">ICRV = Innovation–Capability–Resource–Vulnerability; cDAI =</w:t>
      </w:r>
      <w:r>
        <w:t xml:space="preserve"> </w:t>
      </w:r>
      <w:r>
        <w:t xml:space="preserve">country-level Digital Adoption Index; DPL = Digital Paradox Lifecycle;</w:t>
      </w:r>
      <w:r>
        <w:t xml:space="preserve"> </w:t>
      </w:r>
      <w:r>
        <w:t xml:space="preserve">MARA = Meta-Analytic Regression Analysis. Target journal:</w:t>
      </w:r>
      <w:r>
        <w:t xml:space="preserve"> </w:t>
      </w:r>
      <w:r>
        <w:rPr>
          <w:iCs/>
          <w:i/>
        </w:rPr>
        <w:t xml:space="preserve">International</w:t>
      </w:r>
      <w:r>
        <w:rPr>
          <w:iCs/>
          <w:i/>
        </w:rPr>
        <w:t xml:space="preserve"> </w:t>
      </w:r>
      <w:r>
        <w:rPr>
          <w:iCs/>
          <w:i/>
        </w:rPr>
        <w:t xml:space="preserve">Business Review</w:t>
      </w:r>
      <w:r>
        <w:t xml:space="preserve"> </w:t>
      </w:r>
      <w:r>
        <w:t xml:space="preserve">(IBR, Elsevier, IF ≈ 5.5).</w: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w:t>
      </w:r>
      <w:r>
        <w:t xml:space="preserve"> </w:t>
      </w:r>
      <w:r>
        <w:t xml:space="preserve">Standards (Cooper, 2010) and the PRISMA 2020 statement (Page et al.,</w:t>
      </w:r>
      <w:r>
        <w:t xml:space="preserve"> </w:t>
      </w:r>
      <w:r>
        <w:t xml:space="preserve">2021). The analysis plan was registered on the Open Science Framework (OSF) as a transparency registration (the working corpus had already been assembled at the time of registration); the registration document specifies</w:t>
      </w:r>
      <w:r>
        <w:t xml:space="preserve"> </w:t>
      </w:r>
      <w:r>
        <w:t xml:space="preserve">the search protocol, eligibility criteria, coding rules for all seven</w:t>
      </w:r>
      <w:r>
        <w:t xml:space="preserve"> </w:t>
      </w:r>
      <w:r>
        <w:t xml:space="preserve">moderators, and the planned statistical analyses. Three-level</w:t>
      </w:r>
      <w:r>
        <w:t xml:space="preserve"> </w:t>
      </w:r>
      <w:r>
        <w:t xml:space="preserve">meta-analytic regression analysis (MARA) was selected over conventional</w:t>
      </w:r>
      <w:r>
        <w:t xml:space="preserve"> </w:t>
      </w:r>
      <w:r>
        <w:t xml:space="preserve">random-effects meta-analysis because the present corpus contains</w:t>
      </w:r>
      <w:r>
        <w:t xml:space="preserve"> </w:t>
      </w:r>
      <w:r>
        <w:t xml:space="preserve">multiple effect sizes per study, a structural feature that violates the</w:t>
      </w:r>
      <w:r>
        <w:t xml:space="preserve"> </w:t>
      </w:r>
      <w:r>
        <w:t xml:space="preserve">independence assumption underlying single-level estimators (Cheung,</w:t>
      </w:r>
      <w:r>
        <w:t xml:space="preserve"> </w:t>
      </w:r>
      <w:r>
        <w:t xml:space="preserve">2014; Van den Noortgate et al., 2013). The three-level model decomposes</w:t>
      </w:r>
      <w:r>
        <w:t xml:space="preserve"> </w:t>
      </w:r>
      <w:r>
        <w:t xml:space="preserve">total heterogeneity into within-study (σ²_(2)) and between-study</w:t>
      </w:r>
      <w:r>
        <w:t xml:space="preserve"> </w:t>
      </w:r>
      <w:r>
        <w:t xml:space="preserve">(σ²_(3)) components, enabling correct attribution of variance to</w:t>
      </w:r>
      <w:r>
        <w:t xml:space="preserve"> </w:t>
      </w:r>
      <w:r>
        <w:t xml:space="preserve">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systematic search was anchored on backward and forward citation tracking of five benchmark meta-analyses (detailed below) and supplemented by structured queries in Web of Science (WoS Core Collection: SSCI, SCI-E, ESCI) and Scopus, two comprehensive multi-disciplinary databases for peer-reviewed international business research (Kraus et al., 2022). The strategy is systematic but bounded by the anchor set and its citation network rather than an exhaustive database census. Supplementary</w:t>
      </w:r>
      <w:r>
        <w:t xml:space="preserve"> </w:t>
      </w:r>
      <w:r>
        <w:t xml:space="preserve">searches were conducted in ABI/INFORM Complete, Business Source Complete</w:t>
      </w:r>
      <w:r>
        <w:t xml:space="preserve"> </w:t>
      </w:r>
      <w:r>
        <w:t xml:space="preserve">(EBSCO), ScienceDirect, SpringerLink, and Emerald Insight to maximize</w:t>
      </w:r>
      <w:r>
        <w:t xml:space="preserve"> </w:t>
      </w:r>
      <w:r>
        <w:t xml:space="preserve">coverage of specialist international business and management journals</w:t>
      </w:r>
      <w:r>
        <w:t xml:space="preserve"> </w:t>
      </w:r>
      <w:r>
        <w:t xml:space="preserve">not fully indexed in WoS or Scopus. Supplementary hand-searching via</w:t>
      </w:r>
      <w:r>
        <w:t xml:space="preserve"> </w:t>
      </w:r>
      <w:r>
        <w:t xml:space="preserve">backward citation tracking was applied to five anchor meta-analyses:</w:t>
      </w:r>
      <w:r>
        <w:t xml:space="preserve"> </w:t>
      </w:r>
      <w:r>
        <w:t xml:space="preserve">Bausch and Krist (2007), Kirca et al. (2012), Marano et al. (2016),</w:t>
      </w:r>
      <w:r>
        <w:t xml:space="preserve"> </w:t>
      </w:r>
      <w:r>
        <w:t xml:space="preserve">Schwens et al. (2018), and Arte and Larimo (2022); forward citation</w:t>
      </w:r>
      <w:r>
        <w:t xml:space="preserve"> </w:t>
      </w:r>
      <w:r>
        <w:t xml:space="preserve">tracking was conducted in Google Scholar using the same five anchors to</w:t>
      </w:r>
      <w:r>
        <w:t xml:space="preserve"> </w:t>
      </w:r>
      <w:r>
        <w:t xml:space="preserve">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w:t>
      </w:r>
      <w:r>
        <w:t xml:space="preserve"> </w:t>
      </w:r>
      <w:r>
        <w:t xml:space="preserve">applied identically. The Scopus string was validated against a</w:t>
      </w:r>
      <w:r>
        <w:t xml:space="preserve"> </w:t>
      </w:r>
      <w:r>
        <w:t xml:space="preserve">known-item set of 30 papers confirmed eligible from prior reading;</w:t>
      </w:r>
      <w:r>
        <w:t xml:space="preserve"> </w:t>
      </w:r>
      <w:r>
        <w:t xml:space="preserve">recall was 97% (29/30), establishing adequate coverage.</w:t>
      </w:r>
    </w:p>
    <w:p>
      <w:pPr>
        <w:pStyle w:val="BodyText"/>
      </w:pPr>
      <w:r>
        <w:rPr>
          <w:bCs/>
          <w:b/>
        </w:rPr>
        <w:t xml:space="preserve">Temporal coverage.</w:t>
      </w:r>
      <w:r>
        <w:t xml:space="preserve"> </w:t>
      </w:r>
      <w:r>
        <w:t xml:space="preserve">January 1977, March 2026. The lower boundary</w:t>
      </w:r>
      <w:r>
        <w:t xml:space="preserve"> </w:t>
      </w:r>
      <w:r>
        <w:t xml:space="preserve">aligns with the earliest empirical test of the I→P relationship (Vernon,</w:t>
      </w:r>
      <w:r>
        <w:t xml:space="preserve"> </w:t>
      </w:r>
      <w:r>
        <w:t xml:space="preserve">1971; Rugman, 1976), ensuring no pioneering study is systematically</w:t>
      </w:r>
      <w:r>
        <w:t xml:space="preserve"> </w:t>
      </w:r>
      <w:r>
        <w:t xml:space="preserve">excluded.</w:t>
      </w:r>
    </w:p>
    <w:p>
      <w:pPr>
        <w:pStyle w:val="BodyText"/>
      </w:pPr>
      <w:r>
        <w:rPr>
          <w:bCs/>
          <w:b/>
        </w:rPr>
        <w:t xml:space="preserve">OSF registration.</w:t>
      </w:r>
      <w:r>
        <w:t xml:space="preserve"> </w:t>
      </w:r>
      <w:r>
        <w:t xml:space="preserve">The full protocol, including the search</w:t>
      </w:r>
      <w:r>
        <w:t xml:space="preserve"> </w:t>
      </w:r>
      <w:r>
        <w:t xml:space="preserve">string, eligibility decision rules, moderator coding instructions, and</w:t>
      </w:r>
      <w:r>
        <w:t xml:space="preserve"> </w:t>
      </w:r>
      <w:r>
        <w:t xml:space="preserve">planned metafor model specifications, is registered on OSF (DOI: [insert OSF DOI at submission]). Because the corpus had already been assembled, this is a transparency registration of the analysis plan rather than a data-blind pre-registration; the protocol document is available from the corresponding</w:t>
      </w:r>
      <w:r>
        <w:t xml:space="preserve"> </w:t>
      </w:r>
      <w:r>
        <w:t xml:space="preserve">author.</w:t>
      </w:r>
    </w:p>
    <w:bookmarkEnd w:id="29"/>
    <w:bookmarkStart w:id="30"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w:t>
      </w:r>
      <w:r>
        <w:t xml:space="preserve"> </w:t>
      </w:r>
      <w:r>
        <w:t xml:space="preserve">stages: (1) title and abstract screening; (2) full-text assessment.</w:t>
      </w:r>
      <w:r>
        <w:t xml:space="preserve"> </w:t>
      </w:r>
      <w:r>
        <w:t xml:space="preserve">Disagreements at both stages were resolved by a third reviewer following</w:t>
      </w:r>
      <w:r>
        <w:t xml:space="preserve"> </w:t>
      </w:r>
      <w:r>
        <w:t xml:space="preserve">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w:t>
      </w:r>
      <w:r>
        <w:t xml:space="preserve"> </w:t>
      </w:r>
      <w:r>
        <w:t xml:space="preserve">primary-study corpus, the main meta-analysis was restricted to</w:t>
      </w:r>
      <w:r>
        <w:t xml:space="preserve"> </w:t>
      </w:r>
      <w:r>
        <w:t xml:space="preserve">peer-reviewed journal articles and articles in press with identifiable</w:t>
      </w:r>
      <w:r>
        <w:t xml:space="preserve"> </w:t>
      </w:r>
      <w:r>
        <w:t xml:space="preserve">DOI information. Doctoral dissertations, master's theses, working</w:t>
      </w:r>
      <w:r>
        <w:t xml:space="preserve"> </w:t>
      </w:r>
      <w:r>
        <w:t xml:space="preserve">papers, conference papers, book chapters, unpublished manuscripts, and</w:t>
      </w:r>
      <w:r>
        <w:t xml:space="preserve"> </w:t>
      </w:r>
      <w:r>
        <w:t xml:space="preserve">institutional reports were excluded from the main analysis. This</w:t>
      </w:r>
      <w:r>
        <w:t xml:space="preserve"> </w:t>
      </w:r>
      <w:r>
        <w:t xml:space="preserve">decision was made to maintain consistency in peer-review standards and</w:t>
      </w:r>
      <w:r>
        <w:t xml:space="preserve"> </w:t>
      </w:r>
      <w:r>
        <w:t xml:space="preserve">to reduce heterogeneity arising from non-equivalent publication types.</w:t>
      </w:r>
      <w:r>
        <w:t xml:space="preserve"> </w:t>
      </w:r>
      <w:r>
        <w:t xml:space="preserve">Grey-literature records identified during supplementary searching were</w:t>
      </w:r>
      <w:r>
        <w:t xml:space="preserve"> </w:t>
      </w:r>
      <w:r>
        <w:t xml:space="preserve">documented in the PRISMA flow diagram but were not included in the</w:t>
      </w:r>
      <w:r>
        <w:t xml:space="preserve"> </w:t>
      </w:r>
      <w:r>
        <w:t xml:space="preserve">primary meta-analytic model.</w:t>
      </w:r>
    </w:p>
    <w:p>
      <w:pPr>
        <w:pStyle w:val="BodyText"/>
      </w:pPr>
      <w:r>
        <w:rPr>
          <w:bCs/>
          <w:b/>
        </w:rPr>
        <w:t xml:space="preserve">PRISMA 2020 flow.</w:t>
      </w:r>
      <w:r>
        <w:t xml:space="preserve"> </w:t>
      </w:r>
      <w:r>
        <w:t xml:space="preserve">Consistent with the citation-anchored strategy described above, the corpus was assembled through backward and forward citation tracking of the five anchor meta-analyses, supplemented by targeted database queries rather than an exhaustive database census. Records were screened in two stages (title/abstract, then full text) against the eligibility criteria in Section 3.2, with grey-literature and non-peer-reviewed records documented and excluded from the primary model. This process yielded</w:t>
      </w:r>
      <w:r>
        <w:t xml:space="preserve"> </w:t>
      </w:r>
      <w:r>
        <w:rPr>
          <w:iCs/>
          <w:i/>
        </w:rPr>
        <w:t xml:space="preserve">k</w:t>
      </w:r>
      <w:r>
        <w:t xml:space="preserve"> </w:t>
      </w:r>
      <w:r>
        <w:t xml:space="preserve">= 238 coded studies and</w:t>
      </w:r>
      <w:r>
        <w:t xml:space="preserve"> </w:t>
      </w:r>
      <w:r>
        <w:rPr>
          <w:iCs/>
          <w:i/>
        </w:rPr>
        <w:t xml:space="preserve">K</w:t>
      </w:r>
      <w:r>
        <w:t xml:space="preserve"> </w:t>
      </w:r>
      <w:r>
        <w:t xml:space="preserve">= 288 effect sizes eligible for synthesis. Because identification proceeded by citation chaining rather than a single database export, the flow is reported under the PRISMA 2020 "studies identified via other methods" variant (Appendix A); stage-level database-census counts are therefore not applicable. The synthesized set (</w:t>
      </w:r>
      <w:r>
        <w:rPr>
          <w:iCs/>
          <w:i/>
        </w:rPr>
        <w:t xml:space="preserve">k</w:t>
      </w:r>
      <w:r>
        <w:t xml:space="preserve"> </w:t>
      </w:r>
      <w:r>
        <w:t xml:space="preserve">= 238;</w:t>
      </w:r>
      <w:r>
        <w:t xml:space="preserve"> </w:t>
      </w:r>
      <w:r>
        <w:rPr>
          <w:iCs/>
          <w:i/>
        </w:rPr>
        <w:t xml:space="preserve">K</w:t>
      </w:r>
      <w:r>
        <w:t xml:space="preserve"> </w:t>
      </w:r>
      <w:r>
        <w:t xml:space="preserve">= 288) is fixed and data-backed, and the coded database is available from the corresponding author.</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from the full text of</w:t>
      </w:r>
      <w:r>
        <w:t xml:space="preserve"> </w:t>
      </w:r>
      <w:r>
        <w:t xml:space="preserve">each eligible study by the primary coder (the first author), using the</w:t>
      </w:r>
      <w:r>
        <w:t xml:space="preserve"> </w:t>
      </w:r>
      <w:r>
        <w:t xml:space="preserve">standardized coding form specified in Appendix B. For each study, the</w:t>
      </w:r>
      <w:r>
        <w:t xml:space="preserve"> </w:t>
      </w:r>
      <w:r>
        <w:t xml:space="preserve">following parameters were recorded: sample size (</w:t>
      </w:r>
      <w:r>
        <w:rPr>
          <w:iCs/>
          <w:i/>
        </w:rPr>
        <w:t xml:space="preserve">N</w:t>
      </w:r>
      <w:r>
        <w:t xml:space="preserve">), the focal I→P</w:t>
      </w:r>
      <w:r>
        <w:t xml:space="preserve"> </w:t>
      </w:r>
      <w:r>
        <w:t xml:space="preserve">effect size (Pearson's</w:t>
      </w:r>
      <w:r>
        <w:t xml:space="preserve"> </w:t>
      </w:r>
      <w:r>
        <w:rPr>
          <w:iCs/>
          <w:i/>
        </w:rPr>
        <w:t xml:space="preserve">r</w:t>
      </w:r>
      <w:r>
        <w:t xml:space="preserve"> </w:t>
      </w:r>
      <w:r>
        <w:t xml:space="preserve">or the convertible statistic), study</w:t>
      </w:r>
      <w:r>
        <w:t xml:space="preserve"> </w:t>
      </w:r>
      <w:r>
        <w:t xml:space="preserve">data-year range, country or region, DOI operationalization, performance</w:t>
      </w:r>
      <w:r>
        <w:t xml:space="preserve"> </w:t>
      </w:r>
      <w:r>
        <w:t xml:space="preserve">operationalization, and any study-specific features relevant to</w:t>
      </w:r>
      <w:r>
        <w:t xml:space="preserve"> </w:t>
      </w:r>
      <w:r>
        <w:t xml:space="preserve">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w:t>
      </w:r>
      <w:r>
        <w:t xml:space="preserve"> </w:t>
      </w:r>
      <w:r>
        <w:t xml:space="preserve">reported directly, the following conversion sequence was applied in</w:t>
      </w:r>
      <w:r>
        <w:t xml:space="preserve"> </w:t>
      </w:r>
      <w:r>
        <w:t xml:space="preserve">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w:t>
      </w:r>
      <w:r>
        <w:t xml:space="preserve"> </w:t>
      </w:r>
      <w:r>
        <w:t xml:space="preserve">(Peterson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w:t>
      </w:r>
      <w:r>
        <w:t xml:space="preserve"> </w:t>
      </w:r>
      <w:r>
        <w:t xml:space="preserve">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w:t>
      </w:r>
      <w:r>
        <w:t xml:space="preserve"> </w:t>
      </w:r>
      <w:r>
        <w:t xml:space="preserve">allowed at minimum a directional classification.</w:t>
      </w:r>
    </w:p>
    <w:p>
      <w:pPr>
        <w:pStyle w:val="BodyText"/>
      </w:pPr>
      <w:r>
        <w:rPr>
          <w:bCs/>
          <w:b/>
        </w:rPr>
        <w:t xml:space="preserve">Multiple effects per study.</w:t>
      </w:r>
      <w:r>
        <w:t xml:space="preserve"> </w:t>
      </w:r>
      <w:r>
        <w:t xml:space="preserve">When a study reported separate estimates</w:t>
      </w:r>
      <w:r>
        <w:t xml:space="preserve"> </w:t>
      </w:r>
      <w:r>
        <w:t xml:space="preserve">for distinct subsamples (e.g., different countries, two time periods, or</w:t>
      </w:r>
      <w:r>
        <w:t xml:space="preserve"> </w:t>
      </w:r>
      <w:r>
        <w:t xml:space="preserve">mutually exclusive industry subgroups), each estimate was coded as an</w:t>
      </w:r>
      <w:r>
        <w:t xml:space="preserve"> </w:t>
      </w:r>
      <w:r>
        <w:t xml:space="preserve">independent effect size with a unique effect ID, while sharing</w:t>
      </w:r>
      <w:r>
        <w:t xml:space="preserve"> </w:t>
      </w:r>
      <w:r>
        <w:t xml:space="preserve">study-level identifiers. When a study reported multiple model</w:t>
      </w:r>
      <w:r>
        <w:t xml:space="preserve"> </w:t>
      </w:r>
      <w:r>
        <w:t xml:space="preserve">specifications for the same sample, the most fully controlled</w:t>
      </w:r>
      <w:r>
        <w:t xml:space="preserve"> </w:t>
      </w:r>
      <w:r>
        <w:t xml:space="preserve">specification (i.e., the model with the largest set of covariates) was</w:t>
      </w:r>
      <w:r>
        <w:t xml:space="preserve"> </w:t>
      </w:r>
      <w:r>
        <w:t xml:space="preserve">retained to minimize omitted-variable confounding in the pooled</w:t>
      </w:r>
      <w:r>
        <w:t xml:space="preserve"> </w:t>
      </w:r>
      <w:r>
        <w:t xml:space="preserve">estimate; the other specifications were logged but not entered into the</w:t>
      </w:r>
      <w:r>
        <w:t xml:space="preserve"> </w:t>
      </w:r>
      <w:r>
        <w:t xml:space="preserve">analysis database.</w:t>
      </w:r>
    </w:p>
    <w:p>
      <w:pPr>
        <w:pStyle w:val="BodyText"/>
      </w:pPr>
      <w:r>
        <w:rPr>
          <w:bCs/>
          <w:b/>
        </w:rPr>
        <w:t xml:space="preserve">Moderator coding.</w:t>
      </w:r>
      <w:r>
        <w:t xml:space="preserve"> </w:t>
      </w:r>
      <w:r>
        <w:t xml:space="preserve">Following effect-size extraction, each record was</w:t>
      </w:r>
      <w:r>
        <w:t xml:space="preserve"> </w:t>
      </w:r>
      <w:r>
        <w:t xml:space="preserve">coded for the seven moderators defined in §3.4. ICRV regime was assigned</w:t>
      </w:r>
      <w:r>
        <w:t xml:space="preserve"> </w:t>
      </w:r>
      <w:r>
        <w:t xml:space="preserve">from the study's reported country using the World Bank WGI Rule of Law</w:t>
      </w:r>
      <w:r>
        <w:t xml:space="preserve"> </w:t>
      </w:r>
      <w:r>
        <w:t xml:space="preserve">lookup table (2023 vintage); DPL phase from the median data year; cDAI</w:t>
      </w:r>
      <w:r>
        <w:t xml:space="preserve"> </w:t>
      </w:r>
      <w:r>
        <w:t xml:space="preserve">from the World Bank Digital Adoption Index 2016 vintage or the ITU</w:t>
      </w:r>
      <w:r>
        <w:t xml:space="preserve"> </w:t>
      </w:r>
      <w:r>
        <w:t xml:space="preserve">Digital Development Index (linearly rescaled to the same 0–1 range) for</w:t>
      </w:r>
      <w:r>
        <w:t xml:space="preserve"> </w:t>
      </w:r>
      <w:r>
        <w:t xml:space="preserve">country-years not covered by the World Bank composite. All moderator</w:t>
      </w:r>
      <w:r>
        <w:t xml:space="preserve"> </w:t>
      </w:r>
      <w:r>
        <w:t xml:space="preserve">assignments were documented with source references to enable independent</w:t>
      </w:r>
      <w:r>
        <w:t xml:space="preserve"> </w:t>
      </w:r>
      <w:r>
        <w:t xml:space="preserve">verification.</w:t>
      </w:r>
    </w:p>
    <w:p>
      <w:pPr>
        <w:pStyle w:val="BodyText"/>
      </w:pPr>
      <w:r>
        <w:t xml:space="preserve">All extracted and coded records were entered into the permanent study</w:t>
      </w:r>
      <w:r>
        <w:t xml:space="preserve"> </w:t>
      </w:r>
      <w:r>
        <w:t xml:space="preserve">database and subject to double-entry verification as part of the</w:t>
      </w:r>
      <w:r>
        <w:t xml:space="preserve"> </w:t>
      </w:r>
      <w:r>
        <w:t xml:space="preserve">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w:t>
      </w:r>
      <w:r>
        <w:t xml:space="preserve"> </w:t>
      </w:r>
      <w:r>
        <w:t xml:space="preserve">design. In</w:t>
      </w:r>
      <w:r>
        <w:t xml:space="preserve"> </w:t>
      </w:r>
      <w:r>
        <w:rPr>
          <w:bCs/>
          <w:b/>
        </w:rPr>
        <w:t xml:space="preserve">Stage 1</w:t>
      </w:r>
      <w:r>
        <w:t xml:space="preserve"> </w:t>
      </w:r>
      <w:r>
        <w:t xml:space="preserve">(calibration), both coders independently coded a</w:t>
      </w:r>
      <w:r>
        <w:t xml:space="preserve"> </w:t>
      </w:r>
      <w:r>
        <w:t xml:space="preserve">pilot set of 10 studies using the full Appendix B coding protocol;</w:t>
      </w:r>
      <w:r>
        <w:t xml:space="preserve"> </w:t>
      </w:r>
      <w:r>
        <w:t xml:space="preserve">discrepancies were discussed and the protocol was refined before</w:t>
      </w:r>
      <w:r>
        <w:t xml:space="preserve"> </w:t>
      </w:r>
      <w:r>
        <w:t xml:space="preserve">proceeding. In</w:t>
      </w:r>
      <w:r>
        <w:t xml:space="preserve"> </w:t>
      </w:r>
      <w:r>
        <w:rPr>
          <w:bCs/>
          <w:b/>
        </w:rPr>
        <w:t xml:space="preserve">Stage 2</w:t>
      </w:r>
      <w:r>
        <w:t xml:space="preserve"> </w:t>
      </w:r>
      <w:r>
        <w:t xml:space="preserve">(independent coding), both coders</w:t>
      </w:r>
      <w:r>
        <w:t xml:space="preserve"> </w:t>
      </w:r>
      <w:r>
        <w:t xml:space="preserve">independently coded a 20% stratified random subsample of the final study</w:t>
      </w:r>
      <w:r>
        <w:t xml:space="preserve"> </w:t>
      </w:r>
      <w:r>
        <w:t xml:space="preserve">corpus (</w:t>
      </w:r>
      <w:r>
        <w:rPr>
          <w:iCs/>
          <w:i/>
        </w:rPr>
        <w:t xml:space="preserve">k</w:t>
      </w:r>
      <w:r>
        <w:t xml:space="preserve"> </w:t>
      </w:r>
      <w:r>
        <w:t xml:space="preserve">= 47 studies), sampled to ensure representation across ICRV</w:t>
      </w:r>
      <w:r>
        <w:t xml:space="preserve"> </w:t>
      </w:r>
      <w:r>
        <w:t xml:space="preserve">regime, DPL phase, and DOI measure type. In</w:t>
      </w:r>
      <w:r>
        <w:t xml:space="preserve"> </w:t>
      </w:r>
      <w:r>
        <w:rPr>
          <w:bCs/>
          <w:b/>
        </w:rPr>
        <w:t xml:space="preserve">Stage 3</w:t>
      </w:r>
      <w:r>
        <w:t xml:space="preserve"> </w:t>
      </w:r>
      <w:r>
        <w:t xml:space="preserve">(adjudication),</w:t>
      </w:r>
      <w:r>
        <w:t xml:space="preserve"> </w:t>
      </w:r>
      <w:r>
        <w:t xml:space="preserve">discrepancies were resolved by the PI following a predetermined rule:</w:t>
      </w:r>
      <w:r>
        <w:t xml:space="preserve"> </w:t>
      </w:r>
      <w:r>
        <w:t xml:space="preserve">for categorical moderators, the adjudicator's decision was final; for</w:t>
      </w:r>
      <w:r>
        <w:t xml:space="preserve"> </w:t>
      </w:r>
      <w:r>
        <w:t xml:space="preserve">continuous cDAI scores, the mean of the two coders' values was used when</w:t>
      </w:r>
      <w:r>
        <w:t xml:space="preserve"> </w:t>
      </w:r>
      <w:r>
        <w:t xml:space="preserve">ICC(2, 1) ≥ 0.80, and the PI's direct lookup was used otherwise.</w:t>
      </w:r>
    </w:p>
    <w:p>
      <w:pPr>
        <w:pStyle w:val="BodyText"/>
      </w:pPr>
      <w:r>
        <w:t xml:space="preserve">ICR was assessed using Cohen's κ for categorical variables (ICRV regime,</w:t>
      </w:r>
      <w:r>
        <w:t xml:space="preserve"> </w:t>
      </w:r>
      <w:r>
        <w:t xml:space="preserve">DPL phase, industry sector, DOI measure type, performance measure type)</w:t>
      </w:r>
      <w:r>
        <w:t xml:space="preserve"> </w:t>
      </w:r>
      <w:r>
        <w:t xml:space="preserve">and the two-way random-effects ICC(2, 1) for continuous cDAI scores. The</w:t>
      </w:r>
      <w:r>
        <w:t xml:space="preserve"> </w:t>
      </w:r>
      <w:r>
        <w:t xml:space="preserve">target threshold of κ ≥ 0.70 follows Landis and Koch's (1977)</w:t>
      </w:r>
      <w:r>
        <w:t xml:space="preserve"> </w:t>
      </w:r>
      <w:r>
        <w:t xml:space="preserve">"substantial agreement" criterion, which represents the minimum</w:t>
      </w:r>
      <w:r>
        <w:t xml:space="preserve"> </w:t>
      </w:r>
      <w:r>
        <w:t xml:space="preserve">acceptable level for meta-analytic coding in IB research (Aguinis et</w:t>
      </w:r>
      <w:r>
        <w:t xml:space="preserve"> </w:t>
      </w:r>
      <w:r>
        <w:t xml:space="preserve">al., 2011). ICR statistics are reported in Table 3.1 (see Results,</w:t>
      </w:r>
      <w:r>
        <w:t xml:space="preserve"> </w:t>
      </w:r>
      <w:r>
        <w:t xml:space="preserve">§4.1); all targets were met prior to commencing coding of the remaining</w:t>
      </w:r>
      <w:r>
        <w:t xml:space="preserve"> </w:t>
      </w:r>
      <w:r>
        <w:t xml:space="preserve">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w:t>
      </w:r>
      <w:r>
        <w:t xml:space="preserve"> </w:t>
      </w:r>
      <w:r>
        <w:t xml:space="preserve">meta-analysis (Bausch &amp; Krist, 2007; Marano et al., 2016), no formal</w:t>
      </w:r>
      <w:r>
        <w:t xml:space="preserve"> </w:t>
      </w:r>
      <w:r>
        <w:t xml:space="preserve">study-level risk-of-bias instrument (e.g., RoB 2, ROBINS-I) was applied</w:t>
      </w:r>
      <w:r>
        <w:t xml:space="preserve"> </w:t>
      </w:r>
      <w:r>
        <w:t xml:space="preserve">to individual primary studies. The I→P corpus is composed exclusively of</w:t>
      </w:r>
      <w:r>
        <w:t xml:space="preserve"> </w:t>
      </w:r>
      <w:r>
        <w:t xml:space="preserve">peer-reviewed observational survey studies; the threats most relevant to</w:t>
      </w:r>
      <w:r>
        <w:t xml:space="preserve"> </w:t>
      </w:r>
      <w:r>
        <w:t xml:space="preserve">this literature, publication bias, omitted-variable bias, and</w:t>
      </w:r>
      <w:r>
        <w:t xml:space="preserve"> </w:t>
      </w:r>
      <w:r>
        <w:t xml:space="preserve">measurement heterogeneity in the DOI operationalization, are addressed</w:t>
      </w:r>
      <w:r>
        <w:t xml:space="preserve"> </w:t>
      </w:r>
      <w:r>
        <w:t xml:space="preserve">at the synthesis level rather than the study level. Publication bias is</w:t>
      </w:r>
      <w:r>
        <w:t xml:space="preserve"> </w:t>
      </w:r>
      <w:r>
        <w:t xml:space="preserve">assessed via Egger's regression test, Begg and Mazumdar's (1994)</w:t>
      </w:r>
      <w:r>
        <w:t xml:space="preserve"> </w:t>
      </w:r>
      <w:r>
        <w:t xml:space="preserve">rank-correlation test, and Duval and Tweedie's (2000) trim-and-fill</w:t>
      </w:r>
      <w:r>
        <w:t xml:space="preserve"> </w:t>
      </w:r>
      <w:r>
        <w:t xml:space="preserve">procedure (§3.6). Measurement heterogeneity is addressed through</w:t>
      </w:r>
      <w:r>
        <w:t xml:space="preserve"> </w:t>
      </w:r>
      <w:r>
        <w:t xml:space="preserve">moderator coding of DOI type (FSTS, FATA, entropy, count) and</w:t>
      </w:r>
      <w:r>
        <w:t xml:space="preserve"> </w:t>
      </w:r>
      <w:r>
        <w:t xml:space="preserve">performance type, and through the three-level model's explicit</w:t>
      </w:r>
      <w:r>
        <w:t xml:space="preserve"> </w:t>
      </w:r>
      <w:r>
        <w:t xml:space="preserve">decomposition of within-study variance attributable to multiple</w:t>
      </w:r>
      <w:r>
        <w:t xml:space="preserve"> </w:t>
      </w:r>
      <w:r>
        <w:t xml:space="preserve">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w:t>
      </w:r>
      <w:r>
        <w:t xml:space="preserve"> </w:t>
      </w:r>
      <w:r>
        <w:t xml:space="preserve">moderators replicated from prior I→P meta-analyses (Marano et al., 2016)</w:t>
      </w:r>
      <w:r>
        <w:t xml:space="preserve"> </w:t>
      </w:r>
      <w:r>
        <w:t xml:space="preserve">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w:t>
      </w:r>
      <w:r>
        <w:t xml:space="preserve"> </w:t>
      </w:r>
      <w:r>
        <w:t xml:space="preserve">coded as "pooled" with ICRV regime assigned to the modal country if</w:t>
      </w:r>
      <w:r>
        <w:t xml:space="preserve"> </w:t>
      </w:r>
      <w:r>
        <w:t xml:space="preserve">one country contributes ≥ 60% of the sample, otherwise coded as</w:t>
      </w:r>
      <w:r>
        <w:t xml:space="preserve"> </w:t>
      </w:r>
      <w:r>
        <w:t xml:space="preserve">"cross-regime"</w:t>
      </w:r>
    </w:p>
    <w:p>
      <w:pPr>
        <w:numPr>
          <w:ilvl w:val="0"/>
          <w:numId w:val="1002"/>
        </w:numPr>
        <w:pStyle w:val="Compact"/>
      </w:pPr>
      <w:r>
        <w:rPr>
          <w:iCs/>
          <w:i/>
        </w:rPr>
        <w:t xml:space="preserve">Industry sector</w:t>
      </w:r>
      <w:r>
        <w:t xml:space="preserve">, SIC broad division: manufacturing (SIC 20–39),</w:t>
      </w:r>
      <w:r>
        <w:t xml:space="preserve"> </w:t>
      </w:r>
      <w:r>
        <w:t xml:space="preserve">services (SIC 40–89), or mixed/unspecified</w:t>
      </w:r>
    </w:p>
    <w:p>
      <w:pPr>
        <w:numPr>
          <w:ilvl w:val="0"/>
          <w:numId w:val="1002"/>
        </w:numPr>
        <w:pStyle w:val="Compact"/>
      </w:pPr>
      <w:r>
        <w:rPr>
          <w:iCs/>
          <w:i/>
        </w:rPr>
        <w:t xml:space="preserve">DOI operationalization</w:t>
      </w:r>
      <w:r>
        <w:t xml:space="preserve">, FSTS (foreign sales ÷ total sales);</w:t>
      </w:r>
      <w:r>
        <w:t xml:space="preserve"> </w:t>
      </w:r>
      <w:r>
        <w:t xml:space="preserve">entropy index (Jacquemin &amp; Berry, 1979); count of foreign markets or</w:t>
      </w:r>
      <w:r>
        <w:t xml:space="preserve"> </w:t>
      </w:r>
      <w:r>
        <w:t xml:space="preserve">subsidiaries; transnationality index (UNCTAD composite)</w:t>
      </w:r>
    </w:p>
    <w:p>
      <w:pPr>
        <w:numPr>
          <w:ilvl w:val="0"/>
          <w:numId w:val="1002"/>
        </w:numPr>
        <w:pStyle w:val="Compact"/>
      </w:pPr>
      <w:r>
        <w:rPr>
          <w:iCs/>
          <w:i/>
        </w:rPr>
        <w:t xml:space="preserve">Performance operationalization</w:t>
      </w:r>
      <w:r>
        <w:t xml:space="preserve">, accounting-based (ROA, ROE, ROS);</w:t>
      </w:r>
      <w:r>
        <w:t xml:space="preserve"> </w:t>
      </w:r>
      <w:r>
        <w:t xml:space="preserve">market-based (Tobin's Q, stock return); productivity-based (labor</w:t>
      </w:r>
      <w:r>
        <w:t xml:space="preserve"> </w:t>
      </w:r>
      <w:r>
        <w:t xml:space="preserve">productivity, TFP); composite (mixed)</w:t>
      </w:r>
    </w:p>
    <w:p>
      <w:pPr>
        <w:pStyle w:val="FirstParagraph"/>
      </w:pPr>
      <w:r>
        <w:rPr>
          <w:bCs/>
          <w:b/>
        </w:rPr>
        <w:t xml:space="preserve">Novel moderators</w:t>
      </w:r>
      <w:r>
        <w:t xml:space="preserve"> </w:t>
      </w:r>
      <w:r>
        <w:t xml:space="preserve">(3): 5.</w:t>
      </w:r>
      <w:r>
        <w:t xml:space="preserve"> </w:t>
      </w:r>
      <w:r>
        <w:rPr>
          <w:iCs/>
          <w:i/>
        </w:rPr>
        <w:t xml:space="preserve">ICRV regime</w:t>
      </w:r>
      <w:r>
        <w:t xml:space="preserve">, Five-code classification</w:t>
      </w:r>
      <w:r>
        <w:t xml:space="preserve"> </w:t>
      </w:r>
      <w:r>
        <w:t xml:space="preserve">based on World Bank WGI Rule of Law score (2023 vintage), validated</w:t>
      </w:r>
      <w:r>
        <w:t xml:space="preserve"> </w:t>
      </w:r>
      <w:r>
        <w:t xml:space="preserve">against IMF World Economic Outlook country classification: Code I:</w:t>
      </w:r>
      <w:r>
        <w:t xml:space="preserve"> </w:t>
      </w:r>
      <w:r>
        <w:t xml:space="preserve">Advanced-Innovation (WGI &gt; +0.80; e.g., Singapore, Hong Kong, South</w:t>
      </w:r>
      <w:r>
        <w:t xml:space="preserve"> </w:t>
      </w:r>
      <w:r>
        <w:t xml:space="preserve">Korea, Japan, Taiwan, Australia); Code II: Upper-Middle (0 &lt; WGI ≤</w:t>
      </w:r>
      <w:r>
        <w:t xml:space="preserve"> </w:t>
      </w:r>
      <w:r>
        <w:t xml:space="preserve">+0.80; e.g., China, Malaysia, Thailand); Code III: Emerging (−0.50 &lt;</w:t>
      </w:r>
      <w:r>
        <w:t xml:space="preserve"> </w:t>
      </w:r>
      <w:r>
        <w:t xml:space="preserve">WGI ≤ 0; e.g., Vietnam, India, Philippines); Code FR: Frontier/SIDS (WGI</w:t>
      </w:r>
      <w:r>
        <w:t xml:space="preserve"> </w:t>
      </w:r>
      <w:r>
        <w:t xml:space="preserve">≤ −0.50 or small island developing state, e.g., Bangladesh, Myanmar,</w:t>
      </w:r>
      <w:r>
        <w:t xml:space="preserve"> </w:t>
      </w:r>
      <w:r>
        <w:t xml:space="preserve">Fiji, Pacific island economies); Code MX: Multi-country pooled samples</w:t>
      </w:r>
      <w:r>
        <w:t xml:space="preserve"> </w:t>
      </w:r>
      <w:r>
        <w:t xml:space="preserve">spanning two or more ICRV regimes (no single modal-country regime ≥ 60%</w:t>
      </w:r>
      <w:r>
        <w:t xml:space="preserve"> </w:t>
      </w:r>
      <w:r>
        <w:t xml:space="preserve">of sample) 6.</w:t>
      </w:r>
      <w:r>
        <w:t xml:space="preserve"> </w:t>
      </w:r>
      <w:r>
        <w:rPr>
          <w:iCs/>
          <w:i/>
        </w:rPr>
        <w:t xml:space="preserve">cDAI</w:t>
      </w:r>
      <w:r>
        <w:t xml:space="preserve">, Country-year digital adoption composite (0–1</w:t>
      </w:r>
      <w:r>
        <w:t xml:space="preserve"> </w:t>
      </w:r>
      <w:r>
        <w:t xml:space="preserve">scale): primary source, World Bank Digital Adoption Index (2016 vintage,</w:t>
      </w:r>
      <w:r>
        <w:t xml:space="preserve"> </w:t>
      </w:r>
      <w:r>
        <w:t xml:space="preserve">Sahay et al., 2020); secondary source, ITU Digital Development Index</w:t>
      </w:r>
      <w:r>
        <w:t xml:space="preserve"> </w:t>
      </w:r>
      <w:r>
        <w:t xml:space="preserve">(DDI, 2017–2026, linear-rescaled to 0–1). Country-year assignment</w:t>
      </w:r>
      <w:r>
        <w:t xml:space="preserve"> </w:t>
      </w:r>
      <w:r>
        <w:t xml:space="preserve">follows the median year of the study's data collection period. For</w:t>
      </w:r>
      <w:r>
        <w:t xml:space="preserve"> </w:t>
      </w:r>
      <w:r>
        <w:t xml:space="preserve">multi-country samples, cDAI is the sample-weighted average of</w:t>
      </w:r>
      <w:r>
        <w:t xml:space="preserve"> </w:t>
      </w:r>
      <w:r>
        <w:t xml:space="preserve">country-year scores. Studies lacking country-year DAI data are assigned</w:t>
      </w:r>
      <w:r>
        <w:t xml:space="preserve"> </w:t>
      </w:r>
      <w:r>
        <w:t xml:space="preserve">ITU ICT Development Index values with a −0.05 adjustment for known</w:t>
      </w:r>
      <w:r>
        <w:t xml:space="preserve"> </w:t>
      </w:r>
      <w:r>
        <w:t xml:space="preserve">downward bias relative to the World Bank composite (Katz &amp; Callorda,</w:t>
      </w:r>
      <w:r>
        <w:t xml:space="preserve"> </w:t>
      </w:r>
      <w:r>
        <w:t xml:space="preserve">2018). 7.</w:t>
      </w:r>
      <w:r>
        <w:t xml:space="preserve"> </w:t>
      </w:r>
      <w:r>
        <w:rPr>
          <w:iCs/>
          <w:i/>
        </w:rPr>
        <w:t xml:space="preserve">DPL phase</w:t>
      </w:r>
      <w:r>
        <w:t xml:space="preserve">, "Precede": data collection predominantly prior</w:t>
      </w:r>
      <w:r>
        <w:t xml:space="preserve"> </w:t>
      </w:r>
      <w:r>
        <w:t xml:space="preserve">to 2009 (median data year &lt; 2009); "Span": data collection spans</w:t>
      </w:r>
      <w:r>
        <w:t xml:space="preserve"> </w:t>
      </w:r>
      <w:r>
        <w:t xml:space="preserve">2005–2014 or cannot be classified as predominantly Precede or Follow;</w:t>
      </w:r>
      <w:r>
        <w:t xml:space="preserve"> </w:t>
      </w:r>
      <w:r>
        <w:t xml:space="preserve">"Follow": data collection predominantly post-2014 (median data year ≥</w:t>
      </w:r>
      <w:r>
        <w:t xml:space="preserve"> </w:t>
      </w:r>
      <w:r>
        <w:t xml:space="preserve">2015). Studies where data years cannot be determined from the paper are</w:t>
      </w:r>
      <w:r>
        <w:t xml:space="preserve"> </w:t>
      </w:r>
      <w:r>
        <w:t xml:space="preserve">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w:t>
      </w:r>
      <w:r>
        <w:t xml:space="preserve"> </w:t>
      </w:r>
      <w:r>
        <w:t xml:space="preserve">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w:t>
      </w:r>
      <w:r>
        <w:t xml:space="preserve"> </w:t>
      </w:r>
      <w:r>
        <w:t xml:space="preserve">into true between-study variability, residual within-study variability,</w:t>
      </w:r>
      <w:r>
        <w:t xml:space="preserve"> </w:t>
      </w:r>
      <w:r>
        <w:t xml:space="preserve">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w:t>
      </w:r>
      <w:r>
        <w:t xml:space="preserve"> </w:t>
      </w:r>
      <w:r>
        <w:t xml:space="preserve">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w:t>
      </w:r>
      <w:r>
        <w:t xml:space="preserve"> </w:t>
      </w:r>
      <w:r>
        <w:t xml:space="preserve">study (e.g., from different samples, subgroups, or model specifications</w:t>
      </w:r>
      <w:r>
        <w:t xml:space="preserve"> </w:t>
      </w:r>
      <w:r>
        <w:t xml:space="preserve">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w:t>
      </w:r>
      <w:r>
        <w:t xml:space="preserve"> </w:t>
      </w:r>
      <w:r>
        <w:t xml:space="preserve">regime dummy vector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_FR,</w:t>
      </w:r>
      <w:r>
        <w:t xml:space="preserve"> </w:t>
      </w:r>
      <w:r>
        <w:rPr>
          <w:iCs/>
          <w:i/>
        </w:rPr>
        <w:t xml:space="preserve">d</w:t>
      </w:r>
      <w:r>
        <w:t xml:space="preserve">_MX, with Regime</w:t>
      </w:r>
      <w:r>
        <w:t xml:space="preserve"> </w:t>
      </w:r>
      <w:r>
        <w:t xml:space="preserve">I (Advanced-Innovation) as reference]; continuous cDAI score; DPL phase dummy vector</w:t>
      </w:r>
      <w:r>
        <w:t xml:space="preserve"> </w:t>
      </w:r>
      <w:r>
        <w:t xml:space="preserve">[</w:t>
      </w:r>
      <w:r>
        <w:rPr>
          <w:iCs/>
          <w:i/>
        </w:rPr>
        <w:t xml:space="preserve">d</w:t>
      </w:r>
      <w:r>
        <w:t xml:space="preserve">_Span,</w:t>
      </w:r>
      <w:r>
        <w:t xml:space="preserve"> </w:t>
      </w:r>
      <w:r>
        <w:rPr>
          <w:iCs/>
          <w:i/>
        </w:rPr>
        <w:t xml:space="preserve">d</w:t>
      </w:r>
      <w:r>
        <w:t xml:space="preserve">_Follow, with Precede as reference]; plus the four</w:t>
      </w:r>
      <w:r>
        <w:t xml:space="preserve"> </w:t>
      </w:r>
      <w:r>
        <w:t xml:space="preserve">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w:t>
      </w:r>
      <w:r>
        <w:t xml:space="preserve"> </w:t>
      </w:r>
      <w:r>
        <w:t xml:space="preserve">vector of primary interest, and</w:t>
      </w:r>
      <w:r>
        <w:t xml:space="preserve"> </w:t>
      </w:r>
      <w:r>
        <w:rPr>
          <w:iCs/>
          <w:i/>
        </w:rPr>
        <w:t xml:space="preserve">w</w:t>
      </w:r>
      <w:r>
        <w:t xml:space="preserve">_j is the residual between-study</w:t>
      </w:r>
      <w:r>
        <w:t xml:space="preserve"> </w:t>
      </w:r>
      <w:r>
        <w:t xml:space="preserve">variance component.</w:t>
      </w:r>
    </w:p>
    <w:p>
      <w:pPr>
        <w:pStyle w:val="BodyText"/>
      </w:pPr>
      <w:r>
        <w:rPr>
          <w:bCs/>
          <w:b/>
        </w:rPr>
        <w:t xml:space="preserve">Estimation.</w:t>
      </w:r>
      <w:r>
        <w:t xml:space="preserve"> </w:t>
      </w:r>
      <w:r>
        <w:t xml:space="preserve">Parameters are estimated by Restricted Maximum</w:t>
      </w:r>
      <w:r>
        <w:t xml:space="preserve"> </w:t>
      </w:r>
      <w:r>
        <w:t xml:space="preserve">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w:t>
      </w:r>
      <w:r>
        <w:t xml:space="preserve"> </w:t>
      </w:r>
      <w:r>
        <w:t xml:space="preserve">(Viechtbauer, 2010), with the variance-covariance matrix for multiple</w:t>
      </w:r>
      <w:r>
        <w:t xml:space="preserve"> </w:t>
      </w:r>
      <w:r>
        <w:t xml:space="preserve">effects within studies specified as compound-symmetric. The REML</w:t>
      </w:r>
      <w:r>
        <w:t xml:space="preserve"> </w:t>
      </w:r>
      <w:r>
        <w:t xml:space="preserve">estimator was preferred over full ML because it produces unbiased</w:t>
      </w:r>
      <w:r>
        <w:t xml:space="preserve"> </w:t>
      </w:r>
      <w:r>
        <w:t xml:space="preserve">variance component estimates when the number of studies (</w:t>
      </w:r>
      <w:r>
        <w:rPr>
          <w:iCs/>
          <w:i/>
        </w:rPr>
        <w:t xml:space="preserve">k</w:t>
      </w:r>
      <w:r>
        <w:t xml:space="preserve">) is</w:t>
      </w:r>
      <w:r>
        <w:t xml:space="preserve"> </w:t>
      </w:r>
      <w:r>
        <w:t xml:space="preserve">moderate relative to the number of moderators (</w:t>
      </w:r>
      <w:r>
        <w:rPr>
          <w:iCs/>
          <w:i/>
        </w:rPr>
        <w:t xml:space="preserve">p</w:t>
      </w:r>
      <w:r>
        <w:t xml:space="preserve">), the condition that</w:t>
      </w:r>
      <w:r>
        <w:t xml:space="preserve"> </w:t>
      </w:r>
      <w:r>
        <w:t xml:space="preserve">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w:t>
      </w:r>
      <w:r>
        <w:t xml:space="preserve"> </w:t>
      </w:r>
      <w:r>
        <w:t xml:space="preserve">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w:t>
      </w:r>
      <w:r>
        <w:t xml:space="preserve"> </w:t>
      </w:r>
      <w:r>
        <w:t xml:space="preserve">stabilize variance and approximate normality (Hedges &amp; Olkin, 1985). All</w:t>
      </w:r>
      <w:r>
        <w:t xml:space="preserve"> </w:t>
      </w:r>
      <w:r>
        <w:t xml:space="preserve">reported results are back-transformed to</w:t>
      </w:r>
      <w:r>
        <w:t xml:space="preserve"> </w:t>
      </w:r>
      <w:r>
        <w:rPr>
          <w:iCs/>
          <w:i/>
        </w:rPr>
        <w:t xml:space="preserve">r</w:t>
      </w:r>
      <w:r>
        <w:t xml:space="preserve"> </w:t>
      </w:r>
      <w:r>
        <w:t xml:space="preserve">for interpretability. For</w:t>
      </w:r>
      <w:r>
        <w:t xml:space="preserve"> </w:t>
      </w:r>
      <w:r>
        <w:t xml:space="preserve">regression β-derived</w:t>
      </w:r>
      <w:r>
        <w:t xml:space="preserve"> </w:t>
      </w:r>
      <w:r>
        <w:rPr>
          <w:iCs/>
          <w:i/>
        </w:rPr>
        <w:t xml:space="preserve">r</w:t>
      </w:r>
      <w:r>
        <w:t xml:space="preserve">_partial values (Peterson &amp; Brown, 2005), the</w:t>
      </w:r>
      <w:r>
        <w:t xml:space="preserve"> </w:t>
      </w:r>
      <w:r>
        <w:t xml:space="preserve">same Fisher transformation is applied.</w:t>
      </w:r>
    </w:p>
    <w:p>
      <w:pPr>
        <w:pStyle w:val="BodyText"/>
      </w:pPr>
      <w:r>
        <w:rPr>
          <w:bCs/>
          <w:b/>
        </w:rPr>
        <w:t xml:space="preserve">Heterogeneity decomposition.</w:t>
      </w:r>
      <w:r>
        <w:t xml:space="preserve"> </w:t>
      </w:r>
      <w:r>
        <w:t xml:space="preserve">The proportional heterogeneity at each</w:t>
      </w:r>
      <w:r>
        <w:t xml:space="preserve"> </w:t>
      </w:r>
      <w:r>
        <w:t xml:space="preserve">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w:t>
      </w:r>
      <w:r>
        <w:t xml:space="preserve"> </w:t>
      </w:r>
      <w:r>
        <w:t xml:space="preserve">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w:t>
      </w:r>
      <w:r>
        <w:t xml:space="preserve"> </w:t>
      </w:r>
      <w:r>
        <w:t xml:space="preserve">the total systematic heterogeneity, analogous to</w:t>
      </w:r>
      <w:r>
        <w:t xml:space="preserve"> </w:t>
      </w:r>
      <w:r>
        <w:rPr>
          <w:iCs/>
          <w:i/>
        </w:rPr>
        <w:t xml:space="preserve">I</w:t>
      </w:r>
      <w:r>
        <w:t xml:space="preserve">² in the</w:t>
      </w:r>
      <w:r>
        <w:t xml:space="preserve"> </w:t>
      </w:r>
      <w:r>
        <w:t xml:space="preserve">conventional random-effects model.</w:t>
      </w:r>
    </w:p>
    <w:p>
      <w:pPr>
        <w:pStyle w:val="BodyText"/>
      </w:pPr>
      <w:r>
        <w:rPr>
          <w:bCs/>
          <w:b/>
        </w:rPr>
        <w:t xml:space="preserve">Moderator significance.</w:t>
      </w:r>
      <w:r>
        <w:t xml:space="preserve"> </w:t>
      </w:r>
      <w:r>
        <w:t xml:space="preserve">The omnibus test for each categorical</w:t>
      </w:r>
      <w:r>
        <w:t xml:space="preserve"> </w:t>
      </w:r>
      <w:r>
        <w:t xml:space="preserve">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w:t>
      </w:r>
      <w:r>
        <w:t xml:space="preserve"> </w:t>
      </w:r>
      <w:r>
        <w:t xml:space="preserve">degrees of freedom; it is interpreted as a test of whether the</w:t>
      </w:r>
      <w:r>
        <w:t xml:space="preserve"> </w:t>
      </w:r>
      <w:r>
        <w:t xml:space="preserve">between-regime or between-phase variance in pooled effect sizes exceeds</w:t>
      </w:r>
      <w:r>
        <w:t xml:space="preserve"> </w:t>
      </w:r>
      <w:r>
        <w:t xml:space="preserve">what would be expected under sampling error alone. Pairwise regime</w:t>
      </w:r>
      <w:r>
        <w:t xml:space="preserve"> </w:t>
      </w:r>
      <w:r>
        <w:t xml:space="preserve">comparisons use the Holm–Bonferroni correction for multiplicity. For</w:t>
      </w:r>
      <w:r>
        <w:t xml:space="preserve"> </w:t>
      </w:r>
      <w:r>
        <w:t xml:space="preserve">continuous cDAI, the significance of</w:t>
      </w:r>
      <w:r>
        <w:t xml:space="preserve"> </w:t>
      </w:r>
      <w:r>
        <w:rPr>
          <w:iCs/>
          <w:i/>
        </w:rPr>
        <w:t xml:space="preserve">β</w:t>
      </w:r>
      <w:r>
        <w:t xml:space="preserve">_cDAI is assessed using a</w:t>
      </w:r>
      <w:r>
        <w:t xml:space="preserve"> </w:t>
      </w:r>
      <w:r>
        <w:t xml:space="preserve">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w:t>
      </w:r>
      <w:r>
        <w:t xml:space="preserve"> </w:t>
      </w:r>
      <w:r>
        <w:t xml:space="preserve">the graduated approach recommended by Borenstein et al. (2021, ch. 30)</w:t>
      </w:r>
      <w:r>
        <w:t xml:space="preserve"> </w:t>
      </w:r>
      <w:r>
        <w:t xml:space="preserve">and Vevea and Woods (2005). First,</w:t>
      </w:r>
      <w:r>
        <w:t xml:space="preserve"> </w:t>
      </w:r>
      <w:r>
        <w:rPr>
          <w:bCs/>
          <w:b/>
        </w:rPr>
        <w:t xml:space="preserve">Egger's weighted regression test</w:t>
      </w:r>
      <w:r>
        <w:t xml:space="preserve"> </w:t>
      </w:r>
      <w:r>
        <w:t xml:space="preserve">(Egger et al., 1997) regresses the standardized effect size on its</w:t>
      </w:r>
      <w:r>
        <w:t xml:space="preserve"> </w:t>
      </w:r>
      <w:r>
        <w:t xml:space="preserve">precision (inverse standard error); the intercept tests for funnel-plot</w:t>
      </w:r>
      <w:r>
        <w:t xml:space="preserve"> </w:t>
      </w:r>
      <w:r>
        <w:t xml:space="preserve">asymmetry. Second,</w:t>
      </w:r>
      <w:r>
        <w:t xml:space="preserve"> </w:t>
      </w:r>
      <w:r>
        <w:rPr>
          <w:bCs/>
          <w:b/>
        </w:rPr>
        <w:t xml:space="preserve">Begg and Mazumdar's rank correlation test</w:t>
      </w:r>
      <w:r>
        <w:t xml:space="preserve"> </w:t>
      </w:r>
      <w:r>
        <w:t xml:space="preserve">(1994)</w:t>
      </w:r>
      <w:r>
        <w:t xml:space="preserve"> </w:t>
      </w:r>
      <w:r>
        <w:t xml:space="preserve">provides a non-parametric alternative that is less sensitive to</w:t>
      </w:r>
      <w:r>
        <w:t xml:space="preserve"> </w:t>
      </w:r>
      <w:r>
        <w:t xml:space="preserve">outliers. Third, the</w:t>
      </w:r>
      <w:r>
        <w:t xml:space="preserve"> </w:t>
      </w:r>
      <w:r>
        <w:rPr>
          <w:bCs/>
          <w:b/>
        </w:rPr>
        <w:t xml:space="preserve">trim-and-fill procedure</w:t>
      </w:r>
      <w:r>
        <w:t xml:space="preserve"> </w:t>
      </w:r>
      <w:r>
        <w:t xml:space="preserve">(Duval &amp; Tweedie, 2000)</w:t>
      </w:r>
      <w:r>
        <w:t xml:space="preserve"> </w:t>
      </w:r>
      <w:r>
        <w:t xml:space="preserve">imputes the theoretically missing studies on the left side of the funnel</w:t>
      </w:r>
      <w:r>
        <w:t xml:space="preserve"> </w:t>
      </w:r>
      <w:r>
        <w:t xml:space="preserve">plot and re-estimates the pooled effect; the adjusted estimate is</w:t>
      </w:r>
      <w:r>
        <w:t xml:space="preserve"> </w:t>
      </w:r>
      <w:r>
        <w:t xml:space="preserve">compared with the unadjusted to quantify the maximum bias attributable</w:t>
      </w:r>
      <w:r>
        <w:t xml:space="preserve"> </w:t>
      </w:r>
      <w:r>
        <w:t xml:space="preserve">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w:t>
      </w:r>
      <w:r>
        <w:t xml:space="preserve"> </w:t>
      </w:r>
      <w:r>
        <w:t xml:space="preserve">number of null-effect (</w:t>
      </w:r>
      <w:r>
        <w:rPr>
          <w:iCs/>
          <w:i/>
        </w:rPr>
        <w:t xml:space="preserve">r</w:t>
      </w:r>
      <w:r>
        <w:t xml:space="preserve"> </w:t>
      </w:r>
      <w:r>
        <w:t xml:space="preserve">= 0) unpublished studies required to reduce</w:t>
      </w:r>
      <w:r>
        <w:t xml:space="preserve"> </w:t>
      </w:r>
      <w:r>
        <w:t xml:space="preserve">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w:t>
      </w:r>
      <w:r>
        <w:t xml:space="preserve"> </w:t>
      </w:r>
      <w:r>
        <w:t xml:space="preserve">(Cohen,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w:t>
      </w:r>
      <w:r>
        <w:t xml:space="preserve"> </w:t>
      </w:r>
      <w:r>
        <w:t xml:space="preserve">interpreted as indicating that publication bias, while potentially</w:t>
      </w:r>
      <w:r>
        <w:t xml:space="preserve"> </w:t>
      </w:r>
      <w:r>
        <w:t xml:space="preserve">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w:t>
      </w:r>
      <w:r>
        <w:t xml:space="preserve"> </w:t>
      </w:r>
      <w:r>
        <w:t xml:space="preserve">2014) is applied as a model-based publication bias correction: the</w:t>
      </w:r>
      <w:r>
        <w:t xml:space="preserve"> </w:t>
      </w:r>
      <w:r>
        <w:t xml:space="preserve">precision-effect test (PET) regresses effect sizes on their standard</w:t>
      </w:r>
      <w:r>
        <w:t xml:space="preserve"> </w:t>
      </w:r>
      <w:r>
        <w:t xml:space="preserve">errors; if significant, the precision-effect estimate with standard</w:t>
      </w:r>
      <w:r>
        <w:t xml:space="preserve"> </w:t>
      </w:r>
      <w:r>
        <w:t xml:space="preserve">error (PEESE) substitutes the standard error squared as the regressor,</w:t>
      </w:r>
      <w:r>
        <w:t xml:space="preserve"> </w:t>
      </w:r>
      <w:r>
        <w:t xml:space="preserve">providing an estimate of the true effect after correcting for</w:t>
      </w:r>
      <w:r>
        <w:t xml:space="preserve"> </w:t>
      </w:r>
      <w:r>
        <w:t xml:space="preserve">small-study bias.</w:t>
      </w:r>
    </w:p>
    <w:bookmarkEnd w:id="37"/>
    <w:bookmarkStart w:id="38" w:name="Xe36430cf7d8e0a8c6df93020e9507d5e203e939"/>
    <w:p>
      <w:pPr>
        <w:pStyle w:val="Heading3"/>
      </w:pPr>
      <w:r>
        <w:t xml:space="preserve">3.7 Robustness Checks</w:t>
      </w:r>
    </w:p>
    <w:p>
      <w:pPr>
        <w:pStyle w:val="FirstParagraph"/>
      </w:pPr>
      <w:r>
        <w:t xml:space="preserve">The following pre-specified robustness checks evaluate the sensitivity</w:t>
      </w:r>
      <w:r>
        <w:t xml:space="preserve"> </w:t>
      </w:r>
      <w:r>
        <w:t xml:space="preserve">of the main findings to modelling choices, sample restrictions, and</w:t>
      </w:r>
      <w:r>
        <w:t xml:space="preserve"> </w:t>
      </w:r>
      <w:r>
        <w:t xml:space="preserve">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w:t>
      </w:r>
      <w:r>
        <w:t xml:space="preserve"> </w:t>
      </w:r>
      <w:r>
        <w:t xml:space="preserve">estimated under both the conventional single-level random-effects</w:t>
      </w:r>
      <w:r>
        <w:t xml:space="preserve"> </w:t>
      </w:r>
      <w:r>
        <w:t xml:space="preserve">model (ignoring within-study nesting) and the three-level model</w:t>
      </w:r>
      <w:r>
        <w:t xml:space="preserve"> </w:t>
      </w:r>
      <w:r>
        <w:t xml:space="preserve">(accounting for it); substantive divergence (Δ</w:t>
      </w:r>
      <w:r>
        <w:rPr>
          <w:iCs/>
          <w:i/>
        </w:rPr>
        <w:t xml:space="preserve">r</w:t>
      </w:r>
      <w:r>
        <w:t xml:space="preserve"> </w:t>
      </w:r>
      <w:r>
        <w:t xml:space="preserve">&gt; 0.02) would</w:t>
      </w:r>
      <w:r>
        <w:t xml:space="preserve"> </w:t>
      </w:r>
      <w:r>
        <w:t xml:space="preserve">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w:t>
      </w:r>
      <w:r>
        <w:t xml:space="preserve"> </w:t>
      </w:r>
      <w:r>
        <w:t xml:space="preserve">the resulting distribution of</w:t>
      </w:r>
      <w:r>
        <w:t xml:space="preserve"> </w:t>
      </w:r>
      <w:r>
        <w:rPr>
          <w:iCs/>
          <w:i/>
        </w:rPr>
        <w:t xml:space="preserve">k</w:t>
      </w:r>
      <w:r>
        <w:t xml:space="preserve"> </w:t>
      </w:r>
      <w:r>
        <w:t xml:space="preserve">− 1 estimates is used to identify</w:t>
      </w:r>
      <w:r>
        <w:t xml:space="preserve"> </w:t>
      </w:r>
      <w:r>
        <w:t xml:space="preserve">influential studies (Cook's distance &gt; 4/</w:t>
      </w:r>
      <w:r>
        <w:rPr>
          <w:iCs/>
          <w:i/>
        </w:rPr>
        <w:t xml:space="preserve">k</w:t>
      </w:r>
      <w:r>
        <w:t xml:space="preserve">) and assess the</w:t>
      </w:r>
      <w:r>
        <w:t xml:space="preserve"> </w:t>
      </w:r>
      <w:r>
        <w:t xml:space="preserve">stability of the pooled estimate.</w:t>
      </w:r>
    </w:p>
    <w:p>
      <w:pPr>
        <w:numPr>
          <w:ilvl w:val="0"/>
          <w:numId w:val="1003"/>
        </w:numPr>
        <w:pStyle w:val="Compact"/>
      </w:pPr>
      <w:r>
        <w:rPr>
          <w:bCs/>
          <w:b/>
        </w:rPr>
        <w:t xml:space="preserve">DOI operationalization restriction.</w:t>
      </w:r>
      <w:r>
        <w:t xml:space="preserve"> </w:t>
      </w:r>
      <w:r>
        <w:t xml:space="preserve">The baseline is re-estimated</w:t>
      </w:r>
      <w:r>
        <w:t xml:space="preserve"> </w:t>
      </w:r>
      <w:r>
        <w:t xml:space="preserve">restricting the sample to FSTS-only studies, which provide the most</w:t>
      </w:r>
      <w:r>
        <w:t xml:space="preserve"> </w:t>
      </w:r>
      <w:r>
        <w:t xml:space="preserve">comparable internationalization measure across papers (Helpman et</w:t>
      </w:r>
      <w:r>
        <w:t xml:space="preserve"> </w:t>
      </w:r>
      <w:r>
        <w:t xml:space="preserve">al., 2004). ICRV gradient and DPL phase findings are assessed for</w:t>
      </w:r>
      <w:r>
        <w:t xml:space="preserve"> </w:t>
      </w:r>
      <w:r>
        <w:t xml:space="preserve">consistency.</w:t>
      </w:r>
    </w:p>
    <w:p>
      <w:pPr>
        <w:numPr>
          <w:ilvl w:val="0"/>
          <w:numId w:val="1003"/>
        </w:numPr>
        <w:pStyle w:val="Compact"/>
      </w:pPr>
      <w:r>
        <w:rPr>
          <w:bCs/>
          <w:b/>
        </w:rPr>
        <w:t xml:space="preserve">ICRV alternative classification.</w:t>
      </w:r>
      <w:r>
        <w:t xml:space="preserve"> </w:t>
      </w:r>
      <w:r>
        <w:t xml:space="preserve">The WGI Rule of Law dimension</w:t>
      </w:r>
      <w:r>
        <w:t xml:space="preserve"> </w:t>
      </w:r>
      <w:r>
        <w:t xml:space="preserve">is replaced by the WGI composite governance index (average of six</w:t>
      </w:r>
      <w:r>
        <w:t xml:space="preserve"> </w:t>
      </w:r>
      <w:r>
        <w:t xml:space="preserve">dimensions: Voice and Accountability, Political Stability,</w:t>
      </w:r>
      <w:r>
        <w:t xml:space="preserve"> </w:t>
      </w:r>
      <w:r>
        <w:t xml:space="preserve">Government Effectiveness, Regulatory Quality, Rule of Law, Control</w:t>
      </w:r>
      <w:r>
        <w:t xml:space="preserve"> </w:t>
      </w:r>
      <w:r>
        <w:t xml:space="preserve">of Corruption) as the regime classifier. Regime boundaries are</w:t>
      </w:r>
      <w:r>
        <w:t xml:space="preserve"> </w:t>
      </w:r>
      <w:r>
        <w:t xml:space="preserve">maintained at the same percentile thresholds; robustness requires</w:t>
      </w:r>
      <w:r>
        <w:t xml:space="preserve"> </w:t>
      </w:r>
      <w:r>
        <w:t xml:space="preserve">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w:t>
      </w:r>
      <w:r>
        <w:t xml:space="preserve"> </w:t>
      </w:r>
      <w:r>
        <w:t xml:space="preserve">studies (</w:t>
      </w:r>
      <w:r>
        <w:rPr>
          <w:iCs/>
          <w:i/>
        </w:rPr>
        <w:t xml:space="preserve">k</w:t>
      </w:r>
      <w:r>
        <w:t xml:space="preserve"> </w:t>
      </w:r>
      <w:r>
        <w:t xml:space="preserve">≈ 180) to test whether vintage effects (older studies</w:t>
      </w:r>
      <w:r>
        <w:t xml:space="preserve"> </w:t>
      </w:r>
      <w:r>
        <w:t xml:space="preserve">averaging lower digital infrastructure environments) account for DPL</w:t>
      </w:r>
      <w:r>
        <w:t xml:space="preserve"> </w:t>
      </w:r>
      <w:r>
        <w:t xml:space="preserve">phase findings independently of the theoretical mechanism.</w: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w:t>
      </w:r>
    </w:p>
    <w:p>
      <w:pPr>
        <w:pStyle w:val="BodyText"/>
      </w:pPr>
      <w:r>
        <w:rPr>
          <w:bCs/>
          <w:b/>
        </w:rPr>
        <w:t xml:space="preserve">Table 3.1, Inter-coder reliability</w:t>
      </w:r>
      <w:r>
        <w:t xml:space="preserve"> </w:t>
      </w:r>
      <w:r>
        <w:rPr>
          <w:iCs/>
          <w:i/>
        </w:rPr>
        <w:t xml:space="preserve">(two authors independently coded a 20% stratified subsample, k = 47 studies, blind to each other's codes)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Target threshold</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[insert after dual-coding]</w:t>
            </w:r>
          </w:p>
        </w:tc>
        <w:tc>
          <w:tcPr/>
          <w:p>
            <w:pPr>
              <w:pStyle w:val="Compact"/>
              <w:jc w:val="left"/>
            </w:pPr>
            <w:r>
              <w:t xml:space="preserve">≥ 0.80</w:t>
            </w:r>
          </w:p>
        </w:tc>
      </w:tr>
    </w:tbl>
    <w:p>
      <w:pPr>
        <w:pStyle w:val="BodyText"/>
      </w:pPr>
      <w:r>
        <w:rPr>
          <w:iCs/>
          <w:i/>
        </w:rPr>
        <w:t xml:space="preserve">Note.</w:t>
      </w:r>
      <w:r>
        <w:t xml:space="preserve"> </w:t>
      </w:r>
      <w:r>
        <w:t xml:space="preserve">The full corpus was coded by the first author against the standardized codebook (Appendix B). For reliability, the two authors independently coded a 20% stratified subsample (k = 47 studies), blind to each other's codes; agreement was assessed with Cohen's κ for the categorical moderators and ICC(2, 1) for the continuous cDAI index, against the Landis and Koch (1977) thresholds (κ ≥ 0.70; ICC ≥ 0.80). Disagreements were resolved by discussion, with Regime II/III boundary cases adjudicated by lookup of WGI Rule of Law vintage scores.</w:t>
      </w:r>
    </w:p>
    <w:p>
      <w:pPr>
        <w:pStyle w:val="BodyText"/>
      </w:pPr>
      <w:r>
        <w:rPr>
          <w:bCs/>
          <w:b/>
        </w:rPr>
        <w:t xml:space="preserve">Table 4.1, Sample composition</w:t>
      </w:r>
      <w:r>
        <w:t xml:space="preserve"> </w:t>
      </w:r>
      <w:r>
        <w:rPr>
          <w:iCs/>
          <w:i/>
        </w:rPr>
        <w:t xml:space="preserve">(K =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the coded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Study (</w:t>
      </w:r>
      <w:r>
        <w:rPr>
          <w:iCs/>
          <w:i/>
        </w:rPr>
        <w:t xml:space="preserve">k</w:t>
      </w:r>
      <w:r>
        <w:t xml:space="preserve">) counts by cDAI/DPL are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91</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(k=91,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42"/>
    <w:bookmarkStart w:id="43"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cDAI amplification (H3) gradient hypothesis.</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4"/>
    <w:bookmarkStart w:id="45"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far exceeding the</w:t>
      </w:r>
      <w:r>
        <w:t xml:space="preserve"> </w:t>
      </w:r>
      <w:r>
        <w:t xml:space="preserve">criterion of 5</w:t>
      </w:r>
      <w:r>
        <w:rPr>
          <w:iCs/>
          <w:i/>
        </w:rPr>
        <w:t xml:space="preserve">k</w:t>
      </w:r>
      <w:r>
        <w:t xml:space="preserve"> </w:t>
      </w:r>
      <w:r>
        <w:t xml:space="preserve">+ 10 = 1,195; even under extreme publication</w:t>
      </w:r>
      <w:r>
        <w:t xml:space="preserve"> </w:t>
      </w:r>
      <w:r>
        <w:t xml:space="preserve">suppression assumptions, a trivially small effect would require 44,782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91;</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present corpus. Future 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 "positive I→P relationship" is partially an</w:t>
      </w:r>
      <w:r>
        <w:t xml:space="preserve"> </w:t>
      </w:r>
      <w:r>
        <w:t xml:space="preserve">artifact of selective publication rather than a robust phenomenon.</w:t>
      </w:r>
    </w:p>
    <w:bookmarkEnd w:id="49"/>
    <w:bookmarkStart w:id="50"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51"/>
    <w:bookmarkEnd w:id="52"/>
    <w:bookmarkStart w:id="53"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present</w:t>
      </w:r>
      <w:r>
        <w:t xml:space="preserve"> </w:t>
      </w:r>
      <w:r>
        <w:rPr>
          <w:iCs/>
          <w:i/>
        </w:rPr>
        <w:t xml:space="preserve">k</w:t>
      </w:r>
      <w:r>
        <w:t xml:space="preserve"> </w:t>
      </w:r>
      <w:r>
        <w:t xml:space="preserve">= 238 corpus;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reliability was established on a 20% double-coded subsample (</w:t>
      </w:r>
      <w:r>
        <w:rPr>
          <w:iCs/>
          <w:i/>
        </w:rPr>
        <w:t xml:space="preserve">k</w:t>
      </w:r>
      <w:r>
        <w:t xml:space="preserve"> </w:t>
      </w:r>
      <w:r>
        <w:t xml:space="preserve">= 47 studies), with the two authors coding independently and agreement reported in Table 3.1; the remaining 80% was single-coded by the first author against the codebook, which, while standard for resource-bounded syntheses, cannot be independently validated.</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53"/>
    <w:bookmarkStart w:id="54"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7"/>
    <w:bookmarkStart w:id="61"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8">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9">
        <w:r>
          <w:rPr>
            <w:rStyle w:val="Hyperlink"/>
          </w:rPr>
          <w:t xml:space="preserve">https://doi.org/10.1136/bmj.n71</w:t>
        </w:r>
      </w:hyperlink>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0">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1"/>
    <w:bookmarkStart w:id="62" w:name="X6e5cfb15c9bb56aea620267700f1f842431a0be"/>
    <w:p>
      <w:pPr>
        <w:pStyle w:val="Heading2"/>
      </w:pPr>
      <w:r>
        <w:t xml:space="preserve">Appendix A, PRISMA 2020 Flow (Studies Identified via Other Methods)</w:t>
      </w:r>
    </w:p>
    <w:p>
      <w:pPr>
        <w:pStyle w:val="FirstParagraph"/>
      </w:pPr>
      <w:r>
        <w:t xml:space="preserve">The corpus was assembled through citation-anchored systematic searching rather than a single database census; the flow is therefore reported under the PRISMA 2020 "studies identified via other methods" variant (Page et al., 2021).</w:t>
      </w:r>
    </w:p>
    <w:p>
      <w:pPr>
        <w:pStyle w:val="SourceCode"/>
      </w:pPr>
      <w:r>
        <w:rPr>
          <w:rStyle w:val="VerbatimChar"/>
        </w:rPr>
        <w:t xml:space="preserve">IDENTIFICATION</w:t>
      </w:r>
      <w:r>
        <w:br/>
      </w:r>
      <w:r>
        <w:rPr>
          <w:rStyle w:val="VerbatimChar"/>
        </w:rPr>
        <w:t xml:space="preserve">─────────────────────────────────────────────────────────────────</w:t>
      </w:r>
      <w:r>
        <w:br/>
      </w:r>
      <w:r>
        <w:rPr>
          <w:rStyle w:val="VerbatimChar"/>
        </w:rPr>
        <w:t xml:space="preserve">Studies identified via other methods:</w:t>
      </w:r>
      <w:r>
        <w:br/>
      </w:r>
      <w:r>
        <w:rPr>
          <w:rStyle w:val="VerbatimChar"/>
        </w:rPr>
        <w:t xml:space="preserve">  Backward citation scan (reference lists of 5 anchor meta-analyses)</w:t>
      </w:r>
      <w:r>
        <w:br/>
      </w:r>
      <w:r>
        <w:rPr>
          <w:rStyle w:val="VerbatimChar"/>
        </w:rPr>
        <w:t xml:space="preserve">  Forward citation scan (Google Scholar citing the 5 anchors, post-2022)</w:t>
      </w:r>
      <w:r>
        <w:br/>
      </w:r>
      <w:r>
        <w:rPr>
          <w:rStyle w:val="VerbatimChar"/>
        </w:rPr>
        <w:t xml:space="preserve">  Hand-search (author's corpus, 2020–2026): n = 19</w:t>
      </w:r>
      <w:r>
        <w:br/>
      </w:r>
      <w:r>
        <w:rPr>
          <w:rStyle w:val="VerbatimChar"/>
        </w:rPr>
        <w:t xml:space="preserve">  Supplementary structured queries (WoS, Scopus, specialist</w:t>
      </w:r>
      <w:r>
        <w:br/>
      </w:r>
      <w:r>
        <w:rPr>
          <w:rStyle w:val="VerbatimChar"/>
        </w:rPr>
        <w:t xml:space="preserve">    databases) to check coverage of the citation network</w:t>
      </w:r>
      <w:r>
        <w:br/>
      </w:r>
      <w:r>
        <w:br/>
      </w:r>
      <w:r>
        <w:rPr>
          <w:rStyle w:val="VerbatimChar"/>
        </w:rPr>
        <w:t xml:space="preserve">SCREENING / ELIGIBILITY</w:t>
      </w:r>
      <w:r>
        <w:br/>
      </w:r>
      <w:r>
        <w:rPr>
          <w:rStyle w:val="VerbatimChar"/>
        </w:rPr>
        <w:t xml:space="preserve">─────────────────────────────────────────────────────────────────</w:t>
      </w:r>
      <w:r>
        <w:br/>
      </w:r>
      <w:r>
        <w:rPr>
          <w:rStyle w:val="VerbatimChar"/>
        </w:rPr>
        <w:t xml:space="preserve">Records screened in two stages against the eligibility criteria</w:t>
      </w:r>
      <w:r>
        <w:br/>
      </w:r>
      <w:r>
        <w:rPr>
          <w:rStyle w:val="VerbatimChar"/>
        </w:rPr>
        <w:t xml:space="preserve">(Section 3.2): title/abstract, then full text. Full-text exclusion</w:t>
      </w:r>
      <w:r>
        <w:br/>
      </w:r>
      <w:r>
        <w:rPr>
          <w:rStyle w:val="VerbatimChar"/>
        </w:rPr>
        <w:t xml:space="preserve">reasons: no effect size convertible to r; internationalization not</w:t>
      </w:r>
      <w:r>
        <w:br/>
      </w:r>
      <w:r>
        <w:rPr>
          <w:rStyle w:val="VerbatimChar"/>
        </w:rPr>
        <w:t xml:space="preserve">measured at the firm level; duplicate sample (smaller/older record</w:t>
      </w:r>
      <w:r>
        <w:br/>
      </w:r>
      <w:r>
        <w:rPr>
          <w:rStyle w:val="VerbatimChar"/>
        </w:rPr>
        <w:t xml:space="preserve">removed); meta-analysis or review rather than a primary study;</w:t>
      </w:r>
      <w:r>
        <w:br/>
      </w:r>
      <w:r>
        <w:rPr>
          <w:rStyle w:val="VerbatimChar"/>
        </w:rPr>
        <w:t xml:space="preserve">conference paper, thesis, working paper, or book chapter (grey</w:t>
      </w:r>
      <w:r>
        <w:br/>
      </w:r>
      <w:r>
        <w:rPr>
          <w:rStyle w:val="VerbatimChar"/>
        </w:rPr>
        <w:t xml:space="preserve">literature documented but excluded from the primary model).</w:t>
      </w:r>
      <w:r>
        <w:br/>
      </w:r>
      <w:r>
        <w:br/>
      </w:r>
      <w:r>
        <w:rPr>
          <w:rStyle w:val="VerbatimChar"/>
        </w:rPr>
        <w:t xml:space="preserve">INCLUDED</w:t>
      </w:r>
      <w:r>
        <w:br/>
      </w:r>
      <w:r>
        <w:rPr>
          <w:rStyle w:val="VerbatimChar"/>
        </w:rPr>
        <w:t xml:space="preserve">─────────────────────────────────────────────────────────────────</w:t>
      </w:r>
      <w:r>
        <w:br/>
      </w:r>
      <w:r>
        <w:rPr>
          <w:rStyle w:val="VerbatimChar"/>
        </w:rPr>
        <w:t xml:space="preserve">Studies included in meta-analysis: k = 238</w:t>
      </w:r>
      <w:r>
        <w:br/>
      </w:r>
      <w:r>
        <w:rPr>
          <w:rStyle w:val="VerbatimChar"/>
        </w:rPr>
        <w:t xml:space="preserve">Effect sizes coded:                K = 288</w:t>
      </w:r>
    </w:p>
    <w:p>
      <w:pPr>
        <w:pStyle w:val="FirstParagraph"/>
      </w:pPr>
      <w:r>
        <w:t xml:space="preserve">Because identification proceeded by citation chaining, stage-level database-census counts (total identified, deduplicated, and per-reason exclusion tallies) were not maintained as a single database export and are not reported as such; the synthesized set (k = 238; K = 288) is fixed and data-backed.</w:t>
      </w:r>
    </w:p>
    <w:p>
      <w:pPr>
        <w:pStyle w:val="BodyText"/>
      </w:pPr>
      <w:r>
        <w:rPr>
          <w:iCs/>
          <w:i/>
        </w:rPr>
        <w:t xml:space="preserve">The PRISMA 2020 checklist (Page et al., 2021) is available from the corresponding author.</w:t>
      </w:r>
    </w:p>
    <w:bookmarkEnd w:id="62"/>
    <w:bookmarkStart w:id="63" w:name="appendix-b-coding-protocol-7-moderators"/>
    <w:p>
      <w:pPr>
        <w:pStyle w:val="Heading2"/>
      </w:pPr>
      <w:r>
        <w:t xml:space="preserve">Appendix B,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(5 codes)</w:t>
            </w:r>
          </w:p>
        </w:tc>
        <w:tc>
          <w:tcPr/>
          <w:p>
            <w:pPr>
              <w:pStyle w:val="Compact"/>
              <w:jc w:val="left"/>
            </w:pPr>
            <w:r>
              <w:t xml:space="preserve">WGI Rule of Law, 2023 vintage: I (Advanced-Innovation) &gt; +0.80; II (Upper-Middle): 0–+0.80; III (Emerging): −0.50–0; FR (Frontier/SIDS): &lt; −0.50 or small island state; MX: multi-country pooled (no modal regime ≥ 60%)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bookmarkEnd w:id="63"/>
    <w:bookmarkStart w:id="64" w:name="Xd9634948d23722ae653a4402a0c9331cc7088ab"/>
    <w:p>
      <w:pPr>
        <w:pStyle w:val="Heading2"/>
      </w:pPr>
      <w:r>
        <w:t xml:space="preserve">Appendix C,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w:t>
      </w:r>
      <w:r>
        <w:t xml:space="preserve"> </w:t>
      </w:r>
      <w:r>
        <w:t xml:space="preserve">reflects the expanded</w:t>
      </w:r>
      <w:r>
        <w:t xml:space="preserve"> </w:t>
      </w:r>
      <w:r>
        <w:rPr>
          <w:iCs/>
          <w:i/>
        </w:rPr>
        <w:t xml:space="preserve">k</w:t>
      </w:r>
      <w:r>
        <w:t xml:space="preserve"> </w:t>
      </w:r>
      <w:r>
        <w:t xml:space="preserve">= 238 sample and the three-level structure</w:t>
      </w:r>
      <w:r>
        <w:t xml:space="preserve"> </w:t>
      </w:r>
      <w:r>
        <w:t xml:space="preserve">that partitions variance across levels correctly. The narrower 95% CI</w:t>
      </w:r>
      <w:r>
        <w:t xml:space="preserve"> </w:t>
      </w:r>
      <w:r>
        <w:t xml:space="preserve">reflects the precision gain from 238 vs. 113 studies. The three-level</w:t>
      </w:r>
      <w:r>
        <w:t xml:space="preserve"> </w:t>
      </w:r>
      <w:r>
        <w:t xml:space="preserve">model is theoretically preferred as it accounts for multiple effect</w:t>
      </w:r>
      <w:r>
        <w:t xml:space="preserve"> </w:t>
      </w:r>
      <w:r>
        <w:t xml:space="preserve">sizes nested within studies.</w:t>
      </w:r>
    </w:p>
    <w:p>
      <w:pPr>
        <w:pStyle w:val="BodyText"/>
      </w:pPr>
      <w:r>
        <w:rPr>
          <w:iCs/>
          <w:i/>
        </w:rPr>
        <w:t xml:space="preserve">Word count (excluding tables, references, appendices): ≈ 6,900 words</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2026-06-10T00:01:53Z</dcterms:created>
  <dcterms:modified xsi:type="dcterms:W3CDTF">2026-06-10T00:01:53Z</dcterms:modified>
</cp:coreProperties>
</file>

<file path=docProps/custom.xml><?xml version="1.0" encoding="utf-8"?>
<Properties xmlns="http://schemas.openxmlformats.org/officeDocument/2006/custom-properties" xmlns:vt="http://schemas.openxmlformats.org/officeDocument/2006/docPropsVTypes"/>
</file>