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7.png" ContentType="image/png"/>
  <Override PartName="/word/media/rId5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1"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hand-searching via backward citation tracking was applied to five anchor meta-analyses: Bausch and Krist (2007), Kirca et al. (2012), Marano et al. (2016), Schwens et al. (2018), and Arte and Larimo (2022). Google Scholar was searched with truncated variants of the primary string to identify grey literature and working papers meeting the eligibility criteria.</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"DOI" OR "export intensity")</w:t>
      </w:r>
      <w:r>
        <w:br/>
      </w:r>
      <w:r>
        <w:rPr>
          <w:rStyle w:val="VerbatimChar"/>
        </w:rPr>
        <w:t xml:space="preserve">AND TS = ("firm performance" OR "enterprise performance" OR "corporate performance"</w:t>
      </w:r>
      <w:r>
        <w:br/>
      </w:r>
      <w:r>
        <w:rPr>
          <w:rStyle w:val="VerbatimChar"/>
        </w:rPr>
        <w:t xml:space="preserve">          OR "ROA" OR "Tobin's Q" OR "return on assets" OR "profitability"</w:t>
      </w:r>
      <w:r>
        <w:br/>
      </w:r>
      <w:r>
        <w:rPr>
          <w:rStyle w:val="VerbatimChar"/>
        </w:rPr>
        <w:t xml:space="preserve">          OR "labor productivity" OR "total factor productivity")</w:t>
      </w:r>
      <w:r>
        <w:br/>
      </w:r>
      <w:r>
        <w:rPr>
          <w:rStyle w:val="VerbatimChar"/>
        </w:rPr>
        <w:t xml:space="preserve">AND TS = ("Asia" OR "Asian" OR "Pacific" OR "China" OR "Vietnam" OR "Singapore"</w:t>
      </w:r>
      <w:r>
        <w:br/>
      </w:r>
      <w:r>
        <w:rPr>
          <w:rStyle w:val="VerbatimChar"/>
        </w:rPr>
        <w:t xml:space="preserve">          OR "Korea" OR "Japan" OR "Indonesia" OR "Thailand" OR "emerging market"</w:t>
      </w:r>
      <w:r>
        <w:br/>
      </w:r>
      <w:r>
        <w:rPr>
          <w:rStyle w:val="VerbatimChar"/>
        </w:rPr>
        <w:t xml:space="preserve">          OR "developing economy" OR "transition economy")</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32"/>
    <w:bookmarkStart w:id="33"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bl>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3"/>
    <w:bookmarkStart w:id="36" w:name="X1d41e663e785934d4feadbd21b81f03c51339a8"/>
    <w:p>
      <w:pPr>
        <w:pStyle w:val="Heading3"/>
      </w:pPr>
      <w:r>
        <w:t xml:space="preserve">3.3 Data Extraction and Quality Assurance</w:t>
      </w:r>
    </w:p>
    <w:bookmarkStart w:id="34"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End w:id="36"/>
    <w:bookmarkStart w:id="37"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7"/>
    <w:bookmarkStart w:id="38"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8"/>
    <w:bookmarkStart w:id="39"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9"/>
    <w:bookmarkStart w:id="40"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0"/>
    <w:bookmarkEnd w:id="41"/>
    <w:bookmarkStart w:id="61" w:name="X121719332867ee227f0a04b486098cee978c6e6"/>
    <w:p>
      <w:pPr>
        <w:pStyle w:val="Heading2"/>
      </w:pPr>
      <w:r>
        <w:t xml:space="preserve">4. Results</w:t>
      </w:r>
    </w:p>
    <w:bookmarkStart w:id="42"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2"/>
    <w:bookmarkStart w:id="43"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3"/>
    <w:bookmarkStart w:id="47"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drawing>
          <wp:inline>
            <wp:extent cx="5753100" cy="3502261"/>
            <wp:effectExtent b="0" l="0" r="0" t="0"/>
            <wp:docPr descr="Figure 2: ICRV 5-regime forest plot — subgroup pooled effects with 95% CI" title="" id="45" name="Picture"/>
            <a:graphic>
              <a:graphicData uri="http://schemas.openxmlformats.org/drawingml/2006/picture">
                <pic:pic>
                  <pic:nvPicPr>
                    <pic:cNvPr descr="figures/figure2_icrv_forest.png" id="46" name="Picture"/>
                    <pic:cNvPicPr>
                      <a:picLocks noChangeArrowheads="1" noChangeAspect="1"/>
                    </pic:cNvPicPr>
                  </pic:nvPicPr>
                  <pic:blipFill>
                    <a:blip r:embed="rId44"/>
                    <a:stretch>
                      <a:fillRect/>
                    </a:stretch>
                  </pic:blipFill>
                  <pic:spPr bwMode="auto">
                    <a:xfrm>
                      <a:off x="0" y="0"/>
                      <a:ext cx="5753100" cy="350226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7"/>
    <w:bookmarkStart w:id="48"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8"/>
    <w:bookmarkStart w:id="52"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drawing>
          <wp:inline>
            <wp:extent cx="5753100" cy="4394853"/>
            <wp:effectExtent b="0" l="0" r="0" t="0"/>
            <wp:docPr descr="Figure 3: DPL phase moderation — pooled I→P effect by digital adoption epoch" title="" id="50" name="Picture"/>
            <a:graphic>
              <a:graphicData uri="http://schemas.openxmlformats.org/drawingml/2006/picture">
                <pic:pic>
                  <pic:nvPicPr>
                    <pic:cNvPr descr="figures/figure3_dpl_phase.png" id="51" name="Picture"/>
                    <pic:cNvPicPr>
                      <a:picLocks noChangeArrowheads="1" noChangeAspect="1"/>
                    </pic:cNvPicPr>
                  </pic:nvPicPr>
                  <pic:blipFill>
                    <a:blip r:embed="rId49"/>
                    <a:stretch>
                      <a:fillRect/>
                    </a:stretch>
                  </pic:blipFill>
                  <pic:spPr bwMode="auto">
                    <a:xfrm>
                      <a:off x="0" y="0"/>
                      <a:ext cx="5753100" cy="439485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52"/>
    <w:bookmarkStart w:id="56"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drawing>
          <wp:inline>
            <wp:extent cx="5753100" cy="4596268"/>
            <wp:effectExtent b="0" l="0" r="0" t="0"/>
            <wp:docPr descr="Figure 5: Funnel plot with trim-and-fill imputed studies" title="" id="54" name="Picture"/>
            <a:graphic>
              <a:graphicData uri="http://schemas.openxmlformats.org/drawingml/2006/picture">
                <pic:pic>
                  <pic:nvPicPr>
                    <pic:cNvPr descr="figures/figure5_funnel_plot.png" id="55" name="Picture"/>
                    <pic:cNvPicPr>
                      <a:picLocks noChangeArrowheads="1" noChangeAspect="1"/>
                    </pic:cNvPicPr>
                  </pic:nvPicPr>
                  <pic:blipFill>
                    <a:blip r:embed="rId53"/>
                    <a:stretch>
                      <a:fillRect/>
                    </a:stretch>
                  </pic:blipFill>
                  <pic:spPr bwMode="auto">
                    <a:xfrm>
                      <a:off x="0" y="0"/>
                      <a:ext cx="5753100" cy="4596268"/>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6"/>
    <w:bookmarkStart w:id="60"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drawing>
          <wp:inline>
            <wp:extent cx="5753100" cy="2528007"/>
            <wp:effectExtent b="0" l="0" r="0" t="0"/>
            <wp:docPr descr="Figure 4: Leave-one-out sensitivity — pooled r̄ range across leave-one-out iterations" title="" id="58" name="Picture"/>
            <a:graphic>
              <a:graphicData uri="http://schemas.openxmlformats.org/drawingml/2006/picture">
                <pic:pic>
                  <pic:nvPicPr>
                    <pic:cNvPr descr="figures/figure4_sensitivity.png" id="59" name="Picture"/>
                    <pic:cNvPicPr>
                      <a:picLocks noChangeArrowheads="1" noChangeAspect="1"/>
                    </pic:cNvPicPr>
                  </pic:nvPicPr>
                  <pic:blipFill>
                    <a:blip r:embed="rId57"/>
                    <a:stretch>
                      <a:fillRect/>
                    </a:stretch>
                  </pic:blipFill>
                  <pic:spPr bwMode="auto">
                    <a:xfrm>
                      <a:off x="0" y="0"/>
                      <a:ext cx="5753100" cy="2528007"/>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0"/>
    <w:bookmarkEnd w:id="61"/>
    <w:bookmarkStart w:id="66" w:name="X735612638e4e736e4693e459c258977262c0dfc"/>
    <w:p>
      <w:pPr>
        <w:pStyle w:val="Heading2"/>
      </w:pPr>
      <w:r>
        <w:t xml:space="preserve">5. Discussion</w:t>
      </w:r>
    </w:p>
    <w:bookmarkStart w:id="62"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62"/>
    <w:bookmarkStart w:id="63"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3"/>
    <w:bookmarkStart w:id="64"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4"/>
    <w:bookmarkStart w:id="65"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5"/>
    <w:bookmarkEnd w:id="66"/>
    <w:bookmarkStart w:id="67"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67"/>
    <w:bookmarkStart w:id="71"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w:t>
      </w:r>
      <w:r>
        <w:t xml:space="preserve">, 37(1),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68">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Jacquemin, A. P., &amp; Berry, C. H. (1979). Entropy measure of diversification and corporate growth.</w:t>
      </w:r>
      <w:r>
        <w:t xml:space="preserve"> </w:t>
      </w:r>
      <w:r>
        <w:rPr>
          <w:iCs/>
          <w:i/>
        </w:rPr>
        <w:t xml:space="preserve">Journal of Industrial Economics</w:t>
      </w:r>
      <w:r>
        <w:t xml:space="preserve">, 27(4),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w:t>
      </w:r>
      <w:r>
        <w:t xml:space="preserve">, 16(8),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w:t>
      </w:r>
      <w:r>
        <w:t xml:space="preserve">, 24(4),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w:t>
      </w:r>
      <w:r>
        <w:t xml:space="preserve">, 1(2), 259–269.</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69">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 39(5), 920–936.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Stanley, T. D., &amp; Doucouliagos, H. (2014). Meta-regression approximations to reduce publication selection bias.</w:t>
      </w:r>
      <w:r>
        <w:t xml:space="preserve"> </w:t>
      </w:r>
      <w:r>
        <w:rPr>
          <w:iCs/>
          <w:i/>
        </w:rPr>
        <w:t xml:space="preserve">Research Synthesis Methods</w:t>
      </w:r>
      <w:r>
        <w:t xml:space="preserve">, 5(1),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w:t>
      </w:r>
      <w:r>
        <w:t xml:space="preserve">, 10(4), 428–443.</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World Bank. (2023).</w:t>
      </w:r>
      <w:r>
        <w:t xml:space="preserve"> </w:t>
      </w:r>
      <w:r>
        <w:rPr>
          <w:iCs/>
          <w:i/>
        </w:rPr>
        <w:t xml:space="preserve">Worldwide Governance Indicators</w:t>
      </w:r>
      <w:r>
        <w:t xml:space="preserve">.</w:t>
      </w:r>
      <w:r>
        <w:t xml:space="preserve"> </w:t>
      </w:r>
      <w:hyperlink r:id="rId7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bookmarkEnd w:id="71"/>
    <w:bookmarkStart w:id="72"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72"/>
    <w:bookmarkStart w:id="73"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3"/>
    <w:bookmarkStart w:id="74"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4"/>
    <w:bookmarkEnd w:id="7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hyperlink" Id="rId69" Target="https://doi.org/10.1136/bmj.n71" TargetMode="External" /><Relationship Type="http://schemas.openxmlformats.org/officeDocument/2006/relationships/hyperlink" Id="rId68" Target="https://doi.org/10.5772/intechopen.1011012" TargetMode="External" /><Relationship Type="http://schemas.openxmlformats.org/officeDocument/2006/relationships/hyperlink" Id="rId7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136/bmj.n71" TargetMode="External" /><Relationship Type="http://schemas.openxmlformats.org/officeDocument/2006/relationships/hyperlink" Id="rId68" Target="https://doi.org/10.5772/intechopen.1011012" TargetMode="External" /><Relationship Type="http://schemas.openxmlformats.org/officeDocument/2006/relationships/hyperlink" Id="rId7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2026-05-16T09:51:41Z</dcterms:created>
  <dcterms:modified xsi:type="dcterms:W3CDTF">2026-05-16T09:51:41Z</dcterms:modified>
</cp:coreProperties>
</file>

<file path=docProps/custom.xml><?xml version="1.0" encoding="utf-8"?>
<Properties xmlns="http://schemas.openxmlformats.org/officeDocument/2006/custom-properties" xmlns:vt="http://schemas.openxmlformats.org/officeDocument/2006/docPropsVTypes"/>
</file>