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phân tích đã xác minh</w:t>
      </w:r>
      <w:r>
        <w:t xml:space="preserve">: K=288 effect sizes / k=238 nghiên cứu (hand-coded baseline đã xác minh, sau WoS/Scopus screening), tăng đáng kể so với bản nền ICBEF 2025 (K=200 / k=113). Đây là tập dữ liệu đã được mã hóa thủ công và tái lập được toàn bộ bảng/hình trong bản thảo P6.</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b935b07a7139bdf4772bb962fde35bc1f7deef3"/>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1a84e23bcffcf0b809a67054bf546d98a0649dd"/>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9ef80487c12e0f5dad14bc0925ba05bca166c52"/>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4e8b67ecad9724beebae0d23d08617f128f911b"/>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edb6f4dc9b49a0f3b96ee48ef2b76553c0f737a"/>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xuất khẩu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uốn</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uốn</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xuất khẩu và năng suất lao động tại 9 nền kinh tế Pacific SIDS, không có điểm uốn trong phạm vi dữ liệu quan sát (CDDXK trung bình = 0,060).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uốn</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uốn. Chuyển dịch lý thuyết từ "institutional moderation of I-P intensity" (Marano et al., 2016) sang "institutional determination of I-P sign".</w:t>
      </w:r>
    </w:p>
    <w:p>
      <w:r>
        <w:pict>
          <v:rect style="width:0;height:1.5pt" o:hralign="center" o:hrstd="t" o:hr="t"/>
        </w:pict>
      </w:r>
    </w:p>
    <w:bookmarkEnd w:id="47"/>
    <w:bookmarkStart w:id="48"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bd137c7549379bc59bd868848e5dfb5b5e4e977"/>
    <w:p>
      <w:pPr>
        <w:pStyle w:val="Heading2"/>
      </w:pPr>
      <w:r>
        <w:t xml:space="preserve">5. Kiểm định độ vững</w:t>
      </w:r>
    </w:p>
    <w:bookmarkStart w:id="50" w:name="X431ee618c3d4d2cdcb5311a37313dcf18ed1464"/>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X33d8f36a6a0e8ad3d10f0b0d165a7983b25acc1"/>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X72f2a8f16e87d5c44ffc52bf2b3af577e467955"/>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2026-05-24T23:52:28Z</dcterms:created>
  <dcterms:modified xsi:type="dcterms:W3CDTF">2026-05-24T23:52:28Z</dcterms:modified>
</cp:coreProperties>
</file>

<file path=docProps/custom.xml><?xml version="1.0" encoding="utf-8"?>
<Properties xmlns="http://schemas.openxmlformats.org/officeDocument/2006/custom-properties" xmlns:vt="http://schemas.openxmlformats.org/officeDocument/2006/docPropsVTypes"/>
</file>