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đã xác minh (hand-coded baseline) gồm</w:t>
      </w:r>
      <w:r>
        <w:t xml:space="preserve"> </w:t>
      </w:r>
      <m:oMath>
        <m:r>
          <m:t>k</m:t>
        </m:r>
        <m:r>
          <m:rPr>
            <m:sty m:val="p"/>
          </m:rPr>
          <m:t>=</m:t>
        </m:r>
        <m:r>
          <m:t>238</m:t>
        </m:r>
      </m:oMath>
      <w:r>
        <w:t xml:space="preserve"> </w:t>
      </w:r>
      <w:r>
        <w:t xml:space="preserve">nghiên cứu,</w:t>
      </w:r>
      <w:r>
        <w:t xml:space="preserve"> </w:t>
      </w:r>
      <m:oMath>
        <m:r>
          <m:t>K</m:t>
        </m:r>
        <m:r>
          <m:rPr>
            <m:sty m:val="p"/>
          </m:rPr>
          <m:t>=</m:t>
        </m:r>
        <m:r>
          <m:t>288</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w:t>
      </w:r>
      <m:oMath>
        <m:sSubSup>
          <m:e>
            <m:r>
              <m:t>σ</m:t>
            </m:r>
          </m:e>
          <m:sub>
            <m:d>
              <m:dPr>
                <m:begChr m:val="("/>
                <m:endChr m:val=")"/>
                <m:sepChr m:val=""/>
                <m:grow/>
              </m:dPr>
              <m:e>
                <m:r>
                  <m:t>2</m:t>
                </m:r>
              </m:e>
            </m:d>
          </m:sub>
          <m:sup>
            <m:r>
              <m:t>2</m:t>
            </m:r>
          </m:sup>
        </m:sSubSup>
        <m:r>
          <m:rPr>
            <m:sty m:val="p"/>
          </m:rPr>
          <m:t>=</m:t>
        </m:r>
        <m:r>
          <m:t>0</m:t>
        </m:r>
        <m:r>
          <m:rPr>
            <m:sty m:val="p"/>
          </m:rPr>
          <m:t>,</m:t>
        </m:r>
        <m:r>
          <m:t>00874</m:t>
        </m:r>
      </m:oMath>
      <w:r>
        <w:t xml:space="preserve">).</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 </w:t>
      </w:r>
      <w:r>
        <w:t xml:space="preserve">(</w:t>
      </w:r>
      <m:oMath>
        <m:sSubSup>
          <m:e>
            <m:r>
              <m:t>σ</m:t>
            </m:r>
          </m:e>
          <m:sub>
            <m:d>
              <m:dPr>
                <m:begChr m:val="("/>
                <m:endChr m:val=")"/>
                <m:sepChr m:val=""/>
                <m:grow/>
              </m:dPr>
              <m:e>
                <m:r>
                  <m:t>3</m:t>
                </m:r>
              </m:e>
            </m:d>
          </m:sub>
          <m:sup>
            <m:r>
              <m:t>2</m:t>
            </m:r>
          </m:sup>
        </m:sSubSup>
        <m:r>
          <m:rPr>
            <m:sty m:val="p"/>
          </m:rPr>
          <m:t>=</m:t>
        </m:r>
        <m:r>
          <m:t>0</m:t>
        </m:r>
        <m:r>
          <m:rPr>
            <m:sty m:val="p"/>
          </m:rPr>
          <m:t>,</m:t>
        </m:r>
        <m:r>
          <m:t>00135</m:t>
        </m:r>
      </m:oMath>
      <w:r>
        <w:t xml:space="preserve">).</w:t>
      </w:r>
    </w:p>
    <w:p>
      <w:pPr>
        <w:pStyle w:val="FirstParagraph"/>
      </w:pPr>
      <w:r>
        <w:t xml:space="preserve">Phát hiện này có hàm ý lý thuyết sâu sắc: heterogeneity trong I→P literature</w:t>
      </w:r>
      <w:r>
        <w:t xml:space="preserve"> </w:t>
      </w:r>
      <w:r>
        <w:rPr>
          <w:bCs/>
          <w:b/>
        </w:rPr>
        <w:t xml:space="preserve">chủ yếu nằm ở trong từng nghiên cứu</w:t>
      </w:r>
      <w:r>
        <w:t xml:space="preserve"> </w:t>
      </w:r>
      <w:r>
        <w:t xml:space="preserve">(Tầng 2, gấp khoảng sáu lần Tầng 3), cho thấy các lựa chọn phương pháp bên trong nghiên cứu — cách đo lường DOI/hiệu quả, đặc tả mô hình, mẫu con — chứ không phải sự khác biệt bối cảnh quốc gia ổn định giữa các nghiên cứu, là nguồn chính của dị biệt quan sát được. Đây là thông tin mà phân tích meta đơn tầng không thể cung cấp.</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omnibus liên nhóm này xác nhận rằng hiệu ứng tổng hợp I→P</w:t>
      </w:r>
      <w:r>
        <w:t xml:space="preserve"> </w:t>
      </w:r>
      <w:r>
        <w:rPr>
          <w:bCs/>
          <w:b/>
        </w:rPr>
        <w:t xml:space="preserve">khác biệt</w:t>
      </w:r>
      <w:r>
        <w:t xml:space="preserve"> </w:t>
      </w:r>
      <w:r>
        <w:t xml:space="preserve">giữa các chế độ thể chế (H1 được hỗ trợ). Tuy nhiên, sự khác biệt KHÔNG hình thành một gradient đơn điệu theo chiều kỳ vọng (E1a: Advanced lớn nhất; E1b: Frontier nhỏ nhất): phần lớn giá trị</w:t>
      </w:r>
      <w:r>
        <w:t xml:space="preserve"> </w:t>
      </w:r>
      <m:oMath>
        <m:sSub>
          <m:e>
            <m:r>
              <m:t>Q</m:t>
            </m:r>
          </m:e>
          <m:sub>
            <m:r>
              <m:t>M</m:t>
            </m:r>
          </m:sub>
        </m:sSub>
      </m:oMath>
      <w:r>
        <w:t xml:space="preserve"> </w:t>
      </w:r>
      <w:r>
        <w:t xml:space="preserve">đến từ ô Frontier nhỏ nhưng có hiệu ứng cao bất thường (</w:t>
      </w:r>
      <m:oMath>
        <m:r>
          <m:t>k</m:t>
        </m:r>
        <m:r>
          <m:rPr>
            <m:sty m:val="p"/>
          </m:rPr>
          <m:t>=</m:t>
        </m:r>
        <m:r>
          <m:t>3</m:t>
        </m:r>
      </m:oMath>
      <w:r>
        <w:t xml:space="preserve">;</w:t>
      </w:r>
      <w:r>
        <w:t xml:space="preserve"> </w:t>
      </w:r>
      <m:oMath>
        <m:acc>
          <m:accPr>
            <m:chr m:val="‾"/>
          </m:accPr>
          <m:e>
            <m:r>
              <m:t>r</m:t>
            </m:r>
          </m:e>
        </m:acc>
        <m:r>
          <m:rPr>
            <m:sty m:val="p"/>
          </m:rPr>
          <m:t>=</m:t>
        </m:r>
        <m:r>
          <m:t>0</m:t>
        </m:r>
        <m:r>
          <m:rPr>
            <m:sty m:val="p"/>
          </m:rPr>
          <m:t>,</m:t>
        </m:r>
        <m:r>
          <m:t>349</m:t>
        </m:r>
      </m:oMath>
      <w:r>
        <w:t xml:space="preserve">, chịu ảnh hưởng của một outlier — Pouresmaeili et al., 2018,</w:t>
      </w:r>
      <w:r>
        <w:t xml:space="preserve"> </w:t>
      </w:r>
      <m:oMath>
        <m:r>
          <m:t>r</m:t>
        </m:r>
        <m:r>
          <m:rPr>
            <m:sty m:val="p"/>
          </m:rPr>
          <m:t>=</m:t>
        </m:r>
        <m:r>
          <m:t>0</m:t>
        </m:r>
        <m:r>
          <m:rPr>
            <m:sty m:val="p"/>
          </m:rPr>
          <m:t>,</m:t>
        </m:r>
        <m:r>
          <m:t>69</m:t>
        </m:r>
      </m:oMath>
      <w:r>
        <w:t xml:space="preserve">), trong khi các nhóm đông quan sát lại có hiệu ứng gần như tương đương (Advanced-Innovation</w:t>
      </w:r>
      <w:r>
        <w:t xml:space="preserve">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w:t>
      </w:r>
      <w:r>
        <w:t xml:space="preserve">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Upper-middle</w:t>
      </w:r>
      <w:r>
        <w:t xml:space="preserv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Mixed/đa quốc gia</w:t>
      </w:r>
      <w:r>
        <w:t xml:space="preserve"> </w:t>
      </w:r>
      <m:oMath>
        <m:acc>
          <m:accPr>
            <m:chr m:val="‾"/>
          </m:accPr>
          <m:e>
            <m:r>
              <m:t>r</m:t>
            </m:r>
          </m:e>
        </m:acc>
        <m:r>
          <m:rPr>
            <m:sty m:val="p"/>
          </m:rPr>
          <m:t>=</m:t>
        </m:r>
        <m:r>
          <m:t>0</m:t>
        </m:r>
        <m:r>
          <m:rPr>
            <m:sty m:val="p"/>
          </m:rPr>
          <m:t>,</m:t>
        </m:r>
        <m:r>
          <m:t>053</m:t>
        </m:r>
      </m:oMath>
      <w:r>
        <w:t xml:space="preserve">,</w:t>
      </w:r>
      <w:r>
        <w:t xml:space="preserve"> </w:t>
      </w:r>
      <m:oMath>
        <m:r>
          <m:t>k</m:t>
        </m:r>
        <m:r>
          <m:rPr>
            <m:sty m:val="p"/>
          </m:rPr>
          <m:t>=</m:t>
        </m:r>
        <m:r>
          <m:t>30</m:t>
        </m:r>
      </m:oMath>
      <w:r>
        <w:t xml:space="preserve">).</w:t>
      </w:r>
    </w:p>
    <w:p>
      <w:pPr>
        <w:pStyle w:val="BodyText"/>
      </w:pPr>
      <w:r>
        <w:t xml:space="preserve">Vì vậy, các Exploratory Propositions E1a/E1b về gradient đơn điệu</w:t>
      </w:r>
      <w:r>
        <w:t xml:space="preserve"> </w:t>
      </w:r>
      <w:r>
        <w:rPr>
          <w:bCs/>
          <w:b/>
        </w:rPr>
        <w:t xml:space="preserve">chưa được xác nhận</w:t>
      </w:r>
      <w:r>
        <w:t xml:space="preserve"> </w:t>
      </w:r>
      <w:r>
        <w:t xml:space="preserve">trong meta-analysis; bằng chứng về gradient thể chế (turning point giảm dần theo chất lượng thể chế) được thiết lập chủ yếu từ phân tích dữ liệu sơ cấp toàn mẫu của Nghiên cứu P7 (49 nền kinh tế), trong khi P6 chỉ xác nhận rằng các chế độ thể chế</w:t>
      </w:r>
      <w:r>
        <w:t xml:space="preserve"> </w:t>
      </w:r>
      <w:r>
        <w:rPr>
          <w:bCs/>
          <w:b/>
        </w:rPr>
        <w:t xml:space="preserve">có</w:t>
      </w:r>
      <w:r>
        <w:t xml:space="preserve"> </w:t>
      </w:r>
      <w:r>
        <w:t xml:space="preserve">khác biệt thống kê. Việc kết luận chắc chắn về gradient trong meta-analysis đòi hỏi</w:t>
      </w:r>
      <w:r>
        <w:t xml:space="preserve"> </w:t>
      </w:r>
      <m:oMath>
        <m:r>
          <m:t>k</m:t>
        </m:r>
      </m:oMath>
      <w:r>
        <w:t xml:space="preserve"> </w:t>
      </w:r>
      <w:r>
        <w:t xml:space="preserve">lớn hơn nhiều ở các ô Frontier và SIDS.</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trong P7 có ý nghĩa thống kê, và kiểm định omnibus liên nhóm trong meta-analysis P6 cũng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Hai nguồn bằng chứng độc lập đều xác nhận rằng chế độ thể chế</w:t>
      </w:r>
      <w:r>
        <w:t xml:space="preserve"> </w:t>
      </w:r>
      <w:r>
        <w:rPr>
          <w:bCs/>
          <w:b/>
        </w:rPr>
        <w:t xml:space="preserve">tạo ra khác biệt</w:t>
      </w:r>
      <w:r>
        <w:t xml:space="preserve"> </w:t>
      </w:r>
      <w:r>
        <w:t xml:space="preserve">trong quan hệ I→P; tuy nhiên, hình dạng gradient đơn điệu (turning point giảm dần theo chất lượng thể chế) được thiết lập từ phân tích primary của P7, trong khi P6 — với các ô Frontier/SIDS thưa — chỉ xác nhận sự khác biệt liên nhóm. Sự bổ trợ giữa hai nguồn này tạo ra independent confirmation có giá trị về vai trò điều tiết của thể chế.</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r>
                <m:t>35</m:t>
              </m:r>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liên nhóm; gradient định hướng (E1a/E1b) chưa xác nhận trong meta do ô Frontier thưa (</w:t>
            </w:r>
            <w:r>
              <w:rPr>
                <w:iCs/>
                <w:i/>
              </w:rPr>
              <w:t xml:space="preserve">k</w:t>
            </w:r>
            <w:r>
              <w:t xml:space="preserve"> </w:t>
            </w:r>
            <w:r>
              <w:t xml:space="preserve">= 3) chi phối</w:t>
            </w:r>
            <w:r>
              <w:t xml:space="preserve"> </w:t>
            </w:r>
            <m:oMath>
              <m:sSub>
                <m:e>
                  <m:r>
                    <m:t>Q</m:t>
                  </m:r>
                </m:e>
                <m:sub>
                  <m:r>
                    <m:t>M</m:t>
                  </m:r>
                </m:sub>
              </m:sSub>
            </m:oMath>
            <w:r>
              <w:t xml:space="preserve">;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2026-05-24T23:52:29Z</dcterms:created>
  <dcterms:modified xsi:type="dcterms:W3CDTF">2026-05-24T23:52:29Z</dcterms:modified>
</cp:coreProperties>
</file>

<file path=docProps/custom.xml><?xml version="1.0" encoding="utf-8"?>
<Properties xmlns="http://schemas.openxmlformats.org/officeDocument/2006/custom-properties" xmlns:vt="http://schemas.openxmlformats.org/officeDocument/2006/docPropsVTypes"/>
</file>