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9.png" ContentType="image/png"/>
  <Override PartName="/word/media/rId55.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pairwise differences reflect single-country vs. multi-country study composition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0.56,</w:t>
      </w:r>
      <w:r>
        <w:t xml:space="preserve"> </w:t>
      </w:r>
      <w:r>
        <w:rPr>
          <w:iCs/>
          <w:i/>
        </w:rPr>
        <w:t xml:space="preserve">p</w:t>
      </w:r>
      <w:r>
        <w:t xml:space="preserve"> </w:t>
      </w:r>
      <w:r>
        <w:t xml:space="preserve">= .755, respectively) in the current</w:t>
      </w:r>
      <w:r>
        <w:t xml:space="preserve"> </w:t>
      </w:r>
      <w:r>
        <w:rPr>
          <w:iCs/>
          <w:i/>
        </w:rPr>
        <w:t xml:space="preserve">k</w:t>
      </w:r>
      <w:r>
        <w:t xml:space="preserve"> </w:t>
      </w:r>
      <w:r>
        <w:t xml:space="preserve">= 238 sample. Substantial publication bias is detected: trim-and-fill imputes</w:t>
      </w:r>
      <w:r>
        <w:t xml:space="preserve"> </w:t>
      </w:r>
      <w:r>
        <w:rPr>
          <w:iCs/>
          <w:i/>
        </w:rPr>
        <w:t xml:space="preserve">k</w:t>
      </w:r>
      <w:r>
        <w:t xml:space="preserve"> </w:t>
      </w:r>
      <w:r>
        <w:t xml:space="preserve">= 58 missing studies, reducing the adjusted pooled effect to</w:t>
      </w:r>
      <w:r>
        <w:t xml:space="preserve"> </w:t>
      </w:r>
      <w:r>
        <w:rPr>
          <w:iCs/>
          <w:i/>
        </w:rPr>
        <w:t xml:space="preserve">r</w:t>
      </w:r>
      <w:r>
        <w:t xml:space="preserve"> </w:t>
      </w:r>
      <w:r>
        <w:t xml:space="preserve">= 0.035 (95% CI [0.023, 0.048]) — positive but attenuated.</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238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238, 49 economies);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 pairwise differences reflect single-country vs. multi-country study composition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most substantive finding is publication bias (H4 confirmed): trim-and-fill imputes</w:t>
      </w:r>
      <w:r>
        <w:t xml:space="preserve"> </w:t>
      </w:r>
      <w:r>
        <w:rPr>
          <w:iCs/>
          <w:i/>
        </w:rPr>
        <w:t xml:space="preserve">k</w:t>
      </w:r>
      <w:r>
        <w:t xml:space="preserve"> </w:t>
      </w:r>
      <w:r>
        <w:t xml:space="preserve">= 58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238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238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 hypothesised between-regime Q_M statistically significant; H1 confirmed (Q_M = 17.35, p = .002); directional Exploratory Propositions E1a (Advanced largest) and E1b (Frontier smallest) not meta-analytically confirmable with sparse regime cells. (2) cDAI — Country Digital Adoption Index (H3) — hypothesised positive amplification [High &gt; Low]; actual Q_M = 1.23 (p = .541), H3 not supported. (3) DPL Phase (H2) — hypothesised Follow &gt; Precede; actual Q_M = 0.56 (p = .755), H2 not supported. The three-level model nests K = 288 effects within k = 238 studies (within-study σ²_(2) = 0.00874, I²_(2) = 54.1%) within between-study heterogeneity (between-study σ²_(3) = 0.00135, I²_(3) = 8.4%); total I² = 62.4%. Publication bias (H4 confirmed): Egger's b = 0.475 (SE = 0.250, p = .057), Begg's τ = −0.134 (p = .0007); trim-and-fill imputes k = 58 studies, adjusted r = 0.035;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5"/>
    <w:bookmarkStart w:id="36"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40"/>
    <w:bookmarkStart w:id="41"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1"/>
    <w:bookmarkStart w:id="42"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2"/>
    <w:bookmarkEnd w:id="43"/>
    <w:bookmarkStart w:id="63" w:name="X121719332867ee227f0a04b486098cee978c6e6"/>
    <w:p>
      <w:pPr>
        <w:pStyle w:val="Heading2"/>
      </w:pPr>
      <w:r>
        <w:t xml:space="preserve">4. Results</w:t>
      </w:r>
    </w:p>
    <w:bookmarkStart w:id="44"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4"/>
    <w:bookmarkStart w:id="45"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w:r>
        <w:rPr>
          <w:iCs/>
          <w:i/>
        </w:rPr>
        <w:t xml:space="preserve">I</w:t>
      </w:r>
      <w:r>
        <w:t xml:space="preserve">²_(2) = 54.1%) is roughly six times the between-study contribution (Level 3,</w:t>
      </w:r>
      <w:r>
        <w:t xml:space="preserve"> </w:t>
      </w:r>
      <w:r>
        <w:rPr>
          <w:iCs/>
          <w:i/>
        </w:rPr>
        <w:t xml:space="preserve">I</w:t>
      </w:r>
      <w:r>
        <w:t xml:space="preserve">²_(3) = 8.4%). Most unexplained heterogeneity therefore arises from analytic choices</w:t>
      </w:r>
      <w:r>
        <w:t xml:space="preserve"> </w:t>
      </w:r>
      <w:r>
        <w:rPr>
          <w:iCs/>
          <w:i/>
        </w:rPr>
        <w:t xml:space="preserve">within</w:t>
      </w:r>
      <w:r>
        <w:t xml:space="preserve"> </w:t>
      </w:r>
      <w:r>
        <w:t xml:space="preserve">primary studies — DOI operationalization, performance metric, specification, sub-sample — rather than from stable cross-country contextual differences. Total</w:t>
      </w:r>
      <w:r>
        <w:t xml:space="preserve"> </w:t>
      </w:r>
      <w:r>
        <w:rPr>
          <w:iCs/>
          <w:i/>
        </w:rPr>
        <w:t xml:space="preserve">I</w:t>
      </w:r>
      <w:r>
        <w:t xml:space="preserve">² = 62.4%, well above the sampling-error floor, motivates the moderator analyses; however, as §§4.3–4.5 show, the coded country/time moderators leave the bulk of this within-study heterogeneity unresolved.</w:t>
      </w:r>
    </w:p>
    <w:bookmarkEnd w:id="45"/>
    <w:bookmarkStart w:id="49"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w:t>
      </w:r>
      <w:r>
        <w:t xml:space="preserve">— the omnibus between-regime moderation test is statistically significant, establishing that the I→P effect varies across coded institutional regimes. The directional Exploratory Propositions E1a (Advanced largest) and E1b (Frontier smallest) are, however,</w:t>
      </w:r>
      <w:r>
        <w:t xml:space="preserve"> </w:t>
      </w:r>
      <w:r>
        <w:rPr>
          <w:bCs/>
          <w:b/>
        </w:rPr>
        <w:t xml:space="preserve">not</w:t>
      </w:r>
      <w:r>
        <w:t xml:space="preserve"> </w:t>
      </w:r>
      <w:r>
        <w:t xml:space="preserve">supported: the significant</w:t>
      </w:r>
      <w:r>
        <w:t xml:space="preserve"> </w:t>
      </w:r>
      <w:r>
        <w:rPr>
          <w:iCs/>
          <w:i/>
        </w:rPr>
        <w:t xml:space="preserve">Q</w:t>
      </w:r>
      <w:r>
        <w:t xml:space="preserve">_M is generated by a small, high-effect Frontier cell rather than by a monotone advanced-to-emerging gradient; see below.</w:t>
      </w:r>
    </w:p>
    <w:p>
      <w:pPr>
        <w:pStyle w:val="BodyText"/>
      </w:pPr>
      <w:r>
        <w:rPr>
          <w:bCs/>
          <w:b/>
        </w:rPr>
        <w:t xml:space="preserve">Table 4.2 —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5-regime forest plot — subgroup pooled effects with 95% CI" title="" id="47" name="Picture"/>
            <a:graphic>
              <a:graphicData uri="http://schemas.openxmlformats.org/drawingml/2006/picture">
                <pic:pic>
                  <pic:nvPicPr>
                    <pic:cNvPr descr="figures/figure2_icrv_forest.png" id="48" name="Picture"/>
                    <pic:cNvPicPr>
                      <a:picLocks noChangeArrowheads="1" noChangeAspect="1"/>
                    </pic:cNvPicPr>
                  </pic:nvPicPr>
                  <pic:blipFill>
                    <a:blip r:embed="rId46"/>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 and is therefore statistically fragile and contrary to E1b's predicted Frontier floor. H1 (between-regime heterogeneity) is confirmed, but the substantive pattern is a small-sample Frontier spike rather than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w:t>
      </w:r>
    </w:p>
    <w:bookmarkEnd w:id="49"/>
    <w:bookmarkStart w:id="50"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50"/>
    <w:bookmarkStart w:id="54"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drawing>
          <wp:inline>
            <wp:extent cx="5753100" cy="4403829"/>
            <wp:effectExtent b="0" l="0" r="0" t="0"/>
            <wp:docPr descr="Figure 3: DPL phase moderation — pooled I→P effect by digital adoption epoch" title="" id="52" name="Picture"/>
            <a:graphic>
              <a:graphicData uri="http://schemas.openxmlformats.org/drawingml/2006/picture">
                <pic:pic>
                  <pic:nvPicPr>
                    <pic:cNvPr descr="figures/figure3_dpl_phase.png" id="53" name="Picture"/>
                    <pic:cNvPicPr>
                      <a:picLocks noChangeArrowheads="1" noChangeAspect="1"/>
                    </pic:cNvPicPr>
                  </pic:nvPicPr>
                  <pic:blipFill>
                    <a:blip r:embed="rId51"/>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4"/>
    <w:bookmarkStart w:id="58"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 marginal and not significant at α = .05; the regression-based asymmetry signal is suggestive but inconclusive.</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BodyText"/>
      </w:pPr>
      <w:r>
        <w:drawing>
          <wp:inline>
            <wp:extent cx="5753100" cy="4601444"/>
            <wp:effectExtent b="0" l="0" r="0" t="0"/>
            <wp:docPr descr="Figure 5: Funnel plot with trim-and-fill imputed studies" title="" id="56" name="Picture"/>
            <a:graphic>
              <a:graphicData uri="http://schemas.openxmlformats.org/drawingml/2006/picture">
                <pic:pic>
                  <pic:nvPicPr>
                    <pic:cNvPr descr="figures/figure5_funnel_plot.png" id="57" name="Picture"/>
                    <pic:cNvPicPr>
                      <a:picLocks noChangeArrowheads="1" noChangeAspect="1"/>
                    </pic:cNvPicPr>
                  </pic:nvPicPr>
                  <pic:blipFill>
                    <a:blip r:embed="rId55"/>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8"/>
    <w:bookmarkStart w:id="6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BodyText"/>
      </w:pPr>
      <w:r>
        <w:drawing>
          <wp:inline>
            <wp:extent cx="5753100" cy="2528953"/>
            <wp:effectExtent b="0" l="0" r="0" t="0"/>
            <wp:docPr descr="Figure 4: Leave-one-out sensitivity — pooled r̄ range across leave-one-out iterations" title="" id="60" name="Picture"/>
            <a:graphic>
              <a:graphicData uri="http://schemas.openxmlformats.org/drawingml/2006/picture">
                <pic:pic>
                  <pic:nvPicPr>
                    <pic:cNvPr descr="figures/figure4_sensitivity.png" id="61" name="Picture"/>
                    <pic:cNvPicPr>
                      <a:picLocks noChangeArrowheads="1" noChangeAspect="1"/>
                    </pic:cNvPicPr>
                  </pic:nvPicPr>
                  <pic:blipFill>
                    <a:blip r:embed="rId59"/>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2"/>
    <w:bookmarkEnd w:id="63"/>
    <w:bookmarkStart w:id="68" w:name="X735612638e4e736e4693e459c258977262c0dfc"/>
    <w:p>
      <w:pPr>
        <w:pStyle w:val="Heading2"/>
      </w:pPr>
      <w:r>
        <w:t xml:space="preserve">5. Discussion</w:t>
      </w:r>
    </w:p>
    <w:bookmarkStart w:id="6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 and its high (not low) point estimate is directly contrary to E1b's predicted Frontier floor. The actual Frontier I→P effect could be zero, positive, or negative —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reflects the single-country vs. multi-country distinction rather than a monotone institutional gradient,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 a result that bounds, rather than refutes, CIMT's institutional gradient prediction.</w:t>
      </w:r>
    </w:p>
    <w:bookmarkEnd w:id="64"/>
    <w:bookmarkStart w:id="6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 "positive I→P relationship" is partially an artifact of selective publication rather than a robust phenomenon.</w:t>
      </w:r>
    </w:p>
    <w:bookmarkEnd w:id="65"/>
    <w:bookmarkStart w:id="6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6"/>
    <w:bookmarkStart w:id="6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7"/>
    <w:bookmarkEnd w:id="68"/>
    <w:bookmarkStart w:id="69"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and is dominated by within-study variance (Level 2, 54.1%) rather than between-study differences (Level 3, 8.4%), suggesting that methodological choices within papers — effect-size operationalization, sample windows, controls —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9"/>
    <w:bookmarkStart w:id="7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0"/>
    <w:bookmarkStart w:id="71" w:name="competing-interests"/>
    <w:p>
      <w:pPr>
        <w:pStyle w:val="Heading2"/>
      </w:pPr>
      <w:r>
        <w:t xml:space="preserve">Competing Interests</w:t>
      </w:r>
    </w:p>
    <w:p>
      <w:pPr>
        <w:pStyle w:val="FirstParagraph"/>
      </w:pPr>
      <w:r>
        <w:t xml:space="preserve">The authors declare no conflict of interest.</w:t>
      </w:r>
    </w:p>
    <w:bookmarkEnd w:id="71"/>
    <w:bookmarkStart w:id="7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2"/>
    <w:bookmarkStart w:id="76"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3">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4">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75">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6"/>
    <w:bookmarkStart w:id="77"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7"/>
    <w:bookmarkStart w:id="78"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8"/>
    <w:bookmarkStart w:id="79"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27" Target="media/rId27.png" /><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2026-05-24T23:52:31Z</dcterms:created>
  <dcterms:modified xsi:type="dcterms:W3CDTF">2026-05-24T23:52:31Z</dcterms:modified>
</cp:coreProperties>
</file>

<file path=docProps/custom.xml><?xml version="1.0" encoding="utf-8"?>
<Properties xmlns="http://schemas.openxmlformats.org/officeDocument/2006/custom-properties" xmlns:vt="http://schemas.openxmlformats.org/officeDocument/2006/docPropsVTypes"/>
</file>