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author-title-page"/>
    <w:p>
      <w:pPr>
        <w:pStyle w:val="Heading1"/>
      </w:pPr>
      <w:r>
        <w:t xml:space="preserve">Author Title Page</w:t>
      </w:r>
    </w:p>
    <w:bookmarkStart w:id="20" w:name="X111b8602d2509ec0354d44a99d7a8df084e3e9b"/>
    <w:p>
      <w:pPr>
        <w:pStyle w:val="Heading2"/>
      </w:pPr>
      <w:r>
        <w:t xml:space="preserve">(Submitted separately from the blinded manuscript — not for review)</w:t>
      </w:r>
    </w:p>
    <w:p>
      <w:r>
        <w:pict>
          <v:rect style="width:0;height:1.5pt" o:hralign="center" o:hrstd="t" o:hr="t"/>
        </w:pict>
      </w:r>
    </w:p>
    <w:bookmarkEnd w:id="20"/>
    <w:bookmarkStart w:id="21" w:name="manuscript-title"/>
    <w:p>
      <w:pPr>
        <w:pStyle w:val="Heading2"/>
      </w:pPr>
      <w:r>
        <w:t xml:space="preserve">Manuscript Title</w:t>
      </w:r>
    </w:p>
    <w:p>
      <w:pPr>
        <w:pStyle w:val="FirstParagraph"/>
      </w:pPr>
      <w:r>
        <w:rPr>
          <w:bCs/>
          <w:b/>
        </w:rPr>
        <w:t xml:space="preserve">The Export Intensity–Performance Relationship in Chinese Private Firms: A Threshold-Stability Perspective</w:t>
      </w:r>
    </w:p>
    <w:p>
      <w:pPr>
        <w:pStyle w:val="BodyText"/>
      </w:pPr>
      <w:r>
        <w:rPr>
          <w:iCs/>
          <w:i/>
        </w:rPr>
        <w:t xml:space="preserve">Target journal:</w:t>
      </w:r>
      <w:r>
        <w:t xml:space="preserve"> </w:t>
      </w:r>
      <w:r>
        <w:t xml:space="preserve">International Journal of Emerging Markets (IJOEM)</w:t>
      </w:r>
    </w:p>
    <w:p>
      <w:pPr>
        <w:pStyle w:val="BodyText"/>
      </w:pPr>
      <w:r>
        <w:rPr>
          <w:iCs/>
          <w:i/>
        </w:rPr>
        <w:t xml:space="preserve">Submission date:</w:t>
      </w:r>
      <w:r>
        <w:t xml:space="preserve"> </w:t>
      </w:r>
      <w:r>
        <w:t xml:space="preserve">10 May 2026</w:t>
      </w:r>
    </w:p>
    <w:p>
      <w:r>
        <w:pict>
          <v:rect style="width:0;height:1.5pt" o:hralign="center" o:hrstd="t" o:hr="t"/>
        </w:pict>
      </w:r>
    </w:p>
    <w:bookmarkEnd w:id="21"/>
    <w:bookmarkStart w:id="24" w:name="authors"/>
    <w:p>
      <w:pPr>
        <w:pStyle w:val="Heading2"/>
      </w:pPr>
      <w:r>
        <w:t xml:space="preserve">Authors</w:t>
      </w:r>
    </w:p>
    <w:bookmarkStart w:id="22" w:name="first-author"/>
    <w:p>
      <w:pPr>
        <w:pStyle w:val="Heading3"/>
      </w:pPr>
      <w:r>
        <w:t xml:space="preserve">First Author</w:t>
      </w:r>
    </w:p>
    <w:p>
      <w:pPr>
        <w:pStyle w:val="FirstParagraph"/>
      </w:pPr>
      <w:r>
        <w:rPr>
          <w:bCs/>
          <w:b/>
        </w:rPr>
        <w:t xml:space="preserve">Đỗ Thùy Hương</w:t>
      </w:r>
      <w:r>
        <w:t xml:space="preserve"> </w:t>
      </w:r>
      <w:r>
        <w:t xml:space="preserve">(Do Thuy Huong)</w:t>
      </w:r>
    </w:p>
    <w:p>
      <w:pPr>
        <w:numPr>
          <w:ilvl w:val="0"/>
          <w:numId w:val="1001"/>
        </w:numPr>
        <w:pStyle w:val="Compact"/>
      </w:pPr>
      <w:r>
        <w:rPr>
          <w:bCs/>
          <w:b/>
        </w:rPr>
        <w:t xml:space="preserve">Position:</w:t>
      </w:r>
      <w:r>
        <w:t xml:space="preserve"> </w:t>
      </w:r>
      <w:r>
        <w:t xml:space="preserve">PhD Candidate</w:t>
      </w:r>
    </w:p>
    <w:p>
      <w:pPr>
        <w:numPr>
          <w:ilvl w:val="0"/>
          <w:numId w:val="1001"/>
        </w:numPr>
        <w:pStyle w:val="Compact"/>
      </w:pPr>
      <w:r>
        <w:rPr>
          <w:bCs/>
          <w:b/>
        </w:rPr>
        <w:t xml:space="preserve">Affiliation:</w:t>
      </w:r>
      <w:r>
        <w:t xml:space="preserve"> </w:t>
      </w:r>
      <w:r>
        <w:t xml:space="preserve">Vĩnh Long University of Technology Education (VLUTE)</w:t>
      </w:r>
    </w:p>
    <w:p>
      <w:pPr>
        <w:numPr>
          <w:ilvl w:val="0"/>
          <w:numId w:val="1001"/>
        </w:numPr>
        <w:pStyle w:val="Compact"/>
      </w:pPr>
      <w:r>
        <w:rPr>
          <w:bCs/>
          <w:b/>
        </w:rPr>
        <w:t xml:space="preserve">Address:</w:t>
      </w:r>
      <w:r>
        <w:t xml:space="preserve"> </w:t>
      </w:r>
      <w:r>
        <w:t xml:space="preserve">73 Nguyễn Huệ, Phường 2, TP. Vĩnh Long, Tỉnh Vĩnh Long, Vietnam</w:t>
      </w:r>
    </w:p>
    <w:p>
      <w:pPr>
        <w:numPr>
          <w:ilvl w:val="0"/>
          <w:numId w:val="1001"/>
        </w:numPr>
        <w:pStyle w:val="Compact"/>
      </w:pPr>
      <w:r>
        <w:rPr>
          <w:bCs/>
          <w:b/>
        </w:rPr>
        <w:t xml:space="preserve">Email:</w:t>
      </w:r>
      <w:r>
        <w:t xml:space="preserve"> </w:t>
      </w:r>
      <w:r>
        <w:t xml:space="preserve">huongdt@vlute.edu.vn</w:t>
      </w:r>
    </w:p>
    <w:p>
      <w:pPr>
        <w:numPr>
          <w:ilvl w:val="0"/>
          <w:numId w:val="1001"/>
        </w:numPr>
        <w:pStyle w:val="Compact"/>
      </w:pPr>
      <w:r>
        <w:rPr>
          <w:bCs/>
          <w:b/>
        </w:rPr>
        <w:t xml:space="preserve">ORCID:</w:t>
      </w:r>
      <w:r>
        <w:t xml:space="preserve"> </w:t>
      </w:r>
      <w:r>
        <w:t xml:space="preserve">0000-0002-7711-2487 (https://orcid.org/0000-0002-7711-2487)</w:t>
      </w:r>
    </w:p>
    <w:p>
      <w:pPr>
        <w:numPr>
          <w:ilvl w:val="0"/>
          <w:numId w:val="1001"/>
        </w:numPr>
        <w:pStyle w:val="Compact"/>
      </w:pPr>
      <w:r>
        <w:rPr>
          <w:bCs/>
          <w:b/>
        </w:rPr>
        <w:t xml:space="preserve">Role:</w:t>
      </w:r>
      <w:r>
        <w:t xml:space="preserve"> </w:t>
      </w:r>
      <w:r>
        <w:t xml:space="preserve">First author</w:t>
      </w:r>
    </w:p>
    <w:bookmarkEnd w:id="22"/>
    <w:bookmarkStart w:id="23" w:name="second-author-corresponding-author"/>
    <w:p>
      <w:pPr>
        <w:pStyle w:val="Heading3"/>
      </w:pPr>
      <w:r>
        <w:t xml:space="preserve">Second Author (Corresponding Author)</w:t>
      </w:r>
    </w:p>
    <w:p>
      <w:pPr>
        <w:pStyle w:val="FirstParagraph"/>
      </w:pPr>
      <w:r>
        <w:rPr>
          <w:bCs/>
          <w:b/>
        </w:rPr>
        <w:t xml:space="preserve">Phan Anh Tú</w:t>
      </w:r>
      <w:r>
        <w:t xml:space="preserve"> </w:t>
      </w:r>
      <w:r>
        <w:t xml:space="preserve">(Phan Anh Tu)</w:t>
      </w:r>
    </w:p>
    <w:p>
      <w:pPr>
        <w:numPr>
          <w:ilvl w:val="0"/>
          <w:numId w:val="1002"/>
        </w:numPr>
        <w:pStyle w:val="Compact"/>
      </w:pPr>
      <w:r>
        <w:rPr>
          <w:bCs/>
          <w:b/>
        </w:rPr>
        <w:t xml:space="preserve">Title:</w:t>
      </w:r>
      <w:r>
        <w:t xml:space="preserve"> </w:t>
      </w:r>
      <w:r>
        <w:t xml:space="preserve">Associate Professor (PGS.TS.)</w:t>
      </w:r>
    </w:p>
    <w:p>
      <w:pPr>
        <w:numPr>
          <w:ilvl w:val="0"/>
          <w:numId w:val="1002"/>
        </w:numPr>
        <w:pStyle w:val="Compact"/>
      </w:pPr>
      <w:r>
        <w:rPr>
          <w:bCs/>
          <w:b/>
        </w:rPr>
        <w:t xml:space="preserve">Affiliation:</w:t>
      </w:r>
      <w:r>
        <w:t xml:space="preserve"> </w:t>
      </w:r>
      <w:r>
        <w:t xml:space="preserve">College of Economics, Can Tho University (CTU)</w:t>
      </w:r>
    </w:p>
    <w:p>
      <w:pPr>
        <w:numPr>
          <w:ilvl w:val="0"/>
          <w:numId w:val="1002"/>
        </w:numPr>
        <w:pStyle w:val="Compact"/>
      </w:pPr>
      <w:r>
        <w:rPr>
          <w:bCs/>
          <w:b/>
        </w:rPr>
        <w:t xml:space="preserve">Address:</w:t>
      </w:r>
      <w:r>
        <w:t xml:space="preserve"> </w:t>
      </w:r>
      <w:r>
        <w:t xml:space="preserve">Khu II, Đường 3/2, Ninh Kiều, Cần Thơ, Vietnam</w:t>
      </w:r>
    </w:p>
    <w:p>
      <w:pPr>
        <w:numPr>
          <w:ilvl w:val="0"/>
          <w:numId w:val="1002"/>
        </w:numPr>
        <w:pStyle w:val="Compact"/>
      </w:pPr>
      <w:r>
        <w:rPr>
          <w:bCs/>
          <w:b/>
        </w:rPr>
        <w:t xml:space="preserve">Email:</w:t>
      </w:r>
      <w:r>
        <w:t xml:space="preserve"> </w:t>
      </w:r>
      <w:r>
        <w:t xml:space="preserve">patu@ctu.edu.vn</w:t>
      </w:r>
    </w:p>
    <w:p>
      <w:pPr>
        <w:numPr>
          <w:ilvl w:val="0"/>
          <w:numId w:val="1002"/>
        </w:numPr>
        <w:pStyle w:val="Compact"/>
      </w:pPr>
      <w:r>
        <w:rPr>
          <w:bCs/>
          <w:b/>
        </w:rPr>
        <w:t xml:space="preserve">ORCID:</w:t>
      </w:r>
      <w:r>
        <w:t xml:space="preserve"> </w:t>
      </w:r>
      <w:r>
        <w:t xml:space="preserve">0000-0003-0667-3137 (https://orcid.org/0000-0003-0667-3137)</w:t>
      </w:r>
    </w:p>
    <w:p>
      <w:pPr>
        <w:numPr>
          <w:ilvl w:val="0"/>
          <w:numId w:val="1002"/>
        </w:numPr>
        <w:pStyle w:val="Compact"/>
      </w:pPr>
      <w:r>
        <w:rPr>
          <w:bCs/>
          <w:b/>
        </w:rPr>
        <w:t xml:space="preserve">Role:</w:t>
      </w:r>
      <w:r>
        <w:t xml:space="preserve"> </w:t>
      </w:r>
      <w:r>
        <w:t xml:space="preserve">Corresponding author</w:t>
      </w:r>
    </w:p>
    <w:p>
      <w:r>
        <w:pict>
          <v:rect style="width:0;height:1.5pt" o:hralign="center" o:hrstd="t" o:hr="t"/>
        </w:pict>
      </w:r>
    </w:p>
    <w:bookmarkEnd w:id="23"/>
    <w:bookmarkEnd w:id="24"/>
    <w:bookmarkStart w:id="25"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We thank the Enterprise Analysis Unit of the Development Economics Global Indicators Group of the World Bank for the data. The original collector of the data, the authorised distributor, and the relevant funding agency bear no responsibility for the use of the data or for interpretations based on such use. The findings, interpretations, and conclusions expressed in this article are those of the authors and do not necessarily represent the views of the World Bank Group, its Executive Directors, or the governments they represent. The authors received no specific grant from any funding agency in the public, commercial, or not-for-profit sectors.</w:t>
      </w:r>
    </w:p>
    <w:p>
      <w:r>
        <w:pict>
          <v:rect style="width:0;height:1.5pt" o:hralign="center" o:hrstd="t" o:hr="t"/>
        </w:pict>
      </w:r>
    </w:p>
    <w:bookmarkEnd w:id="26"/>
    <w:bookmarkStart w:id="27" w:name="conflict-of-interest"/>
    <w:p>
      <w:pPr>
        <w:pStyle w:val="Heading2"/>
      </w:pPr>
      <w:r>
        <w:t xml:space="preserve">Conflict of Interest</w:t>
      </w:r>
    </w:p>
    <w:p>
      <w:pPr>
        <w:pStyle w:val="FirstParagraph"/>
      </w:pPr>
      <w:r>
        <w:t xml:space="preserve">The authors declare no conflict of interest.</w:t>
      </w:r>
    </w:p>
    <w:p>
      <w:r>
        <w:pict>
          <v:rect style="width:0;height:1.5pt" o:hralign="center" o:hrstd="t" o:hr="t"/>
        </w:pict>
      </w:r>
    </w:p>
    <w:bookmarkEnd w:id="27"/>
    <w:bookmarkStart w:id="28" w:name="funding"/>
    <w:p>
      <w:pPr>
        <w:pStyle w:val="Heading2"/>
      </w:pPr>
      <w:r>
        <w:t xml:space="preserve">Funding</w:t>
      </w:r>
    </w:p>
    <w:p>
      <w:pPr>
        <w:pStyle w:val="FirstParagraph"/>
      </w:pPr>
      <w:r>
        <w:t xml:space="preserve">This research received no specific grant from any funding agency in the public, commercial, or not-for-profit sectors.</w:t>
      </w:r>
    </w:p>
    <w:p>
      <w:r>
        <w:pict>
          <v:rect style="width:0;height:1.5pt" o:hralign="center" o:hrstd="t" o:hr="t"/>
        </w:pict>
      </w:r>
    </w:p>
    <w:bookmarkEnd w:id="28"/>
    <w:bookmarkStart w:id="29" w:name="data-availability-statement"/>
    <w:p>
      <w:pPr>
        <w:pStyle w:val="Heading2"/>
      </w:pPr>
      <w:r>
        <w:t xml:space="preserve">Data Availability Statement</w:t>
      </w:r>
    </w:p>
    <w:p>
      <w:pPr>
        <w:pStyle w:val="FirstParagraph"/>
      </w:pPr>
      <w:r>
        <w:t xml:space="preserve">The data that support the findings of this study are from the World Bank Enterprise Surveys and are available from the World Bank Enterprise Surveys portal (www.enterprisesurveys.org), subject to registration and compliance with the World Bank Enterprise Surveys Data Access Protocol. Replication materials are available from the corresponding author upon reasonable request and to the extent permitted by the data-access terms.</w:t>
      </w:r>
    </w:p>
    <w:p>
      <w:r>
        <w:pict>
          <v:rect style="width:0;height:1.5pt" o:hralign="center" o:hrstd="t" o:hr="t"/>
        </w:pict>
      </w:r>
    </w:p>
    <w:bookmarkEnd w:id="29"/>
    <w:bookmarkStart w:id="30"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replication package documentation. All conceptual framing, hypothesis development, empirical analysis, results interpretation, and final wording were authored by the human authors, who take full responsibility for the content of the publication.</w:t>
      </w:r>
    </w:p>
    <w:p>
      <w:r>
        <w:pict>
          <v:rect style="width:0;height:1.5pt" o:hralign="center" o:hrstd="t" o:hr="t"/>
        </w:pict>
      </w:r>
    </w:p>
    <w:bookmarkEnd w:id="30"/>
    <w:bookmarkStart w:id="31" w:name="manuscript-information"/>
    <w:p>
      <w:pPr>
        <w:pStyle w:val="Heading2"/>
      </w:pPr>
      <w:r>
        <w:t xml:space="preserve">Manuscript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w:t>
            </w:r>
          </w:p>
        </w:tc>
      </w:tr>
      <w:tr>
        <w:tc>
          <w:tcPr/>
          <w:p>
            <w:pPr>
              <w:pStyle w:val="Compact"/>
              <w:jc w:val="left"/>
            </w:pPr>
            <w:r>
              <w:t xml:space="preserve">Word count (main text)</w:t>
            </w:r>
          </w:p>
        </w:tc>
        <w:tc>
          <w:tcPr/>
          <w:p>
            <w:pPr>
              <w:pStyle w:val="Compact"/>
              <w:jc w:val="left"/>
            </w:pPr>
            <w:r>
              <w:t xml:space="preserve">Approximately 7,200 words</w:t>
            </w:r>
          </w:p>
        </w:tc>
      </w:tr>
      <w:tr>
        <w:tc>
          <w:tcPr/>
          <w:p>
            <w:pPr>
              <w:pStyle w:val="Compact"/>
              <w:jc w:val="left"/>
            </w:pPr>
            <w:r>
              <w:t xml:space="preserve">Tables</w:t>
            </w:r>
          </w:p>
        </w:tc>
        <w:tc>
          <w:tcPr/>
          <w:p>
            <w:pPr>
              <w:pStyle w:val="Compact"/>
              <w:jc w:val="left"/>
            </w:pPr>
            <w:r>
              <w:t xml:space="preserve">3 (inline)</w:t>
            </w:r>
          </w:p>
        </w:tc>
      </w:tr>
      <w:tr>
        <w:tc>
          <w:tcPr/>
          <w:p>
            <w:pPr>
              <w:pStyle w:val="Compact"/>
              <w:jc w:val="left"/>
            </w:pPr>
            <w:r>
              <w:t xml:space="preserve">Figures</w:t>
            </w:r>
          </w:p>
        </w:tc>
        <w:tc>
          <w:tcPr/>
          <w:p>
            <w:pPr>
              <w:pStyle w:val="Compact"/>
              <w:jc w:val="left"/>
            </w:pPr>
            <w:r>
              <w:t xml:space="preserve">4 (inline)</w:t>
            </w:r>
          </w:p>
        </w:tc>
      </w:tr>
      <w:tr>
        <w:tc>
          <w:tcPr/>
          <w:p>
            <w:pPr>
              <w:pStyle w:val="Compact"/>
              <w:jc w:val="left"/>
            </w:pPr>
            <w:r>
              <w:t xml:space="preserve">Keywords</w:t>
            </w:r>
          </w:p>
        </w:tc>
        <w:tc>
          <w:tcPr/>
          <w:p>
            <w:pPr>
              <w:pStyle w:val="Compact"/>
              <w:jc w:val="left"/>
            </w:pPr>
            <w:r>
              <w:t xml:space="preserve">export intensity; firm performance; technological capability; digital adoption; China; emerging markets</w:t>
            </w:r>
          </w:p>
        </w:tc>
      </w:tr>
      <w:tr>
        <w:tc>
          <w:tcPr/>
          <w:p>
            <w:pPr>
              <w:pStyle w:val="Compact"/>
              <w:jc w:val="left"/>
            </w:pPr>
            <w:r>
              <w:t xml:space="preserve">JEL codes</w:t>
            </w:r>
          </w:p>
        </w:tc>
        <w:tc>
          <w:tcPr/>
          <w:p>
            <w:pPr>
              <w:pStyle w:val="Compact"/>
              <w:jc w:val="left"/>
            </w:pPr>
            <w:r>
              <w:t xml:space="preserve">F23, O33, L25, O53, P31</w:t>
            </w:r>
          </w:p>
        </w:tc>
      </w:tr>
      <w:tr>
        <w:tc>
          <w:tcPr/>
          <w:p>
            <w:pPr>
              <w:pStyle w:val="Compact"/>
              <w:jc w:val="left"/>
            </w:pPr>
            <w:r>
              <w:t xml:space="preserve">Data source</w:t>
            </w:r>
          </w:p>
        </w:tc>
        <w:tc>
          <w:tcPr/>
          <w:p>
            <w:pPr>
              <w:pStyle w:val="Compact"/>
              <w:jc w:val="left"/>
            </w:pPr>
            <w:r>
              <w:t xml:space="preserve">World Bank Enterprise Surveys (China 2003, 2006, 2012, 2024)</w:t>
            </w:r>
          </w:p>
        </w:tc>
      </w:tr>
      <w:tr>
        <w:tc>
          <w:tcPr/>
          <w:p>
            <w:pPr>
              <w:pStyle w:val="Compact"/>
              <w:jc w:val="left"/>
            </w:pPr>
            <w:r>
              <w:t xml:space="preserve">Software</w:t>
            </w:r>
          </w:p>
        </w:tc>
        <w:tc>
          <w:tcPr/>
          <w:p>
            <w:pPr>
              <w:pStyle w:val="Compact"/>
              <w:jc w:val="left"/>
            </w:pPr>
            <w:r>
              <w:t xml:space="preserve">Stata 17 (estimation); Python 3.12 (replication checks)</w:t>
            </w:r>
          </w:p>
        </w:tc>
      </w:tr>
    </w:tbl>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2026-05-10T14:49:17Z</dcterms:created>
  <dcterms:modified xsi:type="dcterms:W3CDTF">2026-05-10T14:49:17Z</dcterms:modified>
</cp:coreProperties>
</file>

<file path=docProps/custom.xml><?xml version="1.0" encoding="utf-8"?>
<Properties xmlns="http://schemas.openxmlformats.org/officeDocument/2006/custom-properties" xmlns:vt="http://schemas.openxmlformats.org/officeDocument/2006/docPropsVTypes"/>
</file>