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3"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bookmarkEnd w:id="21"/>
    <w:bookmarkStart w:id="22"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22"/>
    <w:bookmarkEnd w:id="23"/>
    <w:bookmarkStart w:id="27" w:name="giai-đoạn-1-phân-tích-tổng-hợp-1982-2026"/>
    <w:p>
      <w:pPr>
        <w:pStyle w:val="Heading2"/>
      </w:pPr>
      <w:r>
        <w:t xml:space="preserve">3.2 Giai đoạn 1: Phân tích tổng hợp 1982-2026</w:t>
      </w:r>
    </w:p>
    <w:bookmarkStart w:id="24"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24"/>
    <w:bookmarkStart w:id="25"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25"/>
    <w:bookmarkStart w:id="26"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26"/>
    <w:bookmarkEnd w:id="27"/>
    <w:bookmarkStart w:id="36" w:name="X2f2dc61cf51b22160123af8668c978f8ce43175"/>
    <w:p>
      <w:pPr>
        <w:pStyle w:val="Heading2"/>
      </w:pPr>
      <w:r>
        <w:t xml:space="preserve">3.3 Giai đoạn 2: Phân tích thực nghiệm đa quốc gia</w:t>
      </w:r>
    </w:p>
    <w:bookmarkStart w:id="28"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28"/>
    <w:bookmarkStart w:id="29"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w:t>
      </w:r>
    </w:p>
    <w:p>
      <w:pPr>
        <w:pStyle w:val="BodyText"/>
      </w:pPr>
      <w:r>
        <w:rPr>
          <w:bCs/>
          <w:b/>
        </w:rPr>
        <w:t xml:space="preserve">Cơ sở kế thừa</w:t>
      </w:r>
      <w:r>
        <w:t xml:space="preserve">: Năng suất lao động được sử dụng rộng rãi trong nghiên cứu WBES và trong các nghiên cứu về năng suất doanh nghiệp (Bloom et al., 2012; Hsieh &amp; Klenow, 2009). Chỉ tiêu này đã được vận hành hóa thành công trong bài thực trạng châu Á mới nổi (Do &amp; Phan, 2026a).</w:t>
      </w:r>
    </w:p>
    <w:p>
      <w:pPr>
        <w:pStyle w:val="BodyText"/>
      </w:pPr>
      <w:r>
        <w:rPr>
          <w:bCs/>
          <w:b/>
        </w:rPr>
        <w:t xml:space="preserve">Lập luận chọn</w:t>
      </w:r>
      <w:r>
        <w:t xml:space="preserve">: WBES không phải bộ báo cáo tài chính đầy đủ, nên năng suất lao động phù hợp hơn ROA/ROE/ROS trong bối cảnh đa quốc gia. Ngoài ra, năng suất lao động có tính so sánh xuyên quốc gia cao hơn do không bị ảnh hưởng bởi chuẩn mực kế toán khác biệt (Combs et al., 2005; Richard et al., 2009).</w:t>
      </w:r>
    </w:p>
    <w:p>
      <w:pPr>
        <w:pStyle w:val="BodyText"/>
      </w:pPr>
      <w:r>
        <w:rPr>
          <w:bCs/>
          <w:b/>
        </w:rPr>
        <w:t xml:space="preserve">Biến kiểm định độ vững</w:t>
      </w:r>
      <w:r>
        <w:t xml:space="preserve">: ROS, tăng trưởng doanh thu, tăng trưởng lao động,</w:t>
      </w:r>
      <w:r>
        <w:t xml:space="preserve"> </w:t>
      </w:r>
      <m:oMath>
        <m:r>
          <m:rPr>
            <m:sty m:val="p"/>
          </m:rPr>
          <m:t>ln</m:t>
        </m:r>
      </m:oMath>
      <w:r>
        <w:t xml:space="preserve">(doanh thu năm).</w:t>
      </w:r>
    </w:p>
    <w:p>
      <w:pPr>
        <w:pStyle w:val="BodyText"/>
      </w:pPr>
      <w:r>
        <w:rPr>
          <w:bCs/>
          <w:b/>
        </w:rPr>
        <w:t xml:space="preserve">Đóng góp mới</w:t>
      </w:r>
      <w:r>
        <w:t xml:space="preserve">: lập luận rõ ràng rằng hiệu quả hoạt động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29"/>
    <w:bookmarkStart w:id="30"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tỷ lệ doanh thu xuất khẩu trên tổng doanh thu (Foreign Sales to Total Sales, FSTS).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S và dạng bậc ba.</w:t>
      </w:r>
    </w:p>
    <w:p>
      <w:pPr>
        <w:pStyle w:val="BodyText"/>
      </w:pPr>
      <w:r>
        <w:rPr>
          <w:bCs/>
          <w:b/>
        </w:rPr>
        <w:t xml:space="preserve">Cơ sở kế thừa</w:t>
      </w:r>
      <w:r>
        <w:t xml:space="preserve">: FSTS là thước đo quốc tế hóa phổ biến nhất trong các nghiên cứu I-P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Đặc tả bậc ba được Do và Phan (2026b) xác nhận có ý nghĩa thống kê ở Trung Quốc với điểm uốn ~47,8% FSTS, làm mốc nền cho việc kiểm định mở rộng trong luận án.</w:t>
      </w:r>
    </w:p>
    <w:bookmarkEnd w:id="30"/>
    <w:bookmarkStart w:id="34" w:name="đo-lường-biến-điều-tiết"/>
    <w:p>
      <w:pPr>
        <w:pStyle w:val="Heading3"/>
      </w:pPr>
      <w:r>
        <w:t xml:space="preserve">3.3.4 Đo lường biến điều tiết</w:t>
      </w:r>
    </w:p>
    <w:bookmarkStart w:id="31"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quy trình hòa hợp đo lường</w:t>
      </w:r>
      <w:r>
        <w:t xml:space="preserve"> </w:t>
      </w:r>
      <w:r>
        <w:t xml:space="preserve">trong bối cảnh WBES, đảm bảo tính thuần nhất khái niệm ở 47 nền kinh tế châu Á và Thái Bình Dương, với quy trình hòa hợp ba thế hệ lược đồ dữ liệu. Phân tách TCI và DAI dựa theo: (i) Bharadwaj et al. (2013), năng lực CNTT và chiến lược kinh doanh số có mạng lưới quan hệ khái niệm khác nhau; (ii) phân tầng ba cấp của Verhoef et al. (2021): số hóa dữ liệu, số hóa quy trình, chuyển đổi số; (iii) truyền thống Lall (1992) và Cohen &amp; Levinthal (1990) coi năng lực công nghệ là chiều sâu năng lực nội tại (năng lực hấp thụ), khác về bản chất với áp dụng số ở giao diện ngoại tại; (iv) logic điều phối nguồn lực của Bhandari et al. (2023) cho quan hệ I-P; và (v) bốn tiêu chí của chỉ số tổng hợp dạng cấu thành theo Coltman et al. (2008), đảm bảo TCI và DAI là hai chỉ số tổng hợp độc lập.</w:t>
      </w:r>
    </w:p>
    <w:bookmarkEnd w:id="31"/>
    <w:bookmarkStart w:id="32"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32"/>
    <w:bookmarkStart w:id="33"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33"/>
    <w:bookmarkEnd w:id="34"/>
    <w:bookmarkStart w:id="35" w:name="biến-kiểm-soát"/>
    <w:p>
      <w:pPr>
        <w:pStyle w:val="Heading3"/>
      </w:pPr>
      <w:r>
        <w:t xml:space="preserve">3.3.5 Biến kiểm soát</w:t>
      </w:r>
    </w:p>
    <w:p>
      <w:pPr>
        <w:pStyle w:val="FirstParagraph"/>
      </w:pPr>
      <m:oMath>
        <m:r>
          <m:rPr>
            <m:sty m:val="p"/>
          </m:rPr>
          <m:t>ln</m:t>
        </m:r>
      </m:oMath>
      <w:r>
        <w:t xml:space="preserve"> </w:t>
      </w:r>
      <w:r>
        <w:t xml:space="preserve">số lao động, tuổi doanh nghiệp, biến giả sở hữu nước ngoài, biến giả ngành, hiệu ứng cố định quốc gia, hiệu ứng cố định năm.</w:t>
      </w:r>
    </w:p>
    <w:p>
      <w:pPr>
        <w:pStyle w:val="BodyText"/>
      </w:pPr>
      <w:r>
        <w:rPr>
          <w:bCs/>
          <w:b/>
        </w:rPr>
        <w:t xml:space="preserve">Cơ sở kế thừa</w:t>
      </w:r>
      <w:r>
        <w:t xml:space="preserve">: chuẩn trong nghiên cứu WBES và kinh doanh quốc tế (Aterido et al., 2011; Ayyagari et al., 2011).</w:t>
      </w:r>
    </w:p>
    <w:bookmarkEnd w:id="35"/>
    <w:bookmarkEnd w:id="36"/>
    <w:bookmarkStart w:id="50" w:name="mô-hình-phân-tích"/>
    <w:p>
      <w:pPr>
        <w:pStyle w:val="Heading2"/>
      </w:pPr>
      <w:r>
        <w:t xml:space="preserve">3.4 Mô hình phân tích</w:t>
      </w:r>
    </w:p>
    <w:bookmarkStart w:id="37"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37"/>
    <w:bookmarkStart w:id="38"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38"/>
    <w:bookmarkStart w:id="39"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39"/>
    <w:bookmarkStart w:id="42" w:name="mô-hình-điều-tiết-h2-h6"/>
    <w:p>
      <w:pPr>
        <w:pStyle w:val="Heading3"/>
      </w:pPr>
      <w:r>
        <w:t xml:space="preserve">3.4.4 Mô hình điều tiết (H2-H6)</w:t>
      </w:r>
    </w:p>
    <w:bookmarkStart w:id="40"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40"/>
    <w:bookmarkStart w:id="41"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thuần khiết của tương tác Thể chế × Công nghệ.</w:t>
      </w:r>
    </w:p>
    <w:bookmarkEnd w:id="41"/>
    <w:bookmarkEnd w:id="42"/>
    <w:bookmarkStart w:id="43"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43"/>
    <w:bookmarkStart w:id="44"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44"/>
    <w:bookmarkStart w:id="45"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5"/>
    <w:bookmarkStart w:id="46"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46"/>
    <w:bookmarkStart w:id="47"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47"/>
    <w:bookmarkStart w:id="48"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48"/>
    <w:bookmarkStart w:id="49"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49"/>
    <w:bookmarkEnd w:id="50"/>
    <w:bookmarkStart w:id="56" w:name="kiểm-định-độ-vững"/>
    <w:p>
      <w:pPr>
        <w:pStyle w:val="Heading2"/>
      </w:pPr>
      <w:r>
        <w:t xml:space="preserve">3.5 Kiểm định độ vững</w:t>
      </w:r>
    </w:p>
    <w:bookmarkStart w:id="51"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51"/>
    <w:bookmarkStart w:id="52"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52"/>
    <w:bookmarkStart w:id="53"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53"/>
    <w:bookmarkStart w:id="54"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54"/>
    <w:bookmarkStart w:id="55"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55"/>
    <w:bookmarkEnd w:id="56"/>
    <w:bookmarkStart w:id="57"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57"/>
    <w:bookmarkStart w:id="58"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5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2026-05-27T07:22:46Z</dcterms:created>
  <dcterms:modified xsi:type="dcterms:W3CDTF">2026-05-27T07:22:46Z</dcterms:modified>
</cp:coreProperties>
</file>

<file path=docProps/custom.xml><?xml version="1.0" encoding="utf-8"?>
<Properties xmlns="http://schemas.openxmlformats.org/officeDocument/2006/custom-properties" xmlns:vt="http://schemas.openxmlformats.org/officeDocument/2006/docPropsVTypes"/>
</file>