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phân tích Việt Nam đến phân tích SIDS Thái Bình Dương)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ICRV). Mục 4.2 trình bày kết quả phân tích tổng hợp ba tầng (phân tích tổng hợp), gồm hiệu ứng gộp, cấu trúc dị biệt, điều tiết theo chế độ thể chế và sai lệch xuất bản. Mục 4.3 trình bày kiểm định đa quốc gia trên 45 nền kinh tế (phân tích đa quốc gia 45 nền kinh tế), gồm đường cong U ngược, điểm uốn tối ưu, dải biến thiên theo ICRV và tương tác giữa năng lực số với thể chế. Mục 4.4 trình bày ba nghiên cứu đơn quốc gia tại Việt Nam (Việt Nam), Singapore (Singapore) và Trung Quốc (Trung Quốc). Mục 4.5 trình bày trường hợp biên là các nền kinh tế đảo nhỏ đang phát triển ở Thái Bình Dương (SIDS). Mục 4.6 tổng hợp và thảo luận các phát hiện liên thông giữa các nghiên cứu thành phần. Mục 4.7 trình bày các kiểm định độ vững.</w:t>
      </w:r>
    </w:p>
    <w:p>
      <w:pPr>
        <w:pStyle w:val="BodyText"/>
      </w:pPr>
      <w:r>
        <w:t xml:space="preserve">Đọc xuyên suốt, chương này không phải một chuỗi kết quả rời rạc mà là bằng chứng cho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quan hệ I-P đạt đỉnh hay đảo chiều. Bốn phát hiện nổi bật neo giữ mạch lập luận đó và được nêu lên ngay từ đầu thay vì để ẩn trong các tiểu mục. Thứ nhất, hiệu chỉnh thiên lệch công bố ở phân tích tổng hợp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mức suy giảm khoảng</w:t>
      </w:r>
      <w:r>
        <w:t xml:space="preserve"> </w:t>
      </w:r>
      <w:r>
        <w:rPr>
          <w:bCs/>
          <w:b/>
        </w:rPr>
        <w:t xml:space="preserve">53%</w:t>
      </w:r>
      <w:r>
        <w:t xml:space="preserve">: hàm ý rằng phần lớn bằng chứng I-P tích lũy suốt bốn thập kỷ có thể đã bị thổi phồng (một ước lượng trim-and-fill, được trình bày kèm rào đón phương pháp ở Mục 4.2.4). Thứ hai, bằng chứng đa quốc gia (phân tích đa quốc gia 45 nền kinh tế) cho thấy chế độ thể chế ICRV không dịch chuyển điểm uốn một cách đơn điệu mà</w:t>
      </w:r>
      <w:r>
        <w:t xml:space="preserve"> </w:t>
      </w:r>
      <w:r>
        <w:rPr>
          <w:bCs/>
          <w:b/>
        </w:rPr>
        <w:t xml:space="preserve">chi phối độ cong (concavity / biên độ) của hình chữ U ngược</w:t>
      </w:r>
      <w:r>
        <w:t xml:space="preserve">: độ cong sâu dần khi chất lượng thể chế suy giảm, chính cơ chế địa hình của luận án. Thứ ba, tại các quốc đảo nhỏ Thái Bình Dương (SIDS), quan hệ I-P sụp thành âm đơn điệu, tức</w:t>
      </w:r>
      <w:r>
        <w:t xml:space="preserve"> </w:t>
      </w:r>
      <w:r>
        <w:rPr>
          <w:bCs/>
          <w:b/>
        </w:rPr>
        <w:t xml:space="preserve">gánh nặng quốc tế hóa bắt buộc (FIP)</w:t>
      </w:r>
      <w:r>
        <w:t xml:space="preserve">, một đóng góp lý thuyết được định danh lần đầu. Thứ tư, tại Việt Nam (Việt Nam), đường cong U ngược về bản chất là một</w:t>
      </w:r>
      <w:r>
        <w:t xml:space="preserve"> </w:t>
      </w:r>
      <w:r>
        <w:rPr>
          <w:bCs/>
          <w:b/>
        </w:rPr>
        <w:t xml:space="preserve">hiệu ứng vách đá xuất khẩu</w:t>
      </w:r>
      <w:r>
        <w:t xml:space="preserve"> </w:t>
      </w:r>
      <w:r>
        <w:t xml:space="preserve">tại biên tham gia chứ không phải bão hòa cường độ liên tục. Trung Quốc (Trung Quốc) bổ sung một</w:t>
      </w:r>
      <w:r>
        <w:t xml:space="preserve"> </w:t>
      </w:r>
      <w:r>
        <w:rPr>
          <w:bCs/>
          <w:b/>
        </w:rPr>
        <w:t xml:space="preserve">hằng số sinh tồn</w:t>
      </w:r>
      <w:r>
        <w:t xml:space="preserve"> </w:t>
      </w:r>
      <w:r>
        <w:t xml:space="preserve">ở ngưỡng ~48% bền vững qua một thập kỷ biến động vĩ mô, còn Singapore (Singapore) đánh dấu đỉnh</w:t>
      </w:r>
      <w:r>
        <w:t xml:space="preserve"> </w:t>
      </w:r>
      <w:r>
        <w:rPr>
          <w:bCs/>
          <w:b/>
        </w:rPr>
        <w:t xml:space="preserve">bão hòa số</w:t>
      </w:r>
      <w:r>
        <w:t xml:space="preserve"> </w:t>
      </w:r>
      <w:r>
        <w:t xml:space="preserve">của địa hình, nơi năng lực số chỉ phát huy giá trị ở cường độ xuất khẩu cực cao.</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20"/>
    <w:bookmarkStart w:id="25" w:name="thống-kê-mô-tả-và-bức-tranh-tổng-thể"/>
    <w:p>
      <w:pPr>
        <w:pStyle w:val="Heading2"/>
      </w:pPr>
      <w:r>
        <w:t xml:space="preserve">4.1 Thống kê mô tả và bức tranh tổng thể</w:t>
      </w:r>
    </w:p>
    <w:bookmarkStart w:id="21"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21"/>
    <w:bookmarkStart w:id="22"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Đáng chú ý là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GVC) với biên lợi nhuận khác nhau.</w:t>
      </w:r>
    </w:p>
    <w:bookmarkEnd w:id="22"/>
    <w:bookmarkStart w:id="23"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DAI), tức chấp nhận số bề mặt, và Chỉ số năng lực công nghệ (Technological Capability Index,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23"/>
    <w:bookmarkStart w:id="24"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24"/>
    <w:bookmarkEnd w:id="25"/>
    <w:bookmarkStart w:id="30" w:name="Xcac9e8aa89b90d2d4c5a3d7a7353386e79eb48b"/>
    <w:p>
      <w:pPr>
        <w:pStyle w:val="Heading2"/>
      </w:pPr>
      <w:r>
        <w:t xml:space="preserve">4.2 Kết quả phân tích tổng hợp ba tầng (phân tích tổng hợp)</w:t>
      </w:r>
    </w:p>
    <w:bookmarkStart w:id="26"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phân tích tổng hợp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26"/>
    <w:bookmarkStart w:id="27"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54,1%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8,4%</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62,4%</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phân tích tổng hợp (Đỗ &amp; Phan, 2026, bản thảo đang chuẩn bị).</w:t>
      </w:r>
    </w:p>
    <w:p>
      <w:pPr>
        <w:pStyle w:val="BodyText"/>
      </w:pPr>
      <w:r>
        <w:t xml:space="preserve">Dị biệt bên trong từng nghiên cứu, tức biến thiên giữa các mức độ ảnh hưởng trong cùng một nghiên cứu (Tầng 2), chiếm 54,1% tổng phương sai và là nguồn dị biệt chủ đạo. Dị biệt giữa các nghiên cứu với nhau (Tầng 3) chỉ chiếm 8,4%,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27"/>
    <w:bookmarkStart w:id="28"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Kết quả này xác nhận chế độ thể chế, được phân loại từ nhóm tiên tiến dẫn dắt bằng đổi mới đến nhóm đảo nhỏ Thái Bình Dương, là một yếu tố điều tiết thực sự có ý nghĩa cho quan hệ gộp I-P. Việc</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khác biệt giữa các nhóm ICRV không thể quy về sai số lấy mẫu.</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phân tích tổng hợp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chủ yếu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Tuy nhiên ô này chỉ dựa trên ba mức độ ảnh hưởng, trong đó có một giá trị ngoại lai, nên còn mong manh về mặt thống kê. Phát hiện vững chắc của phân tích tổng hợp do đó là sự khác biệt giữa nghiên cứu đơn quốc gia với nghiên cứu đa quốc gia, chứ chưa phải một dải biến thiên đơn điệu theo chất lượng thể chế. Dải biến thiên định hướng này sau đó được xác nhận độc lập bằng dữ liệu sơ cấp trong phân tích đa quốc gia (Mục 4.3).</w:t>
      </w:r>
    </w:p>
    <w:p>
      <w:pPr>
        <w:pStyle w:val="BodyText"/>
      </w:pPr>
      <w:r>
        <w:t xml:space="preserve">Bên cạnh ICRV, phân tích tổng hợp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Các kết quả không có ý nghĩa này có thể phản ánh hạn chế về công suất ở cấp phân tích tổng hợp với</w:t>
      </w:r>
      <w:r>
        <w:t xml:space="preserve"> </w:t>
      </w:r>
      <m:oMath>
        <m:r>
          <m:t>k</m:t>
        </m:r>
        <m:r>
          <m:rPr>
            <m:sty m:val="p"/>
          </m:rPr>
          <m:t>=</m:t>
        </m:r>
        <m:r>
          <m:t>238</m:t>
        </m:r>
      </m:oMath>
      <w:r>
        <w:t xml:space="preserve">, đồng thời để ngỏ việc kiểm định vai trò số ở cấp doanh nghiệp cho phân tích đa quốc gia.</w:t>
      </w:r>
    </w:p>
    <w:bookmarkEnd w:id="28"/>
    <w:bookmarkStart w:id="29" w:name="sai-lệch-xuất-bản"/>
    <w:p>
      <w:pPr>
        <w:pStyle w:val="Heading3"/>
      </w:pPr>
      <w:r>
        <w:t xml:space="preserve">4.2.4 Sai lệch xuất bản</w:t>
      </w:r>
    </w:p>
    <w:p>
      <w:pPr>
        <w:pStyle w:val="FirstParagraph"/>
      </w:pPr>
      <w:r>
        <w:t xml:space="preserve">Phân tích sai lệch xuất bản (publication bias) gồm bốn chỉ báo bổ sung cho nhau.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tức mẫu nhỏ hơn, có xu hướng báo cáo mức độ ảnh hưởng thấp hơn, phù hợp với một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một mức điều chỉnh đáng kể nhưng không làm đổi chiều hướng tích cực của quan hệ gộp.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sai lệch xuất bản không thể bác bỏ hoàn toàn kết quả tổng hợp.</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62</m:t>
        </m:r>
        <m:r>
          <m:rPr>
            <m:sty m:val="p"/>
          </m:rPr>
          <m:t>,</m:t>
        </m:r>
        <m:r>
          <m:t>4</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29"/>
    <w:bookmarkEnd w:id="30"/>
    <w:bookmarkStart w:id="35" w:name="X2211c9df96706adf979c72912d0dfbc1dae7ce1"/>
    <w:p>
      <w:pPr>
        <w:pStyle w:val="Heading2"/>
      </w:pPr>
      <w:r>
        <w:t xml:space="preserve">4.3 Kết quả đa quốc gia trên 45 nền kinh tế (phân tích đa quốc gia 45 nền kinh tế)</w:t>
      </w:r>
    </w:p>
    <w:bookmarkStart w:id="31" w:name="mẫu-và-đường-cong-u-ngược"/>
    <w:p>
      <w:pPr>
        <w:pStyle w:val="Heading3"/>
      </w:pPr>
      <w:r>
        <w:t xml:space="preserve">4.3.1 Mẫu và đường cong U ngược</w:t>
      </w:r>
    </w:p>
    <w:p>
      <w:pPr>
        <w:pStyle w:val="FirstParagraph"/>
      </w:pPr>
      <w:r>
        <w:t xml:space="preserve">Phân tích phân tích đa quốc gia là kiểm định quy mô lớn nhất của luận án, kết hợp toàn bộ các bối cảnh ICRV trong khu vực châu Á và Thái Bình Dương, trải dài 45 nền kinh tế và 98 đợt khảo sát quốc gia–năm. FSTS trung bình trên toàn mẫu xấp xỉ 10%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82.302</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211</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630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36.772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671</m:t>
        </m:r>
      </m:oMath>
      <w:r>
        <w:t xml:space="preserve">), ước lượng:</w:t>
      </w:r>
    </w:p>
    <w:p>
      <w:pPr>
        <w:pStyle w:val="BodyText"/>
      </w:pPr>
      <m:oMathPara>
        <m:oMathParaPr>
          <m:jc m:val="center"/>
        </m:oMathParaPr>
        <m:oMath>
          <m:r>
            <m:rPr>
              <m:nor/>
              <m:sty m:val="p"/>
            </m:rPr>
            <m:t>TP(M5)</m:t>
          </m:r>
          <m:r>
            <m:rPr>
              <m:sty m:val="p"/>
            </m:rPr>
            <m:t>=</m:t>
          </m:r>
          <m:r>
            <m:t>39</m:t>
          </m:r>
          <m:r>
            <m:rPr>
              <m:sty m:val="p"/>
            </m:rPr>
            <m:t>,</m:t>
          </m:r>
          <m:r>
            <m:t>5</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34,1–39,5% FSTS qua các đặc tả nền M2, M3 và M5, và được xác nhận lại trong mô hình điều tiết ba chiều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w:t>
      </w:r>
      <w:r>
        <w:t xml:space="preserve"> </w:t>
      </w:r>
      <m:oMath>
        <m:r>
          <m:t>N</m:t>
        </m:r>
        <m:r>
          <m:rPr>
            <m:sty m:val="p"/>
          </m:rPr>
          <m:t>=</m:t>
        </m:r>
        <m:r>
          <m:t>28.500</m:t>
        </m:r>
      </m:oMath>
      <w:r>
        <w:t xml:space="preserve">). Điểm uốn tổng thể của toàn mẫu nằm vào khoảng 37% FSTS. Tính nhất quán này bác bỏ giả thuyết cho rằng đường cong U ngược chỉ là sản phẩm phụ của mẫu nhỏ hay thiếu biến kiểm soát.</w:t>
      </w:r>
    </w:p>
    <w:bookmarkEnd w:id="31"/>
    <w:bookmarkStart w:id="32" w:name="dải-biến-thiên-icrv-và-điểm-uốn-tối-ưu"/>
    <w:p>
      <w:pPr>
        <w:pStyle w:val="Heading3"/>
      </w:pPr>
      <w:r>
        <w:t xml:space="preserve">4.3.2 Dải biến thiên ICRV và điểm uốn tối ưu</w:t>
      </w:r>
    </w:p>
    <w:p>
      <w:pPr>
        <w:pStyle w:val="FirstParagraph"/>
      </w:pPr>
      <w:r>
        <w:t xml:space="preserve">Kết quả quan trọng nhất của phân tích đa quốc gia là xác nhận vai trò điều tiết của ICRV đối với hình dạng đường cong I-P. Mô hình M10 cho hiệu ứng chính của nhóm ICRV (</w:t>
      </w:r>
      <m:oMath>
        <m:r>
          <m:t>β</m:t>
        </m:r>
        <m:r>
          <m:rPr>
            <m:sty m:val="p"/>
          </m:rPr>
          <m:t>=</m:t>
        </m:r>
        <m:r>
          <m:rPr>
            <m:sty m:val="p"/>
          </m:rPr>
          <m:t>+</m:t>
        </m:r>
        <m:r>
          <m:t>0</m:t>
        </m:r>
        <m:r>
          <m:rPr>
            <m:sty m:val="p"/>
          </m:rPr>
          <m:t>,</m:t>
        </m:r>
        <m:r>
          <m:t>592</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là hai số hạng tương tác có ý nghĩa: FSTS×ICRV (</w:t>
      </w:r>
      <m:oMath>
        <m:r>
          <m:t>β</m:t>
        </m:r>
        <m:r>
          <m:rPr>
            <m:sty m:val="p"/>
          </m:rPr>
          <m:t>=</m:t>
        </m:r>
        <m:r>
          <m:rPr>
            <m:sty m:val="p"/>
          </m:rPr>
          <m:t>+</m:t>
        </m:r>
        <m:r>
          <m:t>1</m:t>
        </m:r>
        <m:r>
          <m:rPr>
            <m:sty m:val="p"/>
          </m:rPr>
          <m:t>,</m:t>
        </m:r>
        <m:r>
          <m:t>849</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932</m:t>
        </m:r>
      </m:oMath>
      <w:r>
        <w:t xml:space="preserve">,</w:t>
      </w:r>
      <w:r>
        <w:t xml:space="preserve"> </w:t>
      </w:r>
      <m:oMath>
        <m:r>
          <m:t>p</m:t>
        </m:r>
        <m:r>
          <m:rPr>
            <m:sty m:val="p"/>
          </m:rPr>
          <m:t>&lt;</m:t>
        </m:r>
        <m:r>
          <m:rPr>
            <m:sty m:val="p"/>
          </m:rPr>
          <m:t>,</m:t>
        </m:r>
        <m:r>
          <m:t>001</m:t>
        </m:r>
      </m:oMath>
      <w:r>
        <w:t xml:space="preserve">). Hai hệ số này cho thấy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các chế độ thể chế yếu (cận biên, SIDS), và phẳng dần về gần tuyến tính ở các chế độ tiên tiến.</w:t>
      </w:r>
    </w:p>
    <w:p>
      <w:pPr>
        <w:pStyle w:val="BodyText"/>
      </w:pPr>
      <w:r>
        <w:t xml:space="preserve">Điểm uốn theo nhóm là không đồng nhất, dao động trong dải rộng (khoảng 16–50% FSTS) và cụm quanh ~40%, nhưng</w:t>
      </w:r>
      <w:r>
        <w:t xml:space="preserve"> </w:t>
      </w:r>
      <w:r>
        <w:rPr>
          <w:bCs/>
          <w:b/>
        </w:rPr>
        <w:t xml:space="preserve">không</w:t>
      </w:r>
      <w:r>
        <w:t xml:space="preserve"> </w:t>
      </w:r>
      <w:r>
        <w:t xml:space="preserve">dịch chuyển đơn điệu theo chất lượng thể chế. Cơ chế vững được nhận diện là biên độ chứ không phải sự di chuyển vị trí điểm tối ưu: trong môi trường thể chế mạnh (Nhóm I), đường cong phẳng và gần tuyến tính nên tổn thất sau đỉnh nhỏ; tại các nền kinh tế thể chế yếu (Nhóm V–VI), đường cong cong sâu hơn nên hình phạt cho quốc tế hóa quá mức trở nên gay gắt hơn.</w:t>
      </w:r>
    </w:p>
    <w:p>
      <w:pPr>
        <w:pStyle w:val="BodyText"/>
      </w:pPr>
      <w:r>
        <w:t xml:space="preserve">Kiểm định điều tiết tổng thể về ICRV trong phân tích đa quốc gia nhất quán với kết quả phân tích tổng hợp ở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một từ phân tích tổng hợp 238 nghiên cứu và một từ dữ liệu sơ cấp 45 nền kinh tế, cùng chỉ ra dải biến thiên ICRV, tạo nên một sự xác nhận chéo độc lập có giá trị.</w:t>
      </w:r>
    </w:p>
    <w:bookmarkEnd w:id="32"/>
    <w:bookmarkStart w:id="33"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342</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342</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090</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227</m:t>
        </m:r>
      </m:oMath>
      <w:r>
        <w:t xml:space="preserve">, không có ý nghĩa, vẫn không có ý nghĩa trong M8 với</w:t>
      </w:r>
      <w:r>
        <w:t xml:space="preserve"> </w:t>
      </w:r>
      <m:oMath>
        <m:r>
          <m:t>p</m:t>
        </m:r>
        <m:r>
          <m:rPr>
            <m:sty m:val="p"/>
          </m:rPr>
          <m:t>=</m:t>
        </m:r>
        <m:r>
          <m:rPr>
            <m:sty m:val="p"/>
          </m:rPr>
          <m:t>,</m:t>
        </m:r>
        <m:r>
          <m:t>077</m:t>
        </m:r>
      </m:oMath>
      <w:r>
        <w:t xml:space="preserve">) không đạt ý nghĩa trong mẫu 45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(Việt Nam),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w:t>
      </w:r>
      <m:oMath>
        <m:r>
          <m:rPr>
            <m:sty m:val="p"/>
          </m:rPr>
          <m:t>exp</m:t>
        </m:r>
        <m:d>
          <m:dPr>
            <m:begChr m:val="("/>
            <m:endChr m:val=")"/>
            <m:sepChr m:val=""/>
            <m:grow/>
          </m:dPr>
          <m:e>
            <m:r>
              <m:t>0</m:t>
            </m:r>
            <m:r>
              <m:rPr>
                <m:sty m:val="p"/>
              </m:rPr>
              <m:t>,</m:t>
            </m:r>
            <m:r>
              <m:t>172</m:t>
            </m:r>
          </m:e>
        </m:d>
        <m:r>
          <m:rPr>
            <m:sty m:val="p"/>
          </m:rPr>
          <m:t>−</m:t>
        </m:r>
        <m:r>
          <m:t>1</m:t>
        </m:r>
        <m:r>
          <m:rPr>
            <m:sty m:val="p"/>
          </m:rPr>
          <m:t>≈</m:t>
        </m:r>
        <m:r>
          <m:t>0</m:t>
        </m:r>
        <m:r>
          <m:rPr>
            <m:sty m:val="p"/>
          </m:rPr>
          <m:t>,</m:t>
        </m:r>
        <m:r>
          <m:t>19</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r>
            <m:t> </m:t>
          </m:r>
          <m:d>
            <m:dPr>
              <m:begChr m:val="("/>
              <m:endChr m:val=")"/>
              <m:sepChr m:val=""/>
              <m:grow/>
            </m:dPr>
            <m:e>
              <m:r>
                <m:t>p</m:t>
              </m:r>
              <m:r>
                <m:rPr>
                  <m:sty m:val="p"/>
                </m:rPr>
                <m:t>=</m:t>
              </m:r>
              <m:r>
                <m:rPr>
                  <m:sty m:val="p"/>
                </m:rPr>
                <m:t>,</m:t>
              </m:r>
              <m:r>
                <m:t>002</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786</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982</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các môi trường thể chế yếu, nhất quán với khung lý thuyết CDCM về cơ chế năng lực số bù đắp cho thiếu hụt thể chế. Số hạng ba chiều FSTS×DAI×ICRV (</w:t>
      </w:r>
      <m:oMath>
        <m:r>
          <m:t>β</m:t>
        </m:r>
        <m:r>
          <m:rPr>
            <m:sty m:val="p"/>
          </m:rPr>
          <m:t>=</m:t>
        </m:r>
        <m:r>
          <m:rPr>
            <m:sty m:val="p"/>
          </m:rPr>
          <m:t>−</m:t>
        </m:r>
        <m:r>
          <m:t>0</m:t>
        </m:r>
        <m:r>
          <m:rPr>
            <m:sty m:val="p"/>
          </m:rPr>
          <m:t>,</m:t>
        </m:r>
        <m:r>
          <m:t>016</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33"/>
    <w:bookmarkStart w:id="34"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018</m:t>
        </m:r>
      </m:oMath>
      <w:r>
        <w:t xml:space="preserve">,</w:t>
      </w:r>
      <w:r>
        <w:t xml:space="preserve"> </w:t>
      </w:r>
      <m:oMath>
        <m:r>
          <m:t>p</m:t>
        </m:r>
        <m:r>
          <m:rPr>
            <m:sty m:val="p"/>
          </m:rPr>
          <m:t>&lt;</m:t>
        </m:r>
        <m:r>
          <m:rPr>
            <m:sty m:val="p"/>
          </m:rPr>
          <m:t>,</m:t>
        </m:r>
        <m:r>
          <m:t>001</m:t>
        </m:r>
      </m:oMath>
      <w:r>
        <w:t xml:space="preserve">) và nhà quản trị cấp cao là nữ (</w:t>
      </w:r>
      <m:oMath>
        <m:r>
          <m:t>β</m:t>
        </m:r>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đều nâng mặt bằng hiệu quả doanh nghiệp độc lập với FSTS. Hiệu ứng kinh nghiệm hàm ý năng suất cao hơn khoảng 2% trên mỗi năm kinh nghiệm trong ngành; hiệu ứng nhà quản trị nữ hàm ý lợi thế năng suất khoảng 22% (</w:t>
      </w:r>
      <m:oMath>
        <m:r>
          <m:rPr>
            <m:sty m:val="p"/>
          </m:rPr>
          <m:t>exp</m:t>
        </m:r>
        <m:d>
          <m:dPr>
            <m:begChr m:val="("/>
            <m:endChr m:val=")"/>
            <m:sepChr m:val=""/>
            <m:grow/>
          </m:dPr>
          <m:e>
            <m:r>
              <m:t>0</m:t>
            </m:r>
            <m:r>
              <m:rPr>
                <m:sty m:val="p"/>
              </m:rPr>
              <m:t>,</m:t>
            </m:r>
            <m:r>
              <m:t>202</m:t>
            </m:r>
          </m:e>
        </m:d>
        <m:r>
          <m:rPr>
            <m:sty m:val="p"/>
          </m:rPr>
          <m:t>−</m:t>
        </m:r>
        <m:r>
          <m:t>1</m:t>
        </m:r>
        <m:r>
          <m:rPr>
            <m:sty m:val="p"/>
          </m:rPr>
          <m:t>≈</m:t>
        </m:r>
        <m:r>
          <m:t>0</m:t>
        </m:r>
        <m:r>
          <m:rPr>
            <m:sty m:val="p"/>
          </m:rPr>
          <m:t>,</m:t>
        </m:r>
        <m:r>
          <m:t>22</m:t>
        </m:r>
      </m:oMath>
      <w:r>
        <w:t xml:space="preserve">). Các đặc điểm này được đưa vào như nhóm biến kiểm soát quản trị nội sinh chứ không phải nhân tố điều tiết trọng tâm: chúng tác động ở dạng hiệu ứng mức (level effect) nâng mặt bằng năng suất, không định hình độ cong của đường quan hệ I-P. Số hạng tương tác FSTS×kinh nghiệm chỉ là chẩn đoán phụ trợ, không có ý nghĩa trong cả M9 (</w:t>
      </w:r>
      <m:oMath>
        <m:r>
          <m:t>β</m:t>
        </m:r>
        <m:r>
          <m:rPr>
            <m:sty m:val="p"/>
          </m:rPr>
          <m:t>=</m:t>
        </m:r>
        <m:r>
          <m:rPr>
            <m:sty m:val="p"/>
          </m:rPr>
          <m:t>+</m:t>
        </m:r>
        <m:r>
          <m:t>0</m:t>
        </m:r>
        <m:r>
          <m:rPr>
            <m:sty m:val="p"/>
          </m:rPr>
          <m:t>,</m:t>
        </m:r>
        <m:r>
          <m:t>005</m:t>
        </m:r>
      </m:oMath>
      <w:r>
        <w:t xml:space="preserve">,</w:t>
      </w:r>
      <w:r>
        <w:t xml:space="preserve"> </w:t>
      </w:r>
      <m:oMath>
        <m:r>
          <m:t>p</m:t>
        </m:r>
        <m:r>
          <m:rPr>
            <m:sty m:val="p"/>
          </m:rPr>
          <m:t>=</m:t>
        </m:r>
        <m:r>
          <m:rPr>
            <m:sty m:val="p"/>
          </m:rPr>
          <m:t>,</m:t>
        </m:r>
        <m:r>
          <m:t>29</m:t>
        </m:r>
      </m:oMath>
      <w:r>
        <w:t xml:space="preserve">) lẫn M11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26</m:t>
        </m:r>
      </m:oMath>
      <w:r>
        <w:t xml:space="preserve">); do đó không cấu thành bằng chứng điều tiết trọng tâm. Việc kiểm soát chất lượng quản trị theo lý thuyết Bậc trên khóa chặt thiên lệch nội sinh và bảo vệ tính nhân quả thuần khiết của tương tác Thể chế × Công nghệ; ký hiệu H4 được giữ nguyên để tương thích với các bản thảo đồng hành (phân tích Việt Nam, Singapore và Trung Quốc).</w:t>
      </w:r>
    </w:p>
    <w:p>
      <w:r>
        <w:pict>
          <v:rect style="width:0;height:1.5pt" o:hralign="center" o:hrstd="t" o:hr="t"/>
        </w:pict>
      </w:r>
    </w:p>
    <w:bookmarkEnd w:id="34"/>
    <w:bookmarkEnd w:id="35"/>
    <w:bookmarkStart w:id="39"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36" w:name="Xd1fdf9d502a8eb8209d45ed783d8cb9f5b9de06"/>
    <w:p>
      <w:pPr>
        <w:pStyle w:val="Heading3"/>
      </w:pPr>
      <w:r>
        <w:t xml:space="preserve">4.4.1 Việt Nam, chế độ chuyển đổi thu nhập trung bình thấp (Việt Nam)</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(Việt Nam).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phân tích Việt Nam (Đỗ &amp; Phan, 2026, bản thảo đang chuẩn bị).</w:t>
      </w:r>
    </w:p>
    <w:p>
      <w:pPr>
        <w:pStyle w:val="BodyText"/>
      </w:pPr>
      <w:r>
        <w:t xml:space="preserve">Điểm uốn trong khoảng 39–46% FSTS đặt Việt Nam thấp hơn đáng kể so với Singapore (khoảng 82%)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36"/>
    <w:bookmarkStart w:id="37" w:name="X943afc790378767429c95208a740b7351ee91c6"/>
    <w:p>
      <w:pPr>
        <w:pStyle w:val="Heading3"/>
      </w:pPr>
      <w:r>
        <w:t xml:space="preserve">4.4.2 Singapore, chế độ tiên tiến dẫn dắt bằng đổi mới (Singapore)</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giá trị</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trên thang điều chỉnh trung bình xấp xỉ 77,8%, cộng thêm giá trị trung bình mẫu (khoảng 4,5%) cho điểm uốn xấp xỉ 82% FSTS trên thang gốc,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37"/>
    <w:bookmarkStart w:id="38" w:name="Xd59d6dbd5461be81fa596227abdb97f457a92c7"/>
    <w:p>
      <w:pPr>
        <w:pStyle w:val="Heading3"/>
      </w:pPr>
      <w:r>
        <w:t xml:space="preserve">4.4.3 Trung Quốc, chế độ thu nhập trung bình cao (Trung Quốc)</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38"/>
    <w:bookmarkEnd w:id="39"/>
    <w:bookmarkStart w:id="43" w:name="X7dc1f4b6942ab8cbfe81c82f5ce732ad4c75229"/>
    <w:p>
      <w:pPr>
        <w:pStyle w:val="Heading2"/>
      </w:pPr>
      <w:r>
        <w:t xml:space="preserve">4.5 Trường hợp biên: quốc đảo nhỏ đang phát triển Thái Bình Dương (SIDS)</w:t>
      </w:r>
    </w:p>
    <w:bookmarkStart w:id="40" w:name="đặc-điểm-mẫu-sids"/>
    <w:p>
      <w:pPr>
        <w:pStyle w:val="Heading3"/>
      </w:pPr>
      <w:r>
        <w:t xml:space="preserve">4.5.1 Đặc điểm mẫu SIDS</w:t>
      </w:r>
    </w:p>
    <w:p>
      <w:pPr>
        <w:pStyle w:val="FirstParagraph"/>
      </w:pPr>
      <w:r>
        <w:t xml:space="preserve">Phân tích phân tích SIDS Thái Bình Dương tập trung vào chín nền kinh tế Quốc đảo nhỏ đang phát triển (Small Islands Developing States,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40"/>
    <w:bookmarkStart w:id="41" w:name="Xa4cc7b4119a730c0567e9dfd632a5ad630da69d"/>
    <w:p>
      <w:pPr>
        <w:pStyle w:val="Heading3"/>
      </w:pPr>
      <w:r>
        <w:t xml:space="preserve">4.5.2 Hiệu ứng âm đơn điệu và gánh nặng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Một bước tăng từ không xuất khẩu sang định hướng xuất khẩu hoàn toàn gắn với năng suất lao động thấp hơn khoảng 40,4%.</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41"/>
    <w:bookmarkStart w:id="42" w:name="cơ-chế-gánh-nặng-quốc-tế-hóa-bắt-buộc"/>
    <w:p>
      <w:pPr>
        <w:pStyle w:val="Heading3"/>
      </w:pPr>
      <w:r>
        <w:t xml:space="preserve">4.5.3 Cơ chế gánh nặng quốc tế hóa bắt buộc</w:t>
      </w:r>
    </w:p>
    <w:p>
      <w:pPr>
        <w:pStyle w:val="FirstParagraph"/>
      </w:pPr>
      <w:r>
        <w:t xml:space="preserve">Luận án đặt tên cho hiện tượng này là gánh nặng quốc tế hóa bắt buộc (forced internationalization penalty), một cấu trúc lý thuyết mới chưa từng được định danh trong tài liệu nghiên cứu kinh doanh quốc tế.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gánh nặng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42"/>
    <w:bookmarkEnd w:id="43"/>
    <w:bookmarkStart w:id="48" w:name="thảo-luận-tổng-hợp"/>
    <w:p>
      <w:pPr>
        <w:pStyle w:val="Heading2"/>
      </w:pPr>
      <w:r>
        <w:t xml:space="preserve">4.6 Thảo luận tổng hợp</w:t>
      </w:r>
    </w:p>
    <w:bookmarkStart w:id="44" w:name="điểm-tối-ưu-được-dịch-chuyển"/>
    <w:p>
      <w:pPr>
        <w:pStyle w:val="Heading3"/>
      </w:pPr>
      <w:r>
        <w:t xml:space="preserve">4.6.1 Điểm tối ưu được dịch chuyển</w:t>
      </w:r>
    </w:p>
    <w:p>
      <w:pPr>
        <w:pStyle w:val="FirstParagraph"/>
      </w:pPr>
      <w:r>
        <w:t xml:space="preserve">Tổng hợp bằng chứng từ phân tích tổng hợp (phân tích tổng hợp) và toàn mẫu sơ cấp (phân tích đa quốc gia 45 nền kinh tế), cùng ba nghiên cứu đơn quốc gia, dẫn đến luận điểm trung tâm: hình dạng của quan hệ I-P mang tính phổ quát, nhưng độ cong và vị trí điểm tối ưu của nó phụ thuộc vào bối cảnh thể chế. Đường cong U ngược tồn tại nhất quán qua các bối cảnh có thể chế đủ mạnh, nhưng độ cong của nó không phải là một tham số cấu trúc cố định.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chế độ cận biên và dễ tổn thương, và phẳng dần về gần tuyến tính ở chế độ tiên tiến.</w:t>
      </w:r>
    </w:p>
    <w:p>
      <w:pPr>
        <w:pStyle w:val="BodyText"/>
      </w:pPr>
      <w:r>
        <w:t xml:space="preserve">Bằng chứng định lượng về tính phụ thuộc bối cảnh này khá rõ ràng. Trên ba nghiên cứu đơn quốc gia, điểm uốn đi từ khoảng 82% FSTS tại Singapore (Nhóm I, tiên tiến đổi mới) xuống khoảng 48,78% tại Trung Quốc (Nhóm III, thu nhập trung bình cao) rồi xuống 39,7% tại Việt Nam (Nhóm IV, chuyển đổi thu nhập trung bình thấp). Trong toàn mẫu đa quốc gia, điểm uốn theo nhóm là không đồng nhất (dao động trong dải khoảng 16–50% FSTS), cụm quanh ~40% và</w:t>
      </w:r>
      <w:r>
        <w:t xml:space="preserve"> </w:t>
      </w:r>
      <w:r>
        <w:rPr>
          <w:bCs/>
          <w:b/>
        </w:rPr>
        <w:t xml:space="preserve">không</w:t>
      </w:r>
      <w:r>
        <w:t xml:space="preserve"> </w:t>
      </w:r>
      <w:r>
        <w:t xml:space="preserve">dịch chuyển đơn điệu theo chất lượng thể chế; điều dịch chuyển có hệ thống là</w:t>
      </w:r>
      <w:r>
        <w:t xml:space="preserve"> </w:t>
      </w:r>
      <w:r>
        <w:rPr>
          <w:bCs/>
          <w:b/>
        </w:rPr>
        <w:t xml:space="preserve">độ cong (concavity / biên độ)</w:t>
      </w:r>
      <w:r>
        <w:t xml:space="preserve"> </w:t>
      </w:r>
      <w:r>
        <w:t xml:space="preserve">của hình chữ U ngược, sâu dần khi thể chế suy giảm và phẳng dần về gần tuyến tính ở chế độ tiên tiến. Như vậy, tính không đồng nhất của độ cong và vị trí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44"/>
    <w:bookmarkStart w:id="45"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đa quốc gia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đa quốc gia, DAI có hiệu ứng nâng mặt bằng phổ quát (</w:t>
      </w:r>
      <m:oMath>
        <m:r>
          <m:t>β</m:t>
        </m:r>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049</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 thay thế số cho thể chế: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theo hiểu biết hiện tại, là bằng chứng đa quốc gia ở cấp doanh nghiệp đầu tiên cho thấy số hóa và chất lượng thể chế hoạt động như những yếu tố thay thế chứ không phải bổ sung trong quá trình chuyển hóa quốc tế hóa thành hiệu quả.</w:t>
      </w:r>
    </w:p>
    <w:bookmarkEnd w:id="45"/>
    <w:bookmarkStart w:id="46"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46"/>
    <w:bookmarkStart w:id="47"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đa quốc gia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phân tích đa quốc gia); uốn đường cong xác nhận tại Việt Nam nhưng không có ý nghĩa tại toàn mẫu đa quốc gia</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172</m:t>
              </m:r>
            </m:oMath>
            <w:r>
              <w:t xml:space="preserve">) và cả hai tương tác đường cong có ý nghĩa trong phân tích đa quốc gia; DAI×ICRV</w:t>
            </w:r>
            <w:r>
              <w:t xml:space="preserve"> </w:t>
            </w:r>
            <m:oMath>
              <m:r>
                <m:t>p</m:t>
              </m:r>
              <m:r>
                <m:rPr>
                  <m:sty m:val="p"/>
                </m:rPr>
                <m:t>=</m:t>
              </m:r>
              <m:r>
                <m:rPr>
                  <m:sty m:val="p"/>
                </m:rPr>
                <m:t>,</m:t>
              </m:r>
              <m:r>
                <m:t>049</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(kiểm soát quản trị nội sinh)</w:t>
            </w:r>
          </w:p>
        </w:tc>
        <w:tc>
          <w:tcPr/>
          <w:p>
            <w:pPr>
              <w:pStyle w:val="Compact"/>
              <w:jc w:val="left"/>
            </w:pPr>
            <w:r>
              <w:t xml:space="preserve">Kinh nghiệm và giới tính nhà quản trị nâng mặt bằng (kiểm soát, không điều tiết độ cong)</w:t>
            </w:r>
          </w:p>
        </w:tc>
        <w:tc>
          <w:tcPr/>
          <w:p>
            <w:pPr>
              <w:pStyle w:val="Compact"/>
              <w:jc w:val="left"/>
            </w:pPr>
            <w:r>
              <w:t xml:space="preserve">Hiệu ứng mức trong phân tích đa quốc gia: nhà quản trị nữ</w:t>
            </w:r>
            <w:r>
              <w:t xml:space="preserve"> </w:t>
            </w:r>
            <m:oMath>
              <m:r>
                <m:t>β</m:t>
              </m:r>
              <m:r>
                <m:rPr>
                  <m:sty m:val="p"/>
                </m:rPr>
                <m:t>=</m:t>
              </m:r>
              <m:r>
                <m:rPr>
                  <m:sty m:val="p"/>
                </m:rPr>
                <m:t>+</m:t>
              </m:r>
              <m:r>
                <m:t>0</m:t>
              </m:r>
              <m:r>
                <m:rPr>
                  <m:sty m:val="p"/>
                </m:rPr>
                <m:t>,</m:t>
              </m:r>
              <m:r>
                <m:t>202</m:t>
              </m:r>
            </m:oMath>
            <w:r>
              <w:t xml:space="preserve"> </w:t>
            </w:r>
            <w:r>
              <w:t xml:space="preserve">(</w:t>
            </w:r>
            <m:oMath>
              <m:r>
                <m:t>p</m:t>
              </m:r>
              <m:r>
                <m:rPr>
                  <m:sty m:val="p"/>
                </m:rPr>
                <m:t>&lt;</m:t>
              </m:r>
              <m:r>
                <m:rPr>
                  <m:sty m:val="p"/>
                </m:rPr>
                <m:t>,</m:t>
              </m:r>
              <m:r>
                <m:t>001</m:t>
              </m:r>
            </m:oMath>
            <w:r>
              <w:t xml:space="preserve">), kinh nghiệm</w:t>
            </w:r>
            <w:r>
              <w:t xml:space="preserve"> </w:t>
            </w:r>
            <m:oMath>
              <m:r>
                <m:t>β</m:t>
              </m:r>
              <m:r>
                <m:rPr>
                  <m:sty m:val="p"/>
                </m:rPr>
                <m:t>=</m:t>
              </m:r>
              <m:r>
                <m:rPr>
                  <m:sty m:val="p"/>
                </m:rPr>
                <m:t>+</m:t>
              </m:r>
              <m:r>
                <m:t>0</m:t>
              </m:r>
              <m:r>
                <m:rPr>
                  <m:sty m:val="p"/>
                </m:rPr>
                <m:t>,</m:t>
              </m:r>
              <m:r>
                <m:t>018</m:t>
              </m:r>
            </m:oMath>
            <w:r>
              <w:t xml:space="preserve"> </w:t>
            </w:r>
            <w:r>
              <w:t xml:space="preserve">(</w:t>
            </w:r>
            <m:oMath>
              <m:r>
                <m:t>p</m:t>
              </m:r>
              <m:r>
                <m:rPr>
                  <m:sty m:val="p"/>
                </m:rPr>
                <m:t>&lt;</m:t>
              </m:r>
              <m:r>
                <m:rPr>
                  <m:sty m:val="p"/>
                </m:rPr>
                <m:t>,</m:t>
              </m:r>
              <m:r>
                <m:t>001</m:t>
              </m:r>
            </m:oMath>
            <w:r>
              <w:t xml:space="preserve">); tương tác FSTS×kinh nghiệm không có ý nghĩa (</w:t>
            </w:r>
            <m:oMath>
              <m:r>
                <m:t>p</m:t>
              </m:r>
              <m:r>
                <m:rPr>
                  <m:sty m:val="p"/>
                </m:rPr>
                <m:t>=</m:t>
              </m:r>
              <m:r>
                <m:rPr>
                  <m:sty m:val="p"/>
                </m:rPr>
                <m:t>,</m:t>
              </m:r>
              <m:r>
                <m:t>26</m:t>
              </m:r>
            </m:oMath>
            <w:r>
              <w:t xml:space="preserve"> </w:t>
            </w:r>
            <w:r>
              <w:t xml:space="preserve">tại M11), là chẩn đoán phụ trợ chứ không phải điều tiết trọng tâm</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từ phân tích tổng hợp và tương tác M10 từ phân tích đa quốc gia (FSTS×ICRV</w:t>
            </w:r>
            <w:r>
              <w:t xml:space="preserve"> </w:t>
            </w:r>
            <m:oMath>
              <m:r>
                <m:t>β</m:t>
              </m:r>
              <m:r>
                <m:rPr>
                  <m:sty m:val="p"/>
                </m:rPr>
                <m:t>=</m:t>
              </m:r>
              <m:r>
                <m:rPr>
                  <m:sty m:val="p"/>
                </m:rPr>
                <m:t>+</m:t>
              </m:r>
              <m:r>
                <m:t>1</m:t>
              </m:r>
              <m:r>
                <m:rPr>
                  <m:sty m:val="p"/>
                </m:rPr>
                <m:t>,</m:t>
              </m:r>
              <m:r>
                <m:t>85</m:t>
              </m:r>
            </m:oMath>
            <w:r>
              <w:t xml:space="preserve">; FSTS</w:t>
            </w:r>
            <m:oMath>
              <m:sSup>
                <m:e>
                  <m:r>
                    <m:t>​</m:t>
                  </m:r>
                </m:e>
                <m:sup>
                  <m:r>
                    <m:t>2</m:t>
                  </m:r>
                </m:sup>
              </m:sSup>
            </m:oMath>
            <w:r>
              <w:t xml:space="preserve">×ICRV</w:t>
            </w:r>
            <w:r>
              <w:t xml:space="preserve"> </w:t>
            </w:r>
            <m:oMath>
              <m:r>
                <m:t>β</m:t>
              </m:r>
              <m:r>
                <m:rPr>
                  <m:sty m:val="p"/>
                </m:rPr>
                <m:t>=</m:t>
              </m:r>
              <m:r>
                <m:rPr>
                  <m:sty m:val="p"/>
                </m:rPr>
                <m:t>−</m:t>
              </m:r>
              <m:r>
                <m:t>2</m:t>
              </m:r>
              <m:r>
                <m:rPr>
                  <m:sty m:val="p"/>
                </m:rPr>
                <m:t>,</m:t>
              </m:r>
              <m:r>
                <m:t>93</m:t>
              </m:r>
            </m:oMath>
            <w:r>
              <w:t xml:space="preserve">; đều</w:t>
            </w:r>
            <w:r>
              <w:t xml:space="preserve"> </w:t>
            </w:r>
            <m:oMath>
              <m:r>
                <m:t>p</m:t>
              </m:r>
              <m:r>
                <m:rPr>
                  <m:sty m:val="p"/>
                </m:rPr>
                <m:t>&lt;</m:t>
              </m:r>
              <m:r>
                <m:rPr>
                  <m:sty m:val="p"/>
                </m:rPr>
                <m:t>,</m:t>
              </m:r>
              <m:r>
                <m:t>001</m:t>
              </m:r>
            </m:oMath>
            <w:r>
              <w:t xml:space="preserve">); cơ chế là độ cong/biên độ (sâu dần khi thể chế suy giảm), không phải dịch chuyển điểm uốn đơn điệu</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47"/>
    <w:bookmarkEnd w:id="48"/>
    <w:bookmarkStart w:id="49" w:name="kiểm-định-độ-vững"/>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phân tích tổng hợp,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đa quốc gia, điểm uốn dao động nhất quán trong dải hẹp 34,1–39,5% qua mọi đặc tả M2–M9 và được xác nhận lại trong mô hình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phân tích Trung Quốc, đường cong U ngược được bảo toàn khi giới hạn mẫu sản xuất (điểm uốn 48,1% năm 2012 và 46,4% năm 2024), khi dùng năng suất nhân tố tổng hợp (Total Factor Productivity,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phân tích Singapore,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phân tích Việt Nam,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phân tích SIDS Thái Bình Dương,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độ cong thay đổi theo dải biến thiên ICRV ở cấp đa quốc gia và đơn quốc gia, và quan hệ âm đơn điệu như một điều kiện biên cực đoan ở SIDS.</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2026-05-27T07:22:50Z</dcterms:created>
  <dcterms:modified xsi:type="dcterms:W3CDTF">2026-05-27T07:22:50Z</dcterms:modified>
</cp:coreProperties>
</file>

<file path=docProps/custom.xml><?xml version="1.0" encoding="utf-8"?>
<Properties xmlns="http://schemas.openxmlformats.org/officeDocument/2006/custom-properties" xmlns:vt="http://schemas.openxmlformats.org/officeDocument/2006/docPropsVTypes"/>
</file>