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Asia Pacific Journal of Management (APJM), Springer</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2"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In this zero-inflated setting the inverted-U reflects a participation-barrier effect rather than intensity saturation, and pooled Tier-1 coefficients mask progressive proxy obsolescence. Because the turning-point cluster (39–46% FSTS) is institutionally embedded, the debate moves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an</w:t>
      </w:r>
      <w:r>
        <w:t xml:space="preserve"> </w:t>
      </w:r>
      <w:r>
        <w:rPr>
          <w:iCs/>
          <w:i/>
        </w:rPr>
        <w:t xml:space="preserve">Export Cliff Effect</w:t>
      </w:r>
      <w:r>
        <w:t xml:space="preserve">, 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9"/>
    <w:bookmarkStart w:id="30"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0"/>
    <w:bookmarkStart w:id="31"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a</w:t>
      </w:r>
      <w:r>
        <w:t xml:space="preserve"> </w:t>
      </w:r>
      <w:r>
        <w:rPr>
          <w:iCs/>
          <w:i/>
        </w:rPr>
        <w:t xml:space="preserve">digital saturation</w:t>
      </w:r>
      <w:r>
        <w:t xml:space="preserve"> </w:t>
      </w:r>
      <w:r>
        <w:t xml:space="preserve">in which near-universal Tier-1 presence loses discriminating power, rather than a marker of digital strategy. This is a substantive finding in its own right: basic website adoption has decayed from a candidate RBV advantage into a baseline hygiene condition.</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1"/>
    <w:bookmarkStart w:id="35"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160501"/>
            <wp:effectExtent b="0" l="0" r="0" t="0"/>
            <wp:docPr descr="Figure 1: Conceptual model, TCI, DAI, and export intensity as determinants of firm performance (Vietnam, 3-wave)"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 ≈ −0.09 in 2023, World Bank). Data: WBES 2009, 2015, 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Baseline controls:</w:t>
      </w:r>
      <w:r>
        <w:t xml:space="preserve"> </w:t>
      </w:r>
      <w:r>
        <w:t xml:space="preserve">lnLP_it = α + γ₁ lnEmp_it + γ₂ FirmAge_it + γ₃ ForeignOwned_it + δ_s + [λ_t] + ε_it</w:t>
      </w:r>
    </w:p>
    <w:p>
      <w:pPr>
        <w:pStyle w:val="BodyText"/>
      </w:pPr>
      <w:r>
        <w:rPr>
          <w:bCs/>
          <w:b/>
        </w:rPr>
        <w:t xml:space="preserve">M1,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instead, the instrument has lost its discriminatory power as Tier 1 adoption has diffused to near-universal levels (49.8% in 2023 vs 42.5% in 2009). The DAI_rich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to 0.128 to 0.123) but with moderation</w:t>
      </w:r>
    </w:p>
    <w:p>
      <w:pPr>
        <w:pStyle w:val="BodyText"/>
      </w:pPr>
      <w:r>
        <w:t xml:space="preserve">that survives in the 2009, 2023 and pooled panels. Website-based digital presence follows a nonmonotonic trajectory,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3835399"/>
            <wp:effectExtent b="0" l="0" r="0" t="0"/>
            <wp:docPr descr="Figure 2a: Wave 2009,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2a: Wave 2009,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3835399"/>
            <wp:effectExtent b="0" l="0" r="0" t="0"/>
            <wp:docPr descr="Figure 2b: Wave 2015,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2b: Wave 2015,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3835399"/>
            <wp:effectExtent b="0" l="0" r="0" t="0"/>
            <wp:docPr descr="Figure 2c: Wave 2023,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2c: Wave 2023,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3835399"/>
            <wp:effectExtent b="0" l="0" r="0" t="0"/>
            <wp:docPr descr="Figure 2d: Pooled (2009+2015+2023),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2d: Pooled (2009+2015+2023),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 Fan, &amp; Chen, 2022,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CaptionedFigure"/>
      </w:pPr>
      <w:r>
        <w:drawing>
          <wp:inline>
            <wp:extent cx="5753100" cy="2401293"/>
            <wp:effectExtent b="0" l="0" r="0" t="0"/>
            <wp:docPr descr="Figure 3: Moderator marginal effects,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Figure 3: Moderator marginal effects,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to 0.61; FSTSc2 −2.21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descriptive DAI_z findings carry one central implication: baseline website presence in Vietnam should</w:t>
      </w:r>
      <w:r>
        <w:t xml:space="preserve"> </w:t>
      </w:r>
      <w:r>
        <w:t xml:space="preserve">not be read as a universal, temporally stable productivity premium, nor as evidence on dynamic digital capability. TCI_z and DAI_z 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 Framed in capability terms, a Tier-1 website in transitional Vietnam operates as a saturated hygiene factor rather than a differentiating resource: with ownership approaching universality (42.5% in 2009 to 49.8% in 2023), it retains too little cross-firm variance to bend the export–performance curve, so the null is a substantive finding about a saturated threshold rather than a measurement shortfall. The contrast with a companion Singapore study, where the deeper Tier-1+2 construct amplifies the productivity return at high export intensity, indicates that foundational digital adoption is a context-dependent resource gated by a depth threshold: only past the shift from digitising information to integrating digital into processes does it acquire curve-reshaping potency, and only then can it act as a partial substitute for the institutional functions that remain underdeveloped in a transitional economy.</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2026-05-27T07:23:44Z</dcterms:created>
  <dcterms:modified xsi:type="dcterms:W3CDTF">2026-05-27T07:23:44Z</dcterms:modified>
</cp:coreProperties>
</file>

<file path=docProps/custom.xml><?xml version="1.0" encoding="utf-8"?>
<Properties xmlns="http://schemas.openxmlformats.org/officeDocument/2006/custom-properties" xmlns:vt="http://schemas.openxmlformats.org/officeDocument/2006/docPropsVTypes"/>
</file>