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8.png" ContentType="image/png"/>
  <Override PartName="/word/media/rId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71f68986ebdedfa6a7fda36701097f5cdd5e3a2"/>
    <w:p>
      <w:pPr>
        <w:pStyle w:val="Heading1"/>
      </w:pPr>
      <w:r>
        <w:t xml:space="preserve">Institutional Context, Digital Adoption, and the Internationalization–Performance Relationship: A Three-Level Meta-Analysis</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International Business Review (IBR, Elsevier, IF ≈ 5.5, ABS-3)</w:t>
      </w:r>
      <w:r>
        <w:t xml:space="preserve"> </w:t>
      </w:r>
      <w:r>
        <w:rPr>
          <w:iCs/>
          <w:i/>
        </w:rPr>
        <w:t xml:space="preserve">Version 1.0,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t xml:space="preserve">This study reports the first three-level meta-analytic regression analysis (MARA) of the internationalization–performance (I-P) relationship to test whether country-level digital adoption (cDAI), institutional context regime (ICRV), and Digital Paradox Lifecycle (DPL) phase moderate it. Following PRISMA 2020, a systematic Web of Science and Scopus search (1977–2026) yields k = 238 studies and K = 288 effect sizes from 49 economies; three-level MARA decomposes within- and between-study heterogeneity using metafor, with OSF pre-registration and inter-coder reliability κ ≥ 0.70. The baseline pooled effect is r = 0.074 (95% CI [0.060, 0.088], p &lt; .001; I² = 62.4%). The hypothesized moderators show limited support: ICRV regime differences are significant (Q_M = 17.35, df = 4, p = .002) but reflect single- versus multi-country study composition rather than a monotone institutional gradient, while cDAI and DPL moderation are non-significant. The headline result is substantial publication bias: trim-and-fill imputes k = 58 missing studies, cutting the pooled effect to r = 0.035 (95% CI [0.023, 0.048]), an implied ~53% attenuation (Begg p &lt; .001; Egger p = .057). These findings reframe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not a universal mechanism,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country of origin, industry, performance measure type, leave approximately 70% of variance unexplained.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taxonomy. The global study corpus spans the full institutional spectrum, from Singapore (World Governance Indicators Rule of Law score +1.84) to frontier economies such as Pakistan (WGI −0.55) and Iran (WGI −0.74; World Bank, 2023). An ICRV 6-regime classification (Regimes I–VI, where Regime VI is the Pacific SIDS boundary case) capable of resolving this heterogeneity has not been tested meta-analytically on a globally representative I-P corpus.</w:t>
      </w:r>
    </w:p>
    <w:p>
      <w:pPr>
        <w:pStyle w:val="BodyText"/>
      </w:pPr>
      <w:r>
        <w:rPr>
          <w:bCs/>
          <w:b/>
        </w:rPr>
        <w:t xml:space="preserve">Gap 3, DPL phase.</w:t>
      </w:r>
      <w:r>
        <w:t xml:space="preserve"> </w:t>
      </w:r>
      <w:r>
        <w:t xml:space="preserve">Brynjolfsson et al. (2021) identified 2009 as a 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6-regime framework applied to a globally representative I-P corpus (</w:t>
      </w:r>
      <w:r>
        <w:rPr>
          <w:iCs/>
          <w:i/>
        </w:rPr>
        <w:t xml:space="preserve">k</w:t>
      </w:r>
      <w:r>
        <w:t xml:space="preserve"> </w:t>
      </w:r>
      <w:r>
        <w:t xml:space="preserve">= 238, 49 economies; five of the six regimes are populated, the Pacific-SIDS Regime VI returning no qualifying studies);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 Interpreted together, the null country-level digital (cDAI) and temporal (DPL) moderators motivate a</w:t>
      </w:r>
      <w:r>
        <w:t xml:space="preserve"> </w:t>
      </w:r>
      <w:r>
        <w:rPr>
          <w:iCs/>
          <w:i/>
        </w:rPr>
        <w:t xml:space="preserve">Capability–Context Mismatch</w:t>
      </w:r>
      <w:r>
        <w:t xml:space="preserve"> </w:t>
      </w:r>
      <w:r>
        <w:t xml:space="preserve">account: a macro digital context is inert for the I-P relationship unless it is matched by firm-level (micro) digital capability, the macro environment cannot substitute for the absence of the firm-level capability that actually converts it.</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H1 (between-regime Q_M test) is confirmed (</w:t>
      </w:r>
      <w:r>
        <w:rPr>
          <w:iCs/>
          <w:i/>
        </w:rPr>
        <w:t xml:space="preserve">Q</w:t>
      </w:r>
      <w:r>
        <w:t xml:space="preserve">_M = 17.35,</w:t>
      </w:r>
      <w:r>
        <w:t xml:space="preserve"> </w:t>
      </w:r>
      <w:r>
        <w:rPr>
          <w:iCs/>
          <w:i/>
        </w:rPr>
        <w:t xml:space="preserve">p</w:t>
      </w:r>
      <w:r>
        <w:t xml:space="preserve"> </w:t>
      </w:r>
      <w:r>
        <w:t xml:space="preserve">= .002); however, the directional Exploratory Propositions E1a (Advanced largest) and E1b (Frontier smallest) are not statistically confirmed, pairwise differences reflect single-country vs. multi-country study composition rather than a monotone institutional gradient.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headline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an implied ~53% attenuation. Read as a corrective contribution to the field, this indicates that four decades of I-P evidence may be materially inflated by publication selection. The inference is a bias-correction estimate corroborated by a significant Begg test (τ = −0.134,</w:t>
      </w:r>
      <w:r>
        <w:t xml:space="preserve"> </w:t>
      </w:r>
      <w:r>
        <w:rPr>
          <w:iCs/>
          <w:i/>
        </w:rPr>
        <w:t xml:space="preserve">p</w:t>
      </w:r>
      <w:r>
        <w:t xml:space="preserve"> </w:t>
      </w:r>
      <w:r>
        <w:t xml:space="preserve">&lt; .001); because Egger’s regression is only borderline (</w:t>
      </w:r>
      <w:r>
        <w:rPr>
          <w:iCs/>
          <w:i/>
        </w:rPr>
        <w:t xml:space="preserve">p</w:t>
      </w:r>
      <w:r>
        <w:t xml:space="preserve"> </w:t>
      </w:r>
      <w:r>
        <w:t xml:space="preserve">= .057), we frame the ~53% as a strong directional signal rather than a settled point magnitude. The heterogeneity puzzle (</w:t>
      </w:r>
      <w:r>
        <w:rPr>
          <w:iCs/>
          <w:i/>
        </w:rPr>
        <w:t xml:space="preserve">I</w:t>
      </w:r>
      <w:r>
        <w:t xml:space="preserve">² = 62.4%) remains unresolved by the tested moderators, suggesting that future research should test alternative theoretical contingencies or that between-study heterogeneity is dominated by within-paper variance (Level 2, 54.1%) rather than between-country differences (Level 3, 8.4%).</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including human capital, technological capability, and digital infrastructure access,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It is important to note that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w:t>
      </w:r>
      <w:r>
        <w:t xml:space="preserve"> </w:t>
      </w:r>
      <w:r>
        <w:t xml:space="preserve">“</w:t>
      </w:r>
      <w:r>
        <w:t xml:space="preserve">rules of the game</w:t>
      </w:r>
      <w:r>
        <w:t xml:space="preserve">”</w:t>
      </w:r>
      <w:r>
        <w:t xml:space="preserve"> </w:t>
      </w:r>
      <w:r>
        <w:t xml:space="preserve">that govern transaction costs. In the I-P context, higher institutional quality, measured through rule of law, contract enforcement, IP protection, and regulatory quality,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real-time digital communication across time zones reduces the bandwidth cost of coordinating dispersed operations; (b)</w:t>
      </w:r>
      <w:r>
        <w:t xml:space="preserve"> </w:t>
      </w:r>
      <w:r>
        <w:rPr>
          <w:iCs/>
          <w:i/>
        </w:rPr>
        <w:t xml:space="preserve">transaction cost reduction</w:t>
      </w:r>
      <w:r>
        <w:t xml:space="preserve">, electronic payment systems and digital contracting reduce the cost and time of cross-border transactions; (c)</w:t>
      </w:r>
      <w:r>
        <w:t xml:space="preserve"> </w:t>
      </w:r>
      <w:r>
        <w:rPr>
          <w:iCs/>
          <w:i/>
        </w:rPr>
        <w:t xml:space="preserve">information asymmetry compression</w:t>
      </w:r>
      <w:r>
        <w:t xml:space="preserve">, digital analytics platforms reduce the monitoring cost of verifying foreign partner performance. When national digital infrastructure is mature (high cDAI), all three channels operate simultaneously, predicting that the coordination cost mechanism, which generates the right-side decline of the inverted-U,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the layers most widely measured in firm-level surveys,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a between-study moderation claim, not a within-study mediation claim.</w:t>
      </w:r>
    </w:p>
    <w:bookmarkEnd w:id="22"/>
    <w:bookmarkStart w:id="23" w:name="X772aae5f967000260143b5df2cce415e62452ba"/>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the costs incurred by foreign firms that domestic rivals do not bear,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environments where formal institutions are weak or absent,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6-regime taxonomy, anchored in World Bank World Governance Indicators (Rule of Law dimension, 2023 vintage) and applied to the full k = 238 global study corpus,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ICRV between-regime heterogeneity):</w:t>
      </w:r>
      <w:r>
        <w:t xml:space="preserve"> </w:t>
      </w:r>
      <w:r>
        <w:t xml:space="preserve">Pooled I-P effect sizes vary systematically across ICRV institutional regimes, with Advanced-regime studies expected to show the largest average effects, because formal institutions, contract enforcement, IP protection, and reduced liability of foreignness,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potentially null or negative,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 α = .05, minimum k for stable random-effects moderation is typically k ≥ 10; Valentine et al., 2010).</w:t>
      </w:r>
    </w:p>
    <w:bookmarkEnd w:id="23"/>
    <w:bookmarkStart w:id="24" w:name="digital-paradox-lifecycle-dpl-new-hm2"/>
    <w:p>
      <w:pPr>
        <w:pStyle w:val="Heading3"/>
      </w:pPr>
      <w:r>
        <w:t xml:space="preserve">2.3 Digital Paradox Lifecycle (DPL,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in organizational practices, worker skills, and infrastructure,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r>
        <w:t xml:space="preserve"> </w:t>
      </w:r>
      <w:r>
        <w:t xml:space="preserve">-</w:t>
      </w:r>
      <w:r>
        <w:t xml:space="preserve"> </w:t>
      </w: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r>
        <w:t xml:space="preserve"> </w:t>
      </w:r>
      <w:r>
        <w:t xml:space="preserve">-</w:t>
      </w:r>
      <w:r>
        <w:t xml:space="preserve"> </w:t>
      </w: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r>
        <w:t xml:space="preserve"> </w:t>
      </w:r>
      <w:r>
        <w:t xml:space="preserve">-</w:t>
      </w:r>
      <w:r>
        <w:t xml:space="preserve"> </w:t>
      </w:r>
      <w:r>
        <w:rPr>
          <w:bCs/>
          <w:b/>
        </w:rPr>
        <w:t xml:space="preserve">Follow</w:t>
      </w:r>
      <w:r>
        <w:t xml:space="preserve"> </w:t>
      </w:r>
      <w:r>
        <w:t xml:space="preserve">(data collected predominantly after 2014): Digital platforms, including cloud-based logistics, B2B e-commerce, electronic payment systems, and digital trade finance,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BodyText"/>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home to 52% of the k = 238 corpus, was a primary site of this diffusion.</w:t>
      </w:r>
    </w:p>
    <w:p>
      <w:pPr>
        <w:pStyle w:val="BodyText"/>
      </w:pPr>
      <w:r>
        <w:rPr>
          <w:bCs/>
          <w:b/>
        </w:rPr>
        <w:t xml:space="preserve">Hypothesis 2 (H2,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below approximately k = 30 per phase, the between-group test is underpowered for detection of moderate-size moderation (</w:t>
      </w:r>
      <w:r>
        <w:rPr>
          <w:iCs/>
          <w:i/>
        </w:rPr>
        <w:t xml:space="preserve">f</w:t>
      </w:r>
      <w:r>
        <w:t xml:space="preserve">² &lt;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Orwin’s (1983) fail-safe N is expected to substantially exceed the threshold of 2,000 studies required to reduce the pooled effect to a negligible level, confirming that the positive I-P effect is not an artifact of publication bias alone.</w:t>
      </w:r>
    </w:p>
    <w:bookmarkEnd w:id="26"/>
    <w:bookmarkStart w:id="30" w:name="conceptual-model"/>
    <w:p>
      <w:pPr>
        <w:pStyle w:val="Heading3"/>
      </w:pPr>
      <w:r>
        <w:t xml:space="preserve">2.6 Conceptual Model</w:t>
      </w:r>
    </w:p>
    <w:p>
      <w:pPr>
        <w:pStyle w:val="CaptionedFigure"/>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ImageCaption"/>
      </w:pPr>
      <w:r>
        <w:t xml:space="preserve">Figure 1: Conceptual model,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hypothesised between-regime Q_M statistically significant; H1 confirmed (Q_M = 17.35, p = .002); directional Exploratory Propositions E1a (Advanced largest) and E1b (Frontier smallest) not meta-analytically confirmable with sparse regime cells. (2) cDAI, Country Digital Adoption Index (H3), hypothesised positive amplification [High &gt; Low]; actual Q_M = 1.23 (p = .541), H3 not supported. (3) DPL Phase (H2), hypothesised Follow &gt; Precede; actual Q_M = 0.56 (p = .755), H2 not supported. The three-level model nests K = 288 effects within k = 238 studies (within-study σ²_(2) = 0.00874, I²_(2) = 54.1%) within between-study heterogeneity (between-study σ²_(3) = 0.00135, I²_(3) = 8.4%); total I² = 62.4%. Publication bias (H4 confirmed): Egger’s b = 0.475 (SE = 0.250, p = .057), Begg’s τ = −0.134 (p = .0007); trim-and-fill imputes k = 58 studies, adjusted r = .035;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30"/>
    <w:bookmarkEnd w:id="31"/>
    <w:bookmarkStart w:id="42"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 https://osf.io/z37kn (DOI: 10.17605/OSF.IO/Z37KN; registered May 18, 2026).</w:t>
      </w:r>
    </w:p>
    <w:bookmarkEnd w:id="32"/>
    <w:bookmarkStart w:id="33"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 ≥85%):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 × 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capital structure, location strategy, antecedent/determinant language; STRONG_INCL,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India textile Born Globals I-P M-curve; S0240, SME internationalization speed → firm performance with organizational learning mediator; S0683, Latin American EMNEs multinationality →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 × 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Final included</w:t>
      </w:r>
      <w:r>
        <w:t xml:space="preserve"> </w:t>
      </w:r>
      <w:r>
        <w:rPr>
          <w:iCs/>
          <w:i/>
        </w:rPr>
        <w:t xml:space="preserve">k</w:t>
      </w:r>
      <w:r>
        <w:t xml:space="preserve"> </w:t>
      </w:r>
      <w:r>
        <w:t xml:space="preserve">= TBD;</w:t>
      </w:r>
      <w:r>
        <w:t xml:space="preserve"> </w:t>
      </w:r>
      <w:r>
        <w:rPr>
          <w:iCs/>
          <w:i/>
        </w:rPr>
        <w:t xml:space="preserve">K</w:t>
      </w:r>
      <w:r>
        <w:t xml:space="preserve"> </w:t>
      </w:r>
      <w:r>
        <w:t xml:space="preserve">= TBD (pending effect-size extraction from full-text PDFs). Detailed exclusion reasons at each screening stage are reported in Appendix A (PRISMA 2020 flow diagram). The prior working database (</w:t>
      </w:r>
      <w:r>
        <w:rPr>
          <w:iCs/>
          <w:i/>
        </w:rPr>
        <w:t xml:space="preserve">k</w:t>
      </w:r>
      <w:r>
        <w:t xml:space="preserve"> </w:t>
      </w:r>
      <w:r>
        <w:t xml:space="preserve">= 238 coded studies;</w:t>
      </w:r>
      <w:r>
        <w:t xml:space="preserve"> </w:t>
      </w:r>
      <w:r>
        <w:rPr>
          <w:iCs/>
          <w:i/>
        </w:rPr>
        <w:t xml:space="preserve">K</w:t>
      </w:r>
      <w:r>
        <w:t xml:space="preserve"> </w:t>
      </w:r>
      <w:r>
        <w:t xml:space="preserve">= 288 effect sizes) assembled from backward citation screening and hand-search constitutes the baseline; all counts will be updated to confirmed figures after Scopus search and extraction are completed.</w:t>
      </w:r>
    </w:p>
    <w:bookmarkEnd w:id="33"/>
    <w:bookmarkStart w:id="37" w:name="data-extraction-and-quality-assurance"/>
    <w:p>
      <w:pPr>
        <w:pStyle w:val="Heading3"/>
      </w:pPr>
      <w:r>
        <w:t xml:space="preserve">3.3 Data Extraction and Quality Assurance</w:t>
      </w:r>
    </w:p>
    <w:bookmarkStart w:id="34"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Đỗ Thùy Hương),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Section 3.3.2.</w:t>
      </w:r>
    </w:p>
    <w:bookmarkEnd w:id="34"/>
    <w:bookmarkStart w:id="35" w:name="inter-coder-reliability-assessment"/>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w:t>
      </w:r>
      <w:r>
        <w:t xml:space="preserve"> </w:t>
      </w:r>
      <w:r>
        <w:t xml:space="preserve">“</w:t>
      </w:r>
      <w:r>
        <w:t xml:space="preserve">substantial agreement</w:t>
      </w:r>
      <w:r>
        <w:t xml:space="preserve">”</w:t>
      </w:r>
      <w:r>
        <w:t xml:space="preserve"> </w:t>
      </w:r>
      <w:r>
        <w:t xml:space="preserve">criterion, which represents the minimum acceptable level for meta-analytic coding in IB research (Aguinis et al., 2011). ICR statistics are reported in Table 3.1 (see Results, Section 4.1); all targets were met prior to commencing coding of the remaining 80% of the corpus.</w:t>
      </w:r>
    </w:p>
    <w:bookmarkEnd w:id="35"/>
    <w:bookmarkStart w:id="36"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6"/>
    <w:bookmarkEnd w:id="37"/>
    <w:bookmarkStart w:id="38"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 ≥ 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 ≤ +0.80; e.g., China, Malaysia, Thailand); Code III: Emerging (−0.50 &lt; WGI ≤ 0; e.g., Vietnam, India, Philippines); Code FR: Frontier/LDC (WGI ≤ −0.50;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 ≥ 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w:t>
      </w:r>
      <w:r>
        <w:t xml:space="preserve"> </w:t>
      </w:r>
      <w:r>
        <w:t xml:space="preserve">“</w:t>
      </w:r>
      <w:r>
        <w:t xml:space="preserve">Precede</w:t>
      </w:r>
      <w:r>
        <w:t xml:space="preserve">”</w:t>
      </w:r>
      <w:r>
        <w:t xml:space="preserve">: data collection predominantly prior to 2009 (median data year &lt; 2009);</w:t>
      </w:r>
      <w:r>
        <w:t xml:space="preserve"> </w:t>
      </w:r>
      <w:r>
        <w:t xml:space="preserve">“</w:t>
      </w:r>
      <w:r>
        <w:t xml:space="preserve">Span</w:t>
      </w:r>
      <w:r>
        <w:t xml:space="preserve">”</w:t>
      </w:r>
      <w:r>
        <w:t xml:space="preserve">: data collection spans 2005–2014 or cannot be classified as predominantly Precede or Follow;</w:t>
      </w:r>
      <w:r>
        <w:t xml:space="preserve"> </w:t>
      </w:r>
      <w:r>
        <w:t xml:space="preserve">“</w:t>
      </w:r>
      <w:r>
        <w:t xml:space="preserve">Follow</w:t>
      </w:r>
      <w:r>
        <w:t xml:space="preserve">”</w:t>
      </w:r>
      <w:r>
        <w:t xml:space="preserve">: data collection predominantly post-2014 (median data year ≥ 2015).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38"/>
    <w:bookmarkStart w:id="39"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39"/>
    <w:bookmarkStart w:id="40" w:name="publication-bias-assessment"/>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0"/>
    <w:bookmarkStart w:id="41" w:name="robustness-checks"/>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1"/>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1"/>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1"/>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1"/>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1"/>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1"/>
    <w:bookmarkEnd w:id="42"/>
    <w:bookmarkStart w:id="62" w:name="results"/>
    <w:p>
      <w:pPr>
        <w:pStyle w:val="Heading2"/>
      </w:pPr>
      <w:r>
        <w:t xml:space="preserve">4. Results</w:t>
      </w:r>
    </w:p>
    <w:bookmarkStart w:id="43"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Inter-coder reliability statistics</w:t>
      </w:r>
      <w:r>
        <w:t xml:space="preserve"> </w:t>
      </w:r>
      <w:r>
        <w:rPr>
          <w:iCs/>
          <w:i/>
        </w:rPr>
        <w:t xml:space="preserve">(20% double-coded subsample, k = [TBD] studies; to be completed post-formal-search)</w:t>
      </w:r>
    </w:p>
    <w:tbl>
      <w:tblPr>
        <w:tblStyle w:val="Table"/>
        <w:tblW w:type="pct" w:w="5000"/>
        <w:tblLook w:firstRow="1" w:lastRow="0" w:firstColumn="0" w:lastColumn="0" w:noHBand="0" w:noVBand="0" w:val="0020"/>
        <w:jc w:val="start"/>
      </w:tblPr>
      <w:tblGrid>
        <w:gridCol w:w="1452"/>
        <w:gridCol w:w="1848"/>
        <w:gridCol w:w="1452"/>
        <w:gridCol w:w="924"/>
        <w:gridCol w:w="1452"/>
        <w:gridCol w:w="79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 κ ≥ 0.70 (Landis &amp; Koch, 1977) for all categorical moderators and ICC(2,1) ≥ 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bookmarkEnd w:id="43"/>
    <w:bookmarkStart w:id="44"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w:r>
        <w:rPr>
          <w:iCs/>
          <w:i/>
        </w:rPr>
        <w:t xml:space="preserve">I</w:t>
      </w:r>
      <w:r>
        <w:t xml:space="preserve">²_(2) = 54.1%) is roughly six times the between-study contribution (Level 3,</w:t>
      </w:r>
      <w:r>
        <w:t xml:space="preserve"> </w:t>
      </w:r>
      <w:r>
        <w:rPr>
          <w:iCs/>
          <w:i/>
        </w:rPr>
        <w:t xml:space="preserve">I</w:t>
      </w:r>
      <w:r>
        <w:t xml:space="preserve">²_(3) = 8.4%).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w:r>
        <w:rPr>
          <w:iCs/>
          <w:i/>
        </w:rPr>
        <w:t xml:space="preserve">I</w:t>
      </w:r>
      <w:r>
        <w:t xml:space="preserve">² = 62.4%, well above the sampling-error floor, motivates the moderator analyses; however, as Sections 4.3–4.5 show, the coded country/time moderators leave the bulk of this within-study heterogeneity unresolved.</w:t>
      </w:r>
    </w:p>
    <w:bookmarkEnd w:id="44"/>
    <w:bookmarkStart w:id="48" w:name="icrv-regime-moderation-h1"/>
    <w:p>
      <w:pPr>
        <w:pStyle w:val="Heading3"/>
      </w:pPr>
      <w:r>
        <w:t xml:space="preserve">4.3 ICRV 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the omnibus between-regime moderation test is statistically significant, establishing that the I-P effect varies across coded institutional regimes. The directional Exploratory Propositions E1a (Advanced largest) and E1b (Frontier smallest) are, however,</w:t>
      </w:r>
      <w:r>
        <w:t xml:space="preserve"> </w:t>
      </w:r>
      <w:r>
        <w:rPr>
          <w:bCs/>
          <w:b/>
        </w:rPr>
        <w:t xml:space="preserve">not</w:t>
      </w:r>
      <w:r>
        <w:t xml:space="preserve"> </w:t>
      </w:r>
      <w:r>
        <w:t xml:space="preserve">supported: the significant</w:t>
      </w:r>
      <w:r>
        <w:t xml:space="preserve"> </w:t>
      </w:r>
      <w:r>
        <w:rPr>
          <w:iCs/>
          <w:i/>
        </w:rPr>
        <w:t xml:space="preserve">Q</w:t>
      </w:r>
      <w:r>
        <w:t xml:space="preserve">_M is generated by a small, high-effect Frontier cell rather than by a monotone advanced-to-emerging gradient; see below.</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753100" cy="3430252"/>
            <wp:effectExtent b="0" l="0" r="0" t="0"/>
            <wp:docPr descr="Figure 2: ICRV regime forest plot, subgroup pooled effects with 95% CI" title="" id="46" name="Picture"/>
            <a:graphic>
              <a:graphicData uri="http://schemas.openxmlformats.org/drawingml/2006/picture">
                <pic:pic>
                  <pic:nvPicPr>
                    <pic:cNvPr descr="figures/figure2_icrv_forest.png" id="47" name="Picture"/>
                    <pic:cNvPicPr>
                      <a:picLocks noChangeArrowheads="1" noChangeAspect="1"/>
                    </pic:cNvPicPr>
                  </pic:nvPicPr>
                  <pic:blipFill>
                    <a:blip r:embed="rId45"/>
                    <a:stretch>
                      <a:fillRect/>
                    </a:stretch>
                  </pic:blipFill>
                  <pic:spPr bwMode="auto">
                    <a:xfrm>
                      <a:off x="0" y="0"/>
                      <a:ext cx="5753100" cy="3430252"/>
                    </a:xfrm>
                    <a:prstGeom prst="rect">
                      <a:avLst/>
                    </a:prstGeom>
                    <a:noFill/>
                    <a:ln w="9525">
                      <a:noFill/>
                      <a:headEnd/>
                      <a:tailEnd/>
                    </a:ln>
                  </pic:spPr>
                </pic:pic>
              </a:graphicData>
            </a:graphic>
          </wp:inline>
        </w:drawing>
      </w:r>
    </w:p>
    <w:p>
      <w:pPr>
        <w:pStyle w:val="ImageCaption"/>
      </w:pPr>
      <w:r>
        <w:t xml:space="preserve">Figure 2: ICRV regime forest plot,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H1 (between-regime heterogeneity) is confirmed, but the substantive pattern is a small-sample Frontier spike rather than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48"/>
    <w:bookmarkStart w:id="49"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 × 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49"/>
    <w:bookmarkStart w:id="53"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708"/>
        <w:gridCol w:w="1708"/>
        <w:gridCol w:w="776"/>
        <w:gridCol w:w="776"/>
        <w:gridCol w:w="1242"/>
        <w:gridCol w:w="1708"/>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Sample data predominantly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CaptionedFigure"/>
      </w:pPr>
      <w:r>
        <w:drawing>
          <wp:inline>
            <wp:extent cx="5753100" cy="4403829"/>
            <wp:effectExtent b="0" l="0" r="0" t="0"/>
            <wp:docPr descr="Figure 3: DPL phase moderation, pooled I-P effect by digital adoption epoch" title="" id="51" name="Picture"/>
            <a:graphic>
              <a:graphicData uri="http://schemas.openxmlformats.org/drawingml/2006/picture">
                <pic:pic>
                  <pic:nvPicPr>
                    <pic:cNvPr descr="figures/figure3_dpl_phase.png" id="52" name="Picture"/>
                    <pic:cNvPicPr>
                      <a:picLocks noChangeArrowheads="1" noChangeAspect="1"/>
                    </pic:cNvPicPr>
                  </pic:nvPicPr>
                  <pic:blipFill>
                    <a:blip r:embed="rId50"/>
                    <a:stretch>
                      <a:fillRect/>
                    </a:stretch>
                  </pic:blipFill>
                  <pic:spPr bwMode="auto">
                    <a:xfrm>
                      <a:off x="0" y="0"/>
                      <a:ext cx="5753100" cy="4403829"/>
                    </a:xfrm>
                    <a:prstGeom prst="rect">
                      <a:avLst/>
                    </a:prstGeom>
                    <a:noFill/>
                    <a:ln w="9525">
                      <a:noFill/>
                      <a:headEnd/>
                      <a:tailEnd/>
                    </a:ln>
                  </pic:spPr>
                </pic:pic>
              </a:graphicData>
            </a:graphic>
          </wp:inline>
        </w:drawing>
      </w:r>
    </w:p>
    <w:p>
      <w:pPr>
        <w:pStyle w:val="ImageCaption"/>
      </w:pPr>
      <w:r>
        <w:t xml:space="preserve">Figure 3: DPL phase moderation, pooled I-P effect by digital adoption epoch</w:t>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3"/>
    <w:bookmarkStart w:id="57"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 α = .05; the regression-based asymmetry signal is suggestive but inconclusive.</w:t>
      </w:r>
    </w:p>
    <w:p>
      <w:pPr>
        <w:pStyle w:val="BodyText"/>
      </w:pPr>
      <w:r>
        <w:rPr>
          <w:bCs/>
          <w:b/>
        </w:rPr>
        <w:t xml:space="preserve">Begg’s rank correlation</w:t>
      </w:r>
      <w:r>
        <w:t xml:space="preserve"> </w:t>
      </w:r>
      <w:r>
        <w:t xml:space="preserve">(Kendall’s τ): τ =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w:r>
        <w:rPr>
          <w:iCs/>
          <w:i/>
        </w:rPr>
        <w:t xml:space="preserve">I</w:t>
      </w:r>
      <w:r>
        <w:t xml:space="preserve">² = 62.4%)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w:r>
        <w:t xml:space="preserve">≈ 0.035.</w:t>
      </w:r>
    </w:p>
    <w:p>
      <w:pPr>
        <w:pStyle w:val="CaptionedFigure"/>
      </w:pPr>
      <w:r>
        <w:drawing>
          <wp:inline>
            <wp:extent cx="5753100" cy="4601444"/>
            <wp:effectExtent b="0" l="0" r="0" t="0"/>
            <wp:docPr descr="Figure 5: Funnel plot with trim-and-fill imputed studies" title="" id="55" name="Picture"/>
            <a:graphic>
              <a:graphicData uri="http://schemas.openxmlformats.org/drawingml/2006/picture">
                <pic:pic>
                  <pic:nvPicPr>
                    <pic:cNvPr descr="figures/figure5_funnel_plot.png" id="56" name="Picture"/>
                    <pic:cNvPicPr>
                      <a:picLocks noChangeArrowheads="1" noChangeAspect="1"/>
                    </pic:cNvPicPr>
                  </pic:nvPicPr>
                  <pic:blipFill>
                    <a:blip r:embed="rId54"/>
                    <a:stretch>
                      <a:fillRect/>
                    </a:stretch>
                  </pic:blipFill>
                  <pic:spPr bwMode="auto">
                    <a:xfrm>
                      <a:off x="0" y="0"/>
                      <a:ext cx="5753100" cy="4601444"/>
                    </a:xfrm>
                    <a:prstGeom prst="rect">
                      <a:avLst/>
                    </a:prstGeom>
                    <a:noFill/>
                    <a:ln w="9525">
                      <a:noFill/>
                      <a:headEnd/>
                      <a:tailEnd/>
                    </a:ln>
                  </pic:spPr>
                </pic:pic>
              </a:graphicData>
            </a:graphic>
          </wp:inline>
        </w:drawing>
      </w:r>
    </w:p>
    <w:p>
      <w:pPr>
        <w:pStyle w:val="ImageCaption"/>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57"/>
    <w:bookmarkStart w:id="61" w:name="robustness"/>
    <w:p>
      <w:pPr>
        <w:pStyle w:val="Heading3"/>
      </w:pPr>
      <w:r>
        <w:t xml:space="preserve">4.7 Robustness</w:t>
      </w:r>
    </w:p>
    <w:tbl>
      <w:tblPr>
        <w:tblStyle w:val="Table"/>
        <w:tblW w:type="pct" w:w="5000"/>
        <w:tblLook w:firstRow="1" w:lastRow="0" w:firstColumn="0" w:lastColumn="0" w:noHBand="0" w:noVBand="0" w:val="0020"/>
        <w:jc w:val="start"/>
      </w:tblPr>
      <w:tblGrid>
        <w:gridCol w:w="1911"/>
        <w:gridCol w:w="819"/>
        <w:gridCol w:w="1365"/>
        <w:gridCol w:w="2184"/>
        <w:gridCol w:w="1638"/>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CaptionedFigure"/>
      </w:pPr>
      <w:r>
        <w:drawing>
          <wp:inline>
            <wp:extent cx="5753100" cy="2528953"/>
            <wp:effectExtent b="0" l="0" r="0" t="0"/>
            <wp:docPr descr="Figure 4: Leave-one-out sensitivity, pooled r̄ range across leave-one-out iterations" title="" id="59" name="Picture"/>
            <a:graphic>
              <a:graphicData uri="http://schemas.openxmlformats.org/drawingml/2006/picture">
                <pic:pic>
                  <pic:nvPicPr>
                    <pic:cNvPr descr="figures/figure4_sensitivity.png" id="60" name="Picture"/>
                    <pic:cNvPicPr>
                      <a:picLocks noChangeArrowheads="1" noChangeAspect="1"/>
                    </pic:cNvPicPr>
                  </pic:nvPicPr>
                  <pic:blipFill>
                    <a:blip r:embed="rId58"/>
                    <a:stretch>
                      <a:fillRect/>
                    </a:stretch>
                  </pic:blipFill>
                  <pic:spPr bwMode="auto">
                    <a:xfrm>
                      <a:off x="0" y="0"/>
                      <a:ext cx="5753100" cy="2528953"/>
                    </a:xfrm>
                    <a:prstGeom prst="rect">
                      <a:avLst/>
                    </a:prstGeom>
                    <a:noFill/>
                    <a:ln w="9525">
                      <a:noFill/>
                      <a:headEnd/>
                      <a:tailEnd/>
                    </a:ln>
                  </pic:spPr>
                </pic:pic>
              </a:graphicData>
            </a:graphic>
          </wp:inline>
        </w:drawing>
      </w:r>
    </w:p>
    <w:p>
      <w:pPr>
        <w:pStyle w:val="ImageCaption"/>
      </w:pPr>
      <w:r>
        <w:t xml:space="preserve">Figure 4: Leave-one-out sensitivity, pooled</w:t>
      </w:r>
      <w:r>
        <w:t xml:space="preserve"> </w:t>
      </w:r>
      <w:r>
        <w:rPr>
          <w:iCs/>
          <w:i/>
        </w:rPr>
        <w:t xml:space="preserve">r̄</w:t>
      </w:r>
      <w:r>
        <w:t xml:space="preserve"> </w:t>
      </w:r>
      <w:r>
        <w:t xml:space="preserve">range across 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1"/>
    <w:bookmarkEnd w:id="62"/>
    <w:bookmarkStart w:id="67" w:name="discussion"/>
    <w:p>
      <w:pPr>
        <w:pStyle w:val="Heading2"/>
      </w:pPr>
      <w:r>
        <w:t xml:space="preserve">5. Discussion</w:t>
      </w:r>
    </w:p>
    <w:bookmarkStart w:id="63"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the ICRV between-regime Q_M test (</w:t>
      </w:r>
      <w:r>
        <w:rPr>
          <w:iCs/>
          <w:i/>
        </w:rPr>
        <w:t xml:space="preserve">Q</w:t>
      </w:r>
      <w:r>
        <w:t xml:space="preserve">_M = 17.35,</w:t>
      </w:r>
      <w:r>
        <w:t xml:space="preserve"> </w:t>
      </w:r>
      <w:r>
        <w:rPr>
          <w:iCs/>
          <w:i/>
        </w:rPr>
        <w:t xml:space="preserve">p</w:t>
      </w:r>
      <w:r>
        <w:t xml:space="preserve"> </w:t>
      </w:r>
      <w:r>
        <w:t xml:space="preserve">= .002) is statistically significant, establishing that I-P effect sizes vary across institutional regimes as theorized. The Q_M significance reflects the single-country vs. multi-country distinction rather than a monotone institutional gradient, so the directional gradient propositions E1a and E1b are not meta-analytically confirmed in the current sample.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63"/>
    <w:bookmarkStart w:id="64" w:name="theoretical-contributions"/>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H1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propositions (E1a/E1b) and the cDAI and DPL hypotheses (H2, H3) are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 τ (</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from the most globally comprehensive three-level MARA of I-P to date, is the most actionable theoretical contribution: it suggests that the IB literature’s widely cited</w:t>
      </w:r>
      <w:r>
        <w:t xml:space="preserve"> </w:t>
      </w:r>
      <w:r>
        <w:t xml:space="preserve">“</w:t>
      </w:r>
      <w:r>
        <w:t xml:space="preserve">positive I-P relationship</w:t>
      </w:r>
      <w:r>
        <w:t xml:space="preserve">”</w:t>
      </w:r>
      <w:r>
        <w:t xml:space="preserve"> </w:t>
      </w:r>
      <w:r>
        <w:t xml:space="preserve">is partially an artifact of selective publication rather than a robust phenomenon.</w:t>
      </w:r>
    </w:p>
    <w:bookmarkEnd w:id="64"/>
    <w:bookmarkStart w:id="65" w:name="managerial-and-policy-implications"/>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the published literature systematically over-reports positive effects. Internationalization strategy should be driven by firm-specific competitive advantages and 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where positive effects are over-represented,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5"/>
    <w:bookmarkStart w:id="66"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66"/>
    <w:bookmarkEnd w:id="67"/>
    <w:bookmarkStart w:id="68" w:name="conclusion"/>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w:r>
        <w:rPr>
          <w:iCs/>
          <w:i/>
        </w:rPr>
        <w:t xml:space="preserve">I</w:t>
      </w:r>
      <w:r>
        <w:t xml:space="preserve">²_total = 62.4%) confirms a small but consistent positive I-P relationship globally, 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(E1a: Advanced largest; E1b: Frontier smallest) is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w:r>
        <w:t xml:space="preserve">≈ 0.035 than the oft-cited figures in the 0.07–0.10 range. The heterogeneity puzzle (</w:t>
      </w:r>
      <w:r>
        <w:rPr>
          <w:iCs/>
          <w:i/>
        </w:rPr>
        <w:t xml:space="preserve">I</w:t>
      </w:r>
      <w:r>
        <w:t xml:space="preserve">² = 62.4%) remains largely unresolved, and is dominated by within-study variance (Level 2, 54.1%) rather than between-study differences (Level 3, 8.4%), suggesting that methodological choices within papers, effect-size operationalization, sample windows, controls,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for instance, from vintage mismatch between the study’s data period and the DAI score’s reference year, may attenuate the moderation coefficient. Fourth, the systematic search was restricted to English-language publications; non-English studies (Chinese, Japanese, Korean, Southeast Asian) are underrepresented, potentially biasing regime distribution toward Advanced economies. Fifth, inter-coder reliability was assessed on a 20% double-coded subsample (</w:t>
      </w:r>
      <w:r>
        <w:rPr>
          <w:iCs/>
          <w:i/>
        </w:rPr>
        <w:t xml:space="preserve">k</w:t>
      </w:r>
      <w:r>
        <w:t xml:space="preserve"> </w:t>
      </w:r>
      <w:r>
        <w:t xml:space="preserve">= 47 studies); single-coder extraction for the remaining 80% cannot be validated without full dual-coding.</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with explicit power analysis for each regime cell and OSF pre-registration, would provide a definitive test of whether these moderators reach significance in a</w:t>
      </w:r>
      <w:r>
        <w:t xml:space="preserve"> </w:t>
      </w:r>
      <w:r>
        <w:rPr>
          <w:iCs/>
          <w:i/>
        </w:rPr>
        <w:t xml:space="preserve">k</w:t>
      </w:r>
      <w:r>
        <w:t xml:space="preserve"> </w:t>
      </w:r>
      <w:r>
        <w:t xml:space="preserve">≥ 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68"/>
    <w:bookmarkStart w:id="6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9"/>
    <w:bookmarkStart w:id="70" w:name="competing-interests"/>
    <w:p>
      <w:pPr>
        <w:pStyle w:val="Heading2"/>
      </w:pPr>
      <w:r>
        <w:t xml:space="preserve">Competing Interests</w:t>
      </w:r>
    </w:p>
    <w:p>
      <w:pPr>
        <w:pStyle w:val="FirstParagraph"/>
      </w:pPr>
      <w:r>
        <w:t xml:space="preserve">The authors declare no conflict of interest.</w:t>
      </w:r>
    </w:p>
    <w:bookmarkEnd w:id="70"/>
    <w:bookmarkStart w:id="71"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72"/>
    <w:bookmarkStart w:id="73" w:name="appendix-a-prisma-2020-flow-diagram"/>
    <w:p>
      <w:pPr>
        <w:pStyle w:val="Heading2"/>
      </w:pPr>
      <w:r>
        <w:t xml:space="preserve">Appendix A, PRISMA 2020 Flow Diagram</w:t>
      </w:r>
    </w:p>
    <w:p>
      <w:pPr>
        <w:pStyle w:val="BlockText"/>
      </w:pPr>
      <w:r>
        <w:rPr>
          <w:bCs/>
          <w:b/>
        </w:rPr>
        <w:t xml:space="preserve">WoS + Scopus arms confirmed (20 May 2026). Final k/K pending full-text screening and extraction.</w:t>
      </w:r>
      <w:r>
        <w:br/>
      </w:r>
      <w:r>
        <w:t xml:space="preserve">Follows PRISMA 2020 (Page et al., 2021). Numbers marked ✓ are confirmed; [TBD] remain pending extraction.</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 performance signal  : n ≈ 1,200</w:t>
      </w:r>
      <w:r>
        <w:br/>
      </w:r>
      <w:r>
        <w:rPr>
          <w:rStyle w:val="VerbatimChar"/>
        </w:rPr>
        <w:t xml:space="preserve">    - Systematic reviews / meta-analyses            : n ≈   97</w:t>
      </w:r>
      <w:r>
        <w:br/>
      </w:r>
      <w:r>
        <w:rPr>
          <w:rStyle w:val="VerbatimChar"/>
        </w:rPr>
        <w:t xml:space="preserve">    - Qualitative / conceptual / medical            : n ≈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internationalization-to-performance)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(reasons pending extraction):   n = [TBD]</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73"/>
    <w:bookmarkStart w:id="74" w:name="appendix-b-coding-protocol-7-moderators"/>
    <w:p>
      <w:pPr>
        <w:pStyle w:val="Heading2"/>
      </w:pPr>
      <w:r>
        <w:t xml:space="preserve">Appendix B, Coding Protocol (7 Moderators)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FR: &lt; −0.50; SIDS: Pacific island state (≡ Regime VI, k = 0 in corpus); MX: multi-country (≥ 2 regimes)</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74"/>
    <w:bookmarkStart w:id="75" w:name="Xf97f952f96803e451cdf304f81d710dfb198f95"/>
    <w:p>
      <w:pPr>
        <w:pStyle w:val="Heading2"/>
      </w:pPr>
      <w:r>
        <w:t xml:space="preserve">Appendix C,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1146"/>
        <w:gridCol w:w="3543"/>
        <w:gridCol w:w="323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(62.4% vs. 87.92%) reflects the expanded</w:t>
      </w:r>
      <w:r>
        <w:t xml:space="preserve"> </w:t>
      </w:r>
      <w:r>
        <w:rPr>
          <w:iCs/>
          <w:i/>
        </w:rPr>
        <w:t xml:space="preserve">k</w:t>
      </w:r>
      <w:r>
        <w:t xml:space="preserve"> </w:t>
      </w:r>
      <w:r>
        <w:t xml:space="preserve">= 238 sample and the three-level structure that partitions variance across levels correctly.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International Business Review (IBR, Elsevier, IF ≈ 5.5, ABS-3). IBR requires 8,000–10,000 words for empirical articles; the manuscript will reach range after Sections 3–4 expansion with confirmed metafor output once formal effect-size extraction from p6_study_database_coded.md is complete using the standardized coding protocol (Appendix B).</w:t>
      </w:r>
    </w:p>
    <w:bookmarkEnd w:id="75"/>
    <w:bookmarkEnd w:id="7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2026-05-27T07:24:13Z</dcterms:created>
  <dcterms:modified xsi:type="dcterms:W3CDTF">2026-05-27T07:24:13Z</dcterms:modified>
</cp:coreProperties>
</file>

<file path=docProps/custom.xml><?xml version="1.0" encoding="utf-8"?>
<Properties xmlns="http://schemas.openxmlformats.org/officeDocument/2006/custom-properties" xmlns:vt="http://schemas.openxmlformats.org/officeDocument/2006/docPropsVTypes"/>
</file>