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các nghiên cứu rộng hơn (Marano et al. 2016). Tuy nhiên, phần lớn các nghiên cứu này được phát triển trong các bối cảnh tiền số hóa hoặc số hóa đang chuyển đổi, nơi điều kiện thể chế và hạ tầng khác biệt đáng kể so với các nền kinh tế số tiên tiến (Peng 2003; Peng et al. 2008). Do đó, các nghiên cứu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các nghiên cứu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các nghiên cứu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các nghiên cứu trước.</w:t>
      </w:r>
    </w:p>
    <w:p>
      <w:pPr>
        <w:pStyle w:val="BodyText"/>
      </w:pPr>
      <w:r>
        <w:t xml:space="preserve">Đóng góp bổ trợ thứ nhất làm rõ các nghiên cứu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các nghiên cứu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các nghiên cứu này là đường cong chữ U ngược với điểm ngoặt trong khoảng FSTS 30%–60% (Marano et al. 2016).</w:t>
      </w:r>
    </w:p>
    <w:p>
      <w:pPr>
        <w:pStyle w:val="BodyText"/>
      </w:pPr>
      <w:r>
        <w:t xml:space="preserve">Một hàm ý quan trọng của các nghiên cứu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các nghiên cứu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 FSTS_c + β₂, FSTS_c² + β₃, TCI + β₄, DAI + β₅, (FSTS_c × DAI) + β₆, (FSTS_c² × DAI) + γ, 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các nghiên cứu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các nghiên cứu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 Diễn giải theo logic</w:t>
      </w:r>
      <w:r>
        <w:t xml:space="preserve"> </w:t>
      </w:r>
      <w:r>
        <w:rPr>
          <w:bCs/>
          <w:b/>
        </w:rPr>
        <w:t xml:space="preserve">khấu hao chi phí giao dịch cố định (fixed transaction cost amortization)</w:t>
      </w:r>
      <w:r>
        <w:t xml:space="preserve">, chi phí cố định chìm của việc triển khai các giao diện số nâng cao chỉ được thu hồi ở quy mô xuất khẩu cực cao; đây là một lý do khiến điểm ngoặt suy ra bị đẩy vào đuôi FSTS cao (≈82%) thay vì dải 30–60% thông thường (một ước lượng bị giới hạn bởi vùng thưa dữ liệu, không phải một ngưỡng chính xác). Ở vai trò này, DAI vận hành như một</w:t>
      </w:r>
      <w:r>
        <w:t xml:space="preserve"> </w:t>
      </w:r>
      <w:r>
        <w:rPr>
          <w:bCs/>
          <w:b/>
        </w:rPr>
        <w:t xml:space="preserve">chất bôi trơn quy mô (scale lubricant)</w:t>
      </w:r>
      <w:r>
        <w:t xml:space="preserve"> </w:t>
      </w:r>
      <w:r>
        <w:t xml:space="preserve">làm giảm chi phí điều phối biên của mỗi đơn vị thông lượng xuyên biên giới tăng thêm, chứ không phải một phần thưởng năng suất đồng đều toàn doanh nghiệp.</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các nghiên cứu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các nghiên cứu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2026-05-27T07:23:14Z</dcterms:created>
  <dcterms:modified xsi:type="dcterms:W3CDTF">2026-05-27T07:23:14Z</dcterms:modified>
</cp:coreProperties>
</file>

<file path=docProps/custom.xml><?xml version="1.0" encoding="utf-8"?>
<Properties xmlns="http://schemas.openxmlformats.org/officeDocument/2006/custom-properties" xmlns:vt="http://schemas.openxmlformats.org/officeDocument/2006/docPropsVTypes"/>
</file>