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49 nền kinh tế</w:t>
      </w:r>
      <w:r>
        <w:t xml:space="preserve">,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86.701 doanh nghiệp · 102 cặp nền kinh tế × năm</w:t>
      </w:r>
      <w:r>
        <w:t xml:space="preserve">, kế thừa và mở rộng từ pool 17 nền châu Á mới nổi (~40.633 doanh nghiệp) đã được tác giả công bố trước đó (Đỗ &amp; Phan, 2026 — VEFR). Khung phân loại thống nhất với bộ dữ liệu ước lượng của luận án (khung phân tích 91.982 doanh nghiệp / 49 nền; pool phân loại 96.415 doanh nghiệp / 52 nền).</w:t>
      </w:r>
    </w:p>
    <w:p>
      <w:pPr>
        <w:pStyle w:val="BlockText"/>
      </w:pPr>
      <w:r>
        <w:rPr>
          <w:iCs/>
          <w:i/>
        </w:rPr>
        <w:t xml:space="preserve">Ghi chú dữ liệu: Chuyên đề sử dụng hai khung dữ liệu bổ trợ, thống nhất về danh sách 49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86.701 doanh nghiệp · 102 cặp nền kinh tế × năm (2006–2026), tính trực tiếp từ tệp vi mô WBES —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91.982 doanh nghiệp / 49 nền (pool phân loại 96.415 / 52 nền), được hợp nhất và hài hòa hóa theo quy trình tại Phụ lục A của luận án — mọi kết quả kinh tế lượng được dẫn chiếu theo khung này.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49 economies</w:t>
      </w:r>
      <w:r>
        <w:t xml:space="preserve">,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86,701 firms · 102 economy-year pairs</w:t>
      </w:r>
      <w:r>
        <w:t xml:space="preserve"> </w:t>
      </w:r>
      <w:r>
        <w:t xml:space="preserve">(one standard cross-section per economy-year, waves from 2006 onward), building on and extending the 17-economy pool of emerging Asia (~40,633 firms) previously published by the author (Do &amp; Phan, 2026 — VEFR). The classification is identical to the dissertation’s estimation dataset (analytic frame 91,982 firms / 49 economies;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12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49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86.701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(n=86.701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(n=86.701)</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trên một giai đoạn dài. Chuyên đề này lấp khoảng trống thực tiễn đó với</w:t>
      </w:r>
      <w:r>
        <w:t xml:space="preserve"> </w:t>
      </w:r>
      <w:r>
        <w:rPr>
          <w:bCs/>
          <w:b/>
        </w:rPr>
        <w:t xml:space="preserve">pool mô tả gồm 86.701 doanh nghiệp · 102 cặp nền kinh tế × năm (2006–2026)</w:t>
      </w:r>
      <w:r>
        <w:t xml:space="preserve"> </w:t>
      </w:r>
      <w:r>
        <w:t xml:space="preserve">— gấp hơn 2 lần phạm vi của Đỗ &amp; Phan (2026 — VEFR) — và khung phân loại thống nhất với bộ dữ liệu ước lượng của luận án (91.982 doanh nghiệp / 49 nền; pool phân loại 96.415 DN / 52 nền).</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86.701 doanh nghiệp · 102 cặp nền kinh tế × năm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49 nền kinh tế;</w:t>
      </w:r>
    </w:p>
    <w:p>
      <w:pPr>
        <w:numPr>
          <w:ilvl w:val="0"/>
          <w:numId w:val="1005"/>
        </w:numPr>
        <w:pStyle w:val="Compact"/>
      </w:pPr>
      <w:r>
        <w:t xml:space="preserve">Phân tích thực trạng đa chiều hiệu quả doanh nghiệp ở 41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nền kinh tế châu Á</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49/49 nền</w:t>
      </w:r>
      <w:r>
        <w:t xml:space="preserve">: Nhóm I 5/5, II 6/6 (đủ khối GCC), III 6/6, IV 7/7, V 17/17 (gồm Lebanon, Yemen), VI 8/8 (7 Pacific + Timor-Leste).</w:t>
      </w:r>
    </w:p>
    <w:p>
      <w:pPr>
        <w:pStyle w:val="FirstParagraph"/>
      </w:pPr>
      <w:r>
        <w:rPr>
          <w:bCs/>
          <w:b/>
        </w:rPr>
        <w:t xml:space="preserve">B. Trường hợp biên mở rộng —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102 cặp nền kinh tế × năm). Ba thế hệ schema WBES trong pool mô tả: PICS3/tiền-Standardized (2006–2012, 18 đợt, n=8.048), Standardized (2013–2017, 27 đợt, n=23.940), BREADY/BEE/EAP Core (2018–2026, 57 đợt, n=54.713 —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Hai nhóm cùng mức thu nhập cao nhưng cấu trúc năng lực đối lập: R&amp;D 20,5% so với 7,0%; doanh nghiệp xuất khẩu 28,4% so với 11,7%; nữ quản lý cấp cao 27,5% so với 4,6% —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 mở rộng pattern từ 17 nền lên 49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w:t>
      </w:r>
      <w:r>
        <w:t xml:space="preserve">— gradient cường độ rõ rệt của các hệ số tương quan xuyên 6 nhóm thể chế (đặc biệt: tương quan FSTS–năng suất giảm dần từ +0,163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86.701 doanh nghiệp · 49 nền kinh tế · 102 cặp nền kinh tế × năm (2006–2026)</w:t>
      </w:r>
      <w:r>
        <w:t xml:space="preserve"> </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49 nền kinh tế (91.982 doanh nghiệp;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2006–2026):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(2006–2012, 18 đợt, n=8.048): bảng hỏi PICS3 cho khu vực Đông Nam Á và Trung Á. Thế hệ 2 — Standardized (2013–2017, 27 đợt, n=23.940): áp dụng đồng nhất xuyên toàn cầu từ 2013. Thế hệ 3 — BREADY/BEE/EAP Core (2018–2026, 57 đợt, n=54.713):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(49 nền kinh tế châu Á và Thái Bình Dương, phân tách 41 phạm vi chính và 8 trường hợp biên); (ii) quy trình lấy mẫu (lấy mẫu chính thức WBES); (iii) lý giải quy mô mẫu (pool mô tả 86.701 DN / 102 cặp; khung ước lượng 91.982 DN;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(12 nền kinh tế, n=14.712 doanh nghiệp, 17,0% pool)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gradient cường độ của các hệ số tương quan FDI/FSTS/TCI/DAI xuyên 6 nhóm ICRV — đặc biệt việc tương quan FSTS–năng suất giảm dần và mất ý nghĩa ở SIDS (Bảng 2.3.8.1) —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 —</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(pool mô tả 86.701 DN; khung ước lượng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trong đợt thấp nhất sáu nhóm (~1,04 — phân tán hẹp, ít phân bổ sai).</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 đặc trưng nhà nước tô san bằng phân phối).</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 Chuyển đổi thu nhập trung bình–thấp (Lower-middle transition)</w:t>
            </w:r>
            <w:r>
              <w:t xml:space="preserve">: WGI Rule of Law -0,50 →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 do MNE du lịch/viễn thông); đổi mới sản phẩm cao nhất (34,2% — đổi mới bằng nguồn lực hạn chế); website khá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Cột N theo khung phân tích của bộ dữ liệu ước lượng (91.864 quan sát phân nhóm; tổng mẫu phân tích ≈91.982). Nhãn nhóm theo biến phân loại</w:t>
            </w:r>
            <w:r>
              <w:rPr>
                <w:iCs/>
                <w:i/>
              </w:rPr>
              <w:t xml:space="preserve"> </w:t>
            </w:r>
            <w:r>
              <w:rPr>
                <w:rStyle w:val="VerbatimChar"/>
                <w:iCs/>
                <w:i/>
              </w:rPr>
              <w:t xml:space="preserve">icrv_label</w:t>
            </w:r>
            <w:r>
              <w:rPr>
                <w:iCs/>
                <w:i/>
              </w:rPr>
              <w:t xml:space="preserve">, dùng thống nhất trong luận án và hai chuyên đề. Pool phân loại đầy đủ = 96.415 DN/52 nền (gồm Comoros, Turkey, Cyprus ngoài châu Á — loại khỏi khung 49 nền). SIDS: mẫu chính của nghiên cứu chuyên sâu SIDS là 7 nền Pacific; kiểm định bền vững mở rộng 9 nền. Nhật Bản được WBES khảo sát lần đầu năm 2025 (sau thời điểm chốt khung phân tích) nên không thuộc khung 49 nền; đây là hướng mở rộng tự nhiên cho nghiên cứu tiếp theo.</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 Innovation | &gt;+0,80 | &gt;$30k | R&amp;D + dịch vụ tri thức | Trung bình (6–15%) | ~1,04 | U ngược nhẹ / tuyến tính dương; điểm uốn ~88,6% (SG) |</w:t>
            </w:r>
            <w:r>
              <w:t xml:space="preserve"> </w:t>
            </w:r>
            <w:r>
              <w:t xml:space="preserve">| II — Resource | +0,00→+0,50 | &gt;$20k | Xuất khẩu dầu/khí | Thấp (1–4%) | ~1,14 | Phi tuyến suy yếu; nhà nước tô phân phối lại |</w:t>
            </w:r>
            <w:r>
              <w:t xml:space="preserve"> </w:t>
            </w:r>
            <w:r>
              <w:t xml:space="preserve">| III — Upper-mid | 0,00→+0,80 | $5k–$20k | Sản xuất + chuyển đổi | Trung bình (8–12%) | ~1,37 | U ngược; điểm uốn ~47% |</w:t>
            </w:r>
            <w:r>
              <w:t xml:space="preserve"> </w:t>
            </w:r>
            <w:r>
              <w:t xml:space="preserve">| IV — Lower-mid transition | -0,50→0,00 | $1k–$5k | FDI-driven sản xuất | Biến động (7–23%) | ~1,31 | U ngược; điểm uốn 39–46% (VNM) — bẫy chuyển hướng nguồn lực |</w:t>
            </w:r>
            <w:r>
              <w:t xml:space="preserve"> </w:t>
            </w:r>
            <w:r>
              <w:t xml:space="preserve">| V — Emerging | &lt;-0,50 | &lt;$1k–$3k | Tự cấp + phi chính thức | Thấp–trung bình | ~1,39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86.701 doanh nghiệp</w:t>
      </w:r>
      <w:r>
        <w:t xml:space="preserve">, 49 nền kinh tế,</w:t>
      </w:r>
      <w:r>
        <w:t xml:space="preserve"> </w:t>
      </w:r>
      <w:r>
        <w:rPr>
          <w:bCs/>
          <w:b/>
        </w:rPr>
        <w:t xml:space="preserve">102 cặp nền kinh tế × năm</w:t>
      </w:r>
      <w:r>
        <w:t xml:space="preserve">, giai đoạn 2006–2026 (bao gồm Kiribati 2025 — đợt khảo sát WBES đầu tiên của nền kinh tế này). Tổng hợp này kế thừa và mở rộng từ pool 17 nền châu Á mới nổi (~40.633 doanh nghiệp) của Đỗ &amp; Phan (2026 — VEFR), gấp hơn 2 lần. Phân bố theo nhóm ICRV: Nhóm IV Chuyển đổi TB-thấp 45.003 (51,9%), Nhóm V Đang nổi 18.957 (21,9%), Nhóm III Trung bình cao 13.993 (16,1%), Nhóm I Advanced đổi mới 4.222 (4,9%), Nhóm VI SIDS 2.295 (2,6%), Nhóm II Advanced tài nguyên 2.231 (2,6%). Có</w:t>
      </w:r>
      <w:r>
        <w:t xml:space="preserve"> </w:t>
      </w:r>
      <w:r>
        <w:rPr>
          <w:bCs/>
          <w:b/>
        </w:rPr>
        <w:t xml:space="preserve">12 nền kinh tế khảo sát năm 2025</w:t>
      </w:r>
      <w:r>
        <w:t xml:space="preserve"> </w:t>
      </w:r>
      <w:r>
        <w:t xml:space="preserve">với 14.712 doanh nghiệp (17,0% pool); đợt khảo sát Nepal 2025 dùng bảng hỏi BREADY Micro (doanh nghiệp siêu nhỏ) — không phải cross-section chuẩn nên không thuộc pool, chỉ được nhắc đến như tham chiếu.</w:t>
      </w:r>
    </w:p>
    <w:p>
      <w:pPr>
        <w:pStyle w:val="BodyText"/>
      </w:pPr>
      <w:r>
        <w:rPr>
          <w:iCs/>
          <w:i/>
        </w:rPr>
        <w:t xml:space="preserve">Hình 2.3.3.1. Phân bố pool mô tả 86.701 doanh nghiệp (2006–2026) theo 3 thế hệ schema WBES: PICS3 (2006–2012, 18 đợt, n=8.048), Standardized (2013–2017, 27 đợt, n=23.940), BREADY (2018–2026, 57 đợt, n=54.713). Các đợt 2024–2026 đóng góp 25.691 doanh nghiệp (29,6% pool, 30 đợt) — phản ánh chu kỳ khảo sát WBES dày lên rõ rệt sau đại dịch.</w:t>
      </w:r>
    </w:p>
    <w:p>
      <w:pPr>
        <w:pStyle w:val="BodyText"/>
      </w:pPr>
      <w:r>
        <w:rPr>
          <w:iCs/>
          <w:i/>
        </w:rPr>
        <w:t xml:space="preserve">Hình 2.3.3.2. Bar chart phân bố theo 6 nhóm ICRV: IV Chuyển đổi TB-thấp (45.003, 51,9%), V Đang nổi (18.957, 21,9%), III Trung bình cao (13.993, 16,1%), I Advanced đổi mới (4.222, 4,9%), VI SIDS (2.295, 2,6%), II Advanced tài nguyên (2.231, 2,6%).</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w:t>
      </w:r>
      <w:r>
        <w:t xml:space="preserve">— trên thang log, thừa số quy đổi tiền tệ là hằng số cộng và triệt tiêu hoàn toàn trong độ lệch chuẩn và các tỷ số phân vị —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102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 Advanced đổi mới</w:t>
            </w:r>
          </w:p>
        </w:tc>
        <w:tc>
          <w:tcPr/>
          <w:p>
            <w:pPr>
              <w:pStyle w:val="Compact"/>
              <w:jc w:val="right"/>
            </w:pPr>
            <w:r>
              <w:t xml:space="preserve">6</w:t>
            </w:r>
          </w:p>
        </w:tc>
        <w:tc>
          <w:tcPr/>
          <w:p>
            <w:pPr>
              <w:pStyle w:val="Compact"/>
              <w:jc w:val="right"/>
            </w:pPr>
            <w:r>
              <w:t xml:space="preserve">3.620</w:t>
            </w:r>
          </w:p>
        </w:tc>
        <w:tc>
          <w:tcPr/>
          <w:p>
            <w:pPr>
              <w:pStyle w:val="Compact"/>
              <w:jc w:val="right"/>
            </w:pPr>
            <w:r>
              <w:rPr>
                <w:bCs/>
                <w:b/>
              </w:rPr>
              <w:t xml:space="preserve">1,04</w:t>
            </w:r>
          </w:p>
        </w:tc>
        <w:tc>
          <w:tcPr/>
          <w:p>
            <w:pPr>
              <w:pStyle w:val="Compact"/>
              <w:jc w:val="right"/>
            </w:pPr>
            <w:r>
              <w:rPr>
                <w:bCs/>
                <w:b/>
              </w:rPr>
              <w:t xml:space="preserve">12,2</w:t>
            </w:r>
          </w:p>
        </w:tc>
        <w:tc>
          <w:tcPr/>
          <w:p>
            <w:pPr>
              <w:pStyle w:val="Compact"/>
              <w:jc w:val="right"/>
            </w:pPr>
            <w:r>
              <w:t xml:space="preserve">3,5</w:t>
            </w:r>
          </w:p>
        </w:tc>
      </w:tr>
      <w:tr>
        <w:tc>
          <w:tcPr/>
          <w:p>
            <w:pPr>
              <w:pStyle w:val="Compact"/>
              <w:jc w:val="left"/>
            </w:pPr>
            <w:r>
              <w:t xml:space="preserve">II —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 đặc trưng nhà nước tô; trung vị nhóm bị kéo lên bởi các nền nhỏ (Kuwait 1,16; Brunei 1,12). Kiribati 2025: sd 1,48 — rộng nhất trong các đợt SIDS.</w:t>
      </w:r>
    </w:p>
    <w:p>
      <w:pPr>
        <w:pStyle w:val="BodyText"/>
      </w:pPr>
      <w:r>
        <w:rPr>
          <w:iCs/>
          <w:i/>
        </w:rPr>
        <w:t xml:space="preserve">Hình 2.3.3.3. Đồ thị mật độ kernel của năng suất chuẩn hóa trong đợt cho 6 nhóm ICRV — Nhóm I hẹp nhất (P90/P10 ≈ 12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 0,45 (III) → 0,35 (IV)</w:t>
      </w:r>
      <w:r>
        <w:t xml:space="preserve">; Nhóm V–VI có outlier mạnh nên chỉ đọc trung vị (V≈0,41; VI≈0,47) —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49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49 nền (biến h1/h5/h8/b8/c22b; mã 1=có, 2=không; mã âm = thiếu). ¹Nhóm II: đủ 6/6 nền GCC — đặc trưng dầu mỏ: R&amp;D thấp (7,0%), nữ quản lý cấp cao rất thấp (4,6%), website 50,2%. ²Nhóm VI: đủ 8/8 nền —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(+0,098 — Bảng 2.3.8.1), trong khi tỷ lệ có website ở nhóm này đã đạt 61,7%.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49 nền (SME = &lt;100 lao động thường xuyên, biến l1; FDI = sở hữu nước ngoài ≥10%, biến b2b). ¹Nhóm II: đủ 6/6 nền GCC. ²Nhóm VI: đủ 8/8 nền —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 Chuyển đổi TB-thấp (3,1%). SIDS có FDI cao (20,0%)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 phù hợp luận điểm nhảy vọt số của Banalieva &amp; Dhanaraj (2019). Ngược chiều, tỷ lệ doanh nghiệp xuất khẩu của Nhóm IV giảm 11,3 điểm phần trăm —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 khối FDI dẫn dắt có FSTS cao nhất nhưng R&amp;D thấp nhất (6,8%), khối dân số lớn ngược lại (R&amp;D 17,9%, ISO 28,0%); (4) Mông Cổ là trường hợp biên với đặc điểm tài nguyên (R&amp;D 33,7% nhưng FSTS chỉ 4,7%); (5) phân tán trong đợt 1,47 so với 1,25 —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12 nền kinh tế trong đợt khảo sát 2025 (n=14.712;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 FSTS 1,0%,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b1ea89452bf1110bc1349552d40001f4d757b22"/>
    <w:p>
      <w:pPr>
        <w:pStyle w:val="Heading4"/>
      </w:pPr>
      <w:r>
        <w:t xml:space="preserve">2.3.7.5 Tổng hợp khối châu Á mới nổi (7 nền, n=43.502) —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 phản ánh dị biệt rộng xuyên 7 nền (Bảng 2.3.6.4).</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654632a5ff13cfc4a4585d50f734613d84a6955"/>
    <w:p>
      <w:pPr>
        <w:pStyle w:val="Heading4"/>
      </w:pPr>
      <w:r>
        <w:t xml:space="preserve">2.3.7.6 Mông Cổ — từ lời nguyền tài nguyên đến khoáng sản thiết yếu (n=1.082, 3 đợt 2009/2013/2019)</w:t>
      </w:r>
    </w:p>
    <w:p>
      <w:pPr>
        <w:pStyle w:val="FirstParagraph"/>
      </w:pPr>
      <w:r>
        <w:t xml:space="preserve">FSTS đình trệ 4–6% (5,8% → 3,9% → 4,2%); FDI ≥10% giảm</w:t>
      </w:r>
      <w:r>
        <w:t xml:space="preserve"> </w:t>
      </w:r>
      <w:r>
        <w:rPr>
          <w:bCs/>
          <w:b/>
        </w:rPr>
        <w:t xml:space="preserve">7,2% →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 FSTS đình trệ; FDI giảm dần phản ánh lời nguyền tài nguyên giai đoạn 1.</w:t>
      </w:r>
    </w:p>
    <w:bookmarkEnd w:id="63"/>
    <w:bookmarkStart w:id="64" w:name="sids-thái-bình-dương-7-nền-n1.781"/>
    <w:p>
      <w:pPr>
        <w:pStyle w:val="Heading4"/>
      </w:pPr>
      <w:r>
        <w:t xml:space="preserve">2.3.7.7 SIDS Thái Bình Dương (7 nền —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49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 Adv. đổi mới</w:t>
            </w:r>
          </w:p>
        </w:tc>
        <w:tc>
          <w:tcPr/>
          <w:p>
            <w:pPr>
              <w:pStyle w:val="Compact"/>
              <w:jc w:val="right"/>
            </w:pPr>
            <w:r>
              <w:t xml:space="preserve">II — Adv. tài nguyên</w:t>
            </w:r>
          </w:p>
        </w:tc>
        <w:tc>
          <w:tcPr/>
          <w:p>
            <w:pPr>
              <w:pStyle w:val="Compact"/>
              <w:jc w:val="right"/>
            </w:pPr>
            <w:r>
              <w:t xml:space="preserve">III — Trung bình cao</w:t>
            </w:r>
          </w:p>
        </w:tc>
        <w:tc>
          <w:tcPr/>
          <w:p>
            <w:pPr>
              <w:pStyle w:val="Compact"/>
              <w:jc w:val="right"/>
            </w:pPr>
            <w:r>
              <w:t xml:space="preserve">IV — Chuyển đổi TB-thấp</w:t>
            </w:r>
          </w:p>
        </w:tc>
        <w:tc>
          <w:tcPr/>
          <w:p>
            <w:pPr>
              <w:pStyle w:val="Compact"/>
              <w:jc w:val="right"/>
            </w:pPr>
            <w:r>
              <w:t xml:space="preserve">V — Đang nổi</w:t>
            </w:r>
          </w:p>
        </w:tc>
        <w:tc>
          <w:tcPr/>
          <w:p>
            <w:pPr>
              <w:pStyle w:val="Compact"/>
              <w:jc w:val="right"/>
            </w:pPr>
            <w:r>
              <w:t xml:space="preserve">VI — SIDS</w:t>
            </w:r>
          </w:p>
        </w:tc>
      </w:tr>
      <w:tr>
        <w:tc>
          <w:tcPr/>
          <w:p>
            <w:pPr>
              <w:pStyle w:val="Compact"/>
              <w:jc w:val="left"/>
            </w:pPr>
            <w:r>
              <w:t xml:space="preserve">FDI ≥ 10%</w:t>
            </w:r>
          </w:p>
        </w:tc>
        <w:tc>
          <w:tcPr/>
          <w:p>
            <w:pPr>
              <w:pStyle w:val="Compact"/>
              <w:jc w:val="right"/>
            </w:pPr>
            <w:r>
              <w:t xml:space="preserve">+0,130**</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+0,163**</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+0,176**</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+0,098**</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3.620 / 2.082 / 10.138 / 40.508 / 15.669 / 1.715 (quan sát có LP hợp lệ). Hệ số tương quan Pearson —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+0,163 (Nhóm I) qua +0,047 (IV) và +0,018 (V) xuống</w:t>
      </w:r>
      <w:r>
        <w:t xml:space="preserve"> </w:t>
      </w:r>
      <w:r>
        <w:rPr>
          <w:bCs/>
          <w:b/>
        </w:rPr>
        <w:t xml:space="preserve">mất ý nghĩa ở SIDS (−0,009 ns)</w:t>
      </w:r>
      <w:r>
        <w:t xml:space="preserve"> </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+0,130 và SIDS +0,122) — hai cơ chế khác nhau: MNE hub tại Advanced và FDI ngoại sinh tại SIDS; (5)</w:t>
      </w:r>
      <w:r>
        <w:t xml:space="preserve"> </w:t>
      </w:r>
      <w:r>
        <w:rPr>
          <w:bCs/>
          <w:b/>
        </w:rPr>
        <w:t xml:space="preserve">DAI dương ở mọi nhóm nhưng thấp nhất tại Nhóm I (+0,098)</w:t>
      </w:r>
      <w:r>
        <w:t xml:space="preserve"> </w:t>
      </w:r>
      <w:r>
        <w:t xml:space="preserve">trong khi cao nhất ở II và IV (+0,201; +0,180) —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(+0,098 so với +0,180–0,201 ở các nhóm chuyển đổi/tài nguyên) —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1,04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 R&amp;D 20,5% so với 7,0%; doanh nghiệp xuất khẩu 28,4% so với 11,7%; nữ quản lý cấp cao 27,5% so với 4,6%; phân tán năng suất trong đợt đặc biệt hẹp ở hai nền lớn nhất Vùng Vịnh (Saudi Arabia 0,49; Qatar 0,33 so với Singapore 1,08 — chênh hơn</w:t>
      </w:r>
      <w:r>
        <w:t xml:space="preserve"> </w:t>
      </w:r>
      <w:r>
        <w:rPr>
          <w:bCs/>
          <w:b/>
        </w:rPr>
        <w:t xml:space="preserve">2 lần</w:t>
      </w:r>
      <w:r>
        <w:t xml:space="preserve">, đặc trưng nhà nước tô) — cần phân nhóm con Advanced trong Chuyên đề 2.</w:t>
      </w:r>
    </w:p>
    <w:p>
      <w:pPr>
        <w:pStyle w:val="BodyText"/>
      </w:pPr>
      <w:r>
        <w:rPr>
          <w:bCs/>
          <w:b/>
        </w:rPr>
        <w:t xml:space="preserve">(iii) Dị biệt nội bộ khối châu Á mới nổi — 3 phân nhóm con</w:t>
      </w:r>
      <w:r>
        <w:t xml:space="preserve">: FDI dẫn dắt SEA (VNM+IDN+PHL, FSTS 12,4%) ≠ dân số lớn (IND+LKA+JOR, FSTS 7,1%) ≠ tài nguyên (MNG, FSTS 4,7%).</w:t>
      </w:r>
    </w:p>
    <w:p>
      <w:pPr>
        <w:pStyle w:val="BodyText"/>
      </w:pPr>
      <w:r>
        <w:rPr>
          <w:bCs/>
          <w:b/>
        </w:rPr>
        <w:t xml:space="preserve">(iv) SIDS Pacific — Kiribati 2025 là trường hợp biên cực đoan nhất</w:t>
      </w:r>
      <w:r>
        <w:t xml:space="preserve">: FSTS 1,0%, FDI 0,7%, website 18,7%, ISO 1,4%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(+0,098) là dấu hiệu bão hòa Tier-1 — xem kiểm định loại trừ ICT tại §2.3.4.3.</w:t>
      </w:r>
    </w:p>
    <w:p>
      <w:pPr>
        <w:pStyle w:val="BodyText"/>
      </w:pPr>
      <w:r>
        <w:rPr>
          <w:bCs/>
          <w:b/>
        </w:rPr>
        <w:t xml:space="preserve">(vii) Pattern phi tuyến FDI ≥10%</w:t>
      </w:r>
      <w:r>
        <w:t xml:space="preserve"> </w:t>
      </w:r>
      <w:r>
        <w:t xml:space="preserve">— dạng chữ U với cực tiểu ở Nhóm IV (3,1%): Advanced 10,6–13,6% → Nhóm IV 3,1% → SIDS 20,0%. Hai mô hình FDI: MNE hub (Advanced) và du lịch/viễn thông (SIDS).</w:t>
      </w:r>
    </w:p>
    <w:p>
      <w:pPr>
        <w:pStyle w:val="BodyText"/>
      </w:pPr>
      <w:r>
        <w:rPr>
          <w:bCs/>
          <w:b/>
        </w:rPr>
        <w:t xml:space="preserve">(viii) Đợt khảo sát 2025 — mẫu đơn năm lớn nhất</w:t>
      </w:r>
      <w:r>
        <w:t xml:space="preserve">: 12 nền kinh tế × 14.712 doanh nghiệp (17,0% pool).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102 cặp nền kinh tế–năm.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Phần bù tương quan DAI suy giảm rõ ở Advanced (+0,098 —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102 cặp nền kinh tế–năm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Tương quan FSTS–năng suất dương mạnh tại Advanced (+0,163), suy yếu dần theo chiều thể chế và mất ý nghĩa tại SIDS (−0,009 ns) —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49 nền với 91.982 doanh nghiệp ở tầng ước lượng (pool phân loại 96.415 DN / 52 nền) và 86.701 doanh nghiệp / 102 cặp nền kinh tế × năm ở tầng mô tả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49 nền kinh tế châu Á – Thái Bình Dương (pool mô tả 86.701 doanh nghiệp / 102 cặp nền kinh tế × năm, WBES 2006–2026; khung ước lượng của luận án 91.982 doanh nghiệp):</w:t>
      </w:r>
    </w:p>
    <w:p>
      <w:pPr>
        <w:pStyle w:val="BodyText"/>
      </w:pPr>
      <w:r>
        <w:rPr>
          <w:bCs/>
          <w:b/>
        </w:rPr>
        <w:t xml:space="preserve">KL1 —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tương quan dương mạnh và đồng đều ở mọi nhóm; phần bù DAI biến thiên cường độ gấp đôi giữa các nhóm ICRV (+0,098 ở Advanced so với +0,201 ở Advanced tài nguyên) — đây là nội hàm cốt lõi của CDCM.</w:t>
      </w:r>
    </w:p>
    <w:p>
      <w:pPr>
        <w:pStyle w:val="BodyText"/>
      </w:pPr>
      <w:r>
        <w:rPr>
          <w:bCs/>
          <w:b/>
        </w:rPr>
        <w:t xml:space="preserve">KL3 —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(+0,122) là nguồn năng suất chủ đạo; tương quan FSTS–năng suất bằng không (−0,009, không có ý nghĩa thống kê) — nhóm duy nhất nơi xuất khẩu không gắn với phần bù năng suất.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(49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 Phạm vi thực tế của pool dữ liệu WBES</w:t>
      </w:r>
    </w:p>
    <w:p>
      <w:pPr>
        <w:pStyle w:val="FirstParagraph"/>
      </w:pPr>
      <w:r>
        <w:rPr>
          <w:bCs/>
          <w:b/>
        </w:rPr>
        <w:t xml:space="preserve">Bảng A.1</w:t>
      </w:r>
      <w:r>
        <w:t xml:space="preserve">.</w:t>
      </w:r>
      <w:r>
        <w:t xml:space="preserve"> </w:t>
      </w:r>
      <w:r>
        <w:rPr>
          <w:iCs/>
          <w:i/>
        </w:rPr>
        <w:t xml:space="preserve">Phân bổ 49 nền kinh tế theo nhóm ICRV — pool mô tả 86.701 doanh nghiệp, 102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 Advanced đổi mới sáng tạo (5 nền)</w:t>
            </w:r>
          </w:p>
        </w:tc>
        <w:tc>
          <w:tcPr/>
          <w:p>
            <w:pPr>
              <w:pStyle w:val="Compact"/>
              <w:jc w:val="left"/>
            </w:pPr>
            <w:r>
              <w:t xml:space="preserve">Hàn Quốc (2024), Israel (2013, 2024), Singapore (2023), Đài Loan (2024), Hong Kong SAR (2023)</w:t>
            </w:r>
          </w:p>
        </w:tc>
        <w:tc>
          <w:tcPr/>
          <w:p>
            <w:pPr>
              <w:pStyle w:val="Compact"/>
              <w:jc w:val="right"/>
            </w:pPr>
            <w:r>
              <w:t xml:space="preserve">6</w:t>
            </w:r>
          </w:p>
        </w:tc>
        <w:tc>
          <w:tcPr/>
          <w:p>
            <w:pPr>
              <w:pStyle w:val="Compact"/>
              <w:jc w:val="right"/>
            </w:pPr>
            <w:r>
              <w:t xml:space="preserve">4.222</w:t>
            </w:r>
          </w:p>
        </w:tc>
      </w:tr>
      <w:tr>
        <w:tc>
          <w:tcPr/>
          <w:p>
            <w:pPr>
              <w:pStyle w:val="Compact"/>
              <w:jc w:val="left"/>
            </w:pPr>
            <w:r>
              <w:rPr>
                <w:bCs/>
                <w:b/>
              </w:rPr>
              <w:t xml:space="preserve">Nhóm II —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49 nền kinh tế</w:t>
            </w:r>
          </w:p>
        </w:tc>
        <w:tc>
          <w:tcPr/>
          <w:p>
            <w:pPr>
              <w:pStyle w:val="Compact"/>
              <w:jc w:val="right"/>
            </w:pPr>
            <w:r>
              <w:rPr>
                <w:bCs/>
                <w:b/>
              </w:rPr>
              <w:t xml:space="preserve">102</w:t>
            </w:r>
          </w:p>
        </w:tc>
        <w:tc>
          <w:tcPr/>
          <w:p>
            <w:pPr>
              <w:pStyle w:val="Compact"/>
              <w:jc w:val="right"/>
            </w:pPr>
            <w:r>
              <w:rPr>
                <w:bCs/>
                <w:b/>
              </w:rPr>
              <w:t xml:space="preserve">86.701</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Khung ước lượng của luận án (91.982 doanh nghiệp / 49 nền; pool phân loại 96.415 / 52 nền) được hợp nhất và hài hòa hóa riêng theo quy trình tại Phụ lục A của luận án; hai khung thống nhất về danh sách nền kinh tế và nhãn nhóm ICRV.</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57</w:t>
            </w:r>
          </w:p>
        </w:tc>
        <w:tc>
          <w:tcPr/>
          <w:p>
            <w:pPr>
              <w:pStyle w:val="Compact"/>
              <w:jc w:val="right"/>
            </w:pPr>
            <w:r>
              <w:t xml:space="preserve">54.713</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2026-06-12T02:17:19Z</dcterms:created>
  <dcterms:modified xsi:type="dcterms:W3CDTF">2026-06-12T02:17:19Z</dcterms:modified>
</cp:coreProperties>
</file>

<file path=docProps/custom.xml><?xml version="1.0" encoding="utf-8"?>
<Properties xmlns="http://schemas.openxmlformats.org/officeDocument/2006/custom-properties" xmlns:vt="http://schemas.openxmlformats.org/officeDocument/2006/docPropsVTypes"/>
</file>