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Override PartName="/word/media/rId1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bookmarkStart w:id="21" w:name="đỗ-thùy-hương"/>
    <w:p>
      <w:pPr>
        <w:pStyle w:val="Heading1"/>
      </w:pPr>
      <w:r>
        <w:t xml:space="preserve">ĐỖ THÙY HƯƠNG</w:t>
      </w:r>
    </w:p>
    <w:bookmarkStart w:id="20" w:name="Xc68c6454702a5acc569973a2d0e5beb6bb91b2c"/>
    <w:p>
      <w:pPr>
        <w:pStyle w:val="Heading2"/>
      </w:pPr>
      <w:r>
        <w:t xml:space="preserve">QUỐC TẾ HÓA VÀ HIỆU QUẢ HOẠT ĐỘNG CỦA DOANH NGHIỆP TẠI CHÂU Á: VAI TRÒ ĐIỀU TIẾT CỦA THỂ CHẾ, NĂNG LỰC SỐ VÀ ĐẶC ĐIỂM NHÀ QUẢN TRỊ</w:t>
      </w:r>
    </w:p>
    <w:p>
      <w:pPr>
        <w:pStyle w:val="FirstParagraph"/>
      </w:pPr>
      <w:r>
        <w:rPr>
          <w:iCs/>
          <w:i/>
        </w:rPr>
        <w:t xml:space="preserve">(Tiêu đề dự thảo — NCS xác nhận tiêu đề chính thức đã đăng ký với cơ sở đào tạo)</w:t>
      </w:r>
    </w:p>
    <w:p>
      <w:pPr>
        <w:pStyle w:val="BodyText"/>
      </w:pPr>
      <w:r>
        <w:t xml:space="preserve">LUẬN ÁN TIẾN SĨ</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rPr>
          <w:iCs/>
          <w:i/>
        </w:rPr>
        <w:t xml:space="preserve">[NCS xác nhận: TS. Nguyễn Minh Cảnh / PGS.TS. Phan Anh Tú]</w:t>
      </w:r>
    </w:p>
    <w:p>
      <w:pPr>
        <w:pStyle w:val="BodyText"/>
      </w:pPr>
      <w:r>
        <w:t xml:space="preserve">Cần Thơ, năm 2026</w:t>
      </w:r>
    </w:p>
    <w:bookmarkEnd w:id="20"/>
    <w:bookmarkEnd w:id="21"/>
    <w:p>
      <w:r>
        <w:pict>
          <v:rect style="width:0;height:1.5pt" o:hralign="center" o:hrstd="t" o:hr="t"/>
        </w:pict>
      </w:r>
    </w:p>
    <w:bookmarkStart w:id="22"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2"/>
    <w:bookmarkStart w:id="23"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3"/>
    <w:bookmarkStart w:id="24"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 mô hình Uppsala, lý thuyết dựa trên nguồn lực (RBV), lý thuyết thể chế và lý thuyết thượng tầng quản trị —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1982–2026 với k = 238 nghiên cứu; và (ii) phân tích thực nghiệm dữ liệu doanh nghiệp từ Khảo sát Doanh nghiệp của Ngân hàng Thế giới (WBES) trên 49 nền kinh tế châu Á và Thái Bình Dương (mẫu phân tích chính N = 91.982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nhưng điểm uốn (turning point) không cố định mà giảm dần theo chất lượng thể chế — từ khoảng 55% cường độ xuất khẩu ở các nền kinh tế thể chế yếu xuống khoảng 28% ở các nền kinh tế thể chế mạnh; (2) TCI là năng lực nền tảng nâng mặt bằng hiệu quả phổ quát, trong khi DAI là nguồn lực tình huống làm thay đổi độ cong đường quan hệ và phát huy mạnh hơn ở môi trường thể chế yếu (hiệu ứng</w:t>
      </w:r>
      <w:r>
        <w:t xml:space="preserve"> </w:t>
      </w:r>
      <w:r>
        <w:t xml:space="preserve">“</w:t>
      </w:r>
      <w:r>
        <w:t xml:space="preserve">lá chắn số</w:t>
      </w:r>
      <w:r>
        <w:t xml:space="preserve">”</w:t>
      </w:r>
      <w:r>
        <w:t xml:space="preserve">); (3) tại nhóm SIDS, quan hệ I–P chuyển thành âm đơn điệu không có điểm uốn — hiện tượng được luận án đặt tên là</w:t>
      </w:r>
      <w:r>
        <w:t xml:space="preserve"> </w:t>
      </w:r>
      <w:r>
        <w:rPr>
          <w:bCs/>
          <w:b/>
        </w:rPr>
        <w:t xml:space="preserve">gánh nặng quốc tế hóa bắt buộc (Forced Internationalization Penalty, FIP)</w:t>
      </w:r>
      <w:r>
        <w:t xml:space="preserve">. Luận án đóng góp khung tích hợp đa tầng, taxonomy thể chế ICRV, và construct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4"/>
    <w:bookmarkStart w:id="25"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 the Uppsala model, the resource-based view (RBV), institutional theory, and upper echelons theory —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1982–2026 (k = 238 studies); and (ii) firm-level empirical analysis of World Bank Enterprise Survey (WBES) microdata across 49 Asian and Pacific economies (main analytic sample N = 91,982 firms), complemented by country-specific analyses (Vietnam, Singapore, China, India) and a boundary case of seven Pacific Small Island Developing States (SIDS).</w:t>
      </w:r>
    </w:p>
    <w:p>
      <w:pPr>
        <w:pStyle w:val="BodyText"/>
      </w:pPr>
      <w:r>
        <w:t xml:space="preserve">Key findings: (1) the I–P relationship is inverted-U shaped, but the turning point is not fixed — it declines with institutional quality, from roughly 55% export intensity in weak-institution economies to about 28% in strong-institution economies; (2) TCI is a foundational capability that universally shifts the performance level, whereas DAI is a situational resource that reshapes the curve and is most effective in weaker institutional environments (a</w:t>
      </w:r>
      <w:r>
        <w:t xml:space="preserve"> </w:t>
      </w:r>
      <w:r>
        <w:t xml:space="preserve">“</w:t>
      </w:r>
      <w:r>
        <w:t xml:space="preserve">digital shield</w:t>
      </w:r>
      <w:r>
        <w:t xml:space="preserve">”</w:t>
      </w:r>
      <w:r>
        <w:t xml:space="preserve"> </w:t>
      </w:r>
      <w:r>
        <w:t xml:space="preserve">effect); (3) in the SIDS group the relationship becomes monotonically negative with no turning point — a phenomenon the dissertation names the</w:t>
      </w:r>
      <w:r>
        <w:t xml:space="preserve"> </w:t>
      </w:r>
      <w:r>
        <w:rPr>
          <w:bCs/>
          <w:b/>
        </w:rPr>
        <w:t xml:space="preserve">Forced Internationalization Penalty (FIP)</w:t>
      </w:r>
      <w:r>
        <w:t xml:space="preserve">.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p>
      <w:r>
        <w:pict>
          <v:rect style="width:0;height:1.5pt" o:hralign="center" o:hrstd="t" o:hr="t"/>
        </w:pict>
      </w:r>
    </w:p>
    <w:bookmarkEnd w:id="25"/>
    <w:bookmarkStart w:id="26" w:name="mục-lục"/>
    <w:p>
      <w:pPr>
        <w:pStyle w:val="Heading2"/>
      </w:pPr>
      <w:r>
        <w:t xml:space="preserve">MỤC LỤC</w:t>
      </w:r>
    </w:p>
    <w:p>
      <w:pPr>
        <w:pStyle w:val="FirstParagraph"/>
      </w:pPr>
      <w:r>
        <w:rPr>
          <w:bCs/>
          <w:b/>
        </w:rPr>
        <w:t xml:space="preserve">MỞ ĐẦU</w:t>
      </w:r>
      <w:r>
        <w:t xml:space="preserve"> </w:t>
      </w:r>
      <w:r>
        <w:t xml:space="preserve">— Lời cam đoan · Lời cảm ơn · Tóm tắt · Abstract · Danh mục từ viết tắt · Danh mục bảng · Danh mục hình · Danh mục công trình</w:t>
      </w:r>
    </w:p>
    <w:p>
      <w:pPr>
        <w:pStyle w:val="BodyText"/>
      </w:pPr>
      <w:r>
        <w:rPr>
          <w:bCs/>
          <w:b/>
        </w:rPr>
        <w:t xml:space="preserve">CHƯƠNG 1. GIỚI THIỆU</w:t>
      </w:r>
      <w:r>
        <w:t xml:space="preserve"> </w:t>
      </w:r>
      <w:r>
        <w:t xml:space="preserve">- 1.1 Bối cảnh nghiên cứu — 1.2 Vấn đề nghiên cứu — 1.3 Mục tiêu — 1.4 Câu hỏi nghiên cứu</w:t>
      </w:r>
      <w:r>
        <w:t xml:space="preserve"> </w:t>
      </w:r>
      <w:r>
        <w:t xml:space="preserve">- 1.5 Đối tượng và phạm vi — 1.6 Phương pháp luận — 1.7 Giả thuyết khoa học (tóm tắt)</w:t>
      </w:r>
      <w:r>
        <w:t xml:space="preserve"> </w:t>
      </w:r>
      <w:r>
        <w:t xml:space="preserve">- 1.8 Ý nghĩa khoa học và thực tiễn — 1.9 Tính mới — 1.10 Cấu trúc của luận án</w:t>
      </w:r>
    </w:p>
    <w:p>
      <w:pPr>
        <w:pStyle w:val="BodyText"/>
      </w:pPr>
      <w:r>
        <w:rPr>
          <w:bCs/>
          <w:b/>
        </w:rPr>
        <w:t xml:space="preserve">CHƯƠNG 2. CƠ SỞ LÝ THUYẾT VÀ TỔNG QUAN TÀI LIỆU</w:t>
      </w:r>
      <w:r>
        <w:t xml:space="preserve"> </w:t>
      </w:r>
      <w:r>
        <w:t xml:space="preserve">- 2.1 Các khái niệm cốt lõi — 2.2 Các lý thuyết nền — 2.3 Tổng quan thực nghiệm</w:t>
      </w:r>
      <w:r>
        <w:t xml:space="preserve"> </w:t>
      </w:r>
      <w:r>
        <w:t xml:space="preserve">- 2.4 Khoảng trống nghiên cứu — 2.5 Mô hình nghiên cứu và hệ giả thuyết (H1–H6, H1b, H1c) — 2.6 Tóm tắt chương</w:t>
      </w:r>
    </w:p>
    <w:p>
      <w:pPr>
        <w:pStyle w:val="BodyText"/>
      </w:pPr>
      <w:r>
        <w:rPr>
          <w:bCs/>
          <w:b/>
        </w:rPr>
        <w:t xml:space="preserve">CHƯƠNG 3. PHƯƠNG PHÁP NGHIÊN CỨU</w:t>
      </w:r>
      <w:r>
        <w:t xml:space="preserve"> </w:t>
      </w:r>
      <w:r>
        <w:t xml:space="preserve">- 3.1 Thiết kế nghiên cứu tổng thể — 3.2 Phase 1: Meta-analysis 1982–2026 — 3.3 Phase 2: Phân tích thực nghiệm đa quốc gia</w:t>
      </w:r>
      <w:r>
        <w:t xml:space="preserve"> </w:t>
      </w:r>
      <w:r>
        <w:t xml:space="preserve">- 3.4 Mô hình phân tích (M0–M11) — 3.5 Kiểm định độ vững — 3.6 Tóm tắt phương pháp — 3.7 Đạo đức nghiên cứu</w:t>
      </w:r>
    </w:p>
    <w:p>
      <w:pPr>
        <w:pStyle w:val="BodyText"/>
      </w:pPr>
      <w:r>
        <w:rPr>
          <w:bCs/>
          <w:b/>
        </w:rPr>
        <w:t xml:space="preserve">CHƯƠNG 4. KẾT QUẢ NGHIÊN CỨU</w:t>
      </w:r>
      <w:r>
        <w:t xml:space="preserve"> </w:t>
      </w:r>
      <w:r>
        <w:t xml:space="preserve">- 4.1 Thực trạng quốc tế hóa và hiệu quả tại châu Á theo nhóm ICRV</w:t>
      </w:r>
      <w:r>
        <w:t xml:space="preserve"> </w:t>
      </w:r>
      <w:r>
        <w:t xml:space="preserve">- 4.2 Meta-analysis ba tầng (P6) — 4.3 Singapore (P4) — 4.4 Trung Quốc (P5) — 4.5 Việt Nam (P3)</w:t>
      </w:r>
      <w:r>
        <w:t xml:space="preserve"> </w:t>
      </w:r>
      <w:r>
        <w:t xml:space="preserve">- 4.6 Kiểm định toàn mẫu đa bối cảnh (P7) — 4.7 SIDS (P8) — 4.8 Ấn Độ (P9) — 4.9 Tổng hợp theo hệ giả thuyết</w:t>
      </w:r>
    </w:p>
    <w:p>
      <w:pPr>
        <w:pStyle w:val="BodyText"/>
      </w:pPr>
      <w:r>
        <w:rPr>
          <w:bCs/>
          <w:b/>
        </w:rPr>
        <w:t xml:space="preserve">CHƯƠNG 5. THẢO LUẬN VÀ KẾT LUẬN</w:t>
      </w:r>
      <w:r>
        <w:t xml:space="preserve"> </w:t>
      </w:r>
      <w:r>
        <w:t xml:space="preserve">- 5.1 Bàn luận theo khung CDCM — 5.2 So sánh nghiên cứu trước — 5.3 Đóng góp lý thuyết</w:t>
      </w:r>
      <w:r>
        <w:t xml:space="preserve"> </w:t>
      </w:r>
      <w:r>
        <w:t xml:space="preserve">- 5.4 Đề xuất chính sách và quản trị — 5.5 Hạn chế và hướng tương lai — 5.6 Kết luận</w:t>
      </w:r>
    </w:p>
    <w:p>
      <w:pPr>
        <w:pStyle w:val="BodyText"/>
      </w:pPr>
      <w:r>
        <w:rPr>
          <w:bCs/>
          <w:b/>
        </w:rPr>
        <w:t xml:space="preserve">TÀI LIỆU THAM KHẢO</w:t>
      </w:r>
      <w:r>
        <w:t xml:space="preserve"> </w:t>
      </w:r>
      <w:r>
        <w:t xml:space="preserve">(APA 7th)</w:t>
      </w:r>
      <w:r>
        <w:t xml:space="preserve"> </w:t>
      </w:r>
      <w:r>
        <w:rPr>
          <w:bCs/>
          <w:b/>
        </w:rPr>
        <w:t xml:space="preserve">PHỤ LỤC A</w:t>
      </w:r>
      <w:r>
        <w:t xml:space="preserve"> </w:t>
      </w:r>
      <w:r>
        <w:t xml:space="preserve">— Quy trình hợp nhất và hài hòa hóa dữ liệu WBES đa quốc gia (S1–S6, Hình A.1)</w:t>
      </w:r>
    </w:p>
    <w:p>
      <w:pPr>
        <w:pStyle w:val="BodyText"/>
      </w:pPr>
      <w:r>
        <w:rPr>
          <w:iCs/>
          <w:i/>
        </w:rPr>
        <w:t xml:space="preserve">(Số trang được sinh tự động khi xuất bản bản cuối.)</w:t>
      </w:r>
    </w:p>
    <w:p>
      <w:r>
        <w:pict>
          <v:rect style="width:0;height:1.5pt" o:hralign="center" o:hrstd="t" o:hr="t"/>
        </w:pict>
      </w:r>
    </w:p>
    <w:bookmarkEnd w:id="26"/>
    <w:bookmarkStart w:id="27"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(construct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meta-analysis</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7"/>
    <w:bookmarkStart w:id="28"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 chương — giả thuyết (Chương 2)</w:t>
      </w:r>
      <w:r>
        <w:t xml:space="preserve"> </w:t>
      </w:r>
      <w:r>
        <w:t xml:space="preserve">- Bảng 4.1. Phân tán năng suất lao động và đặc điểm quốc tế hóa theo phân nhóm con ICRV (Chương 4, §4.1)</w:t>
      </w:r>
      <w:r>
        <w:t xml:space="preserve"> </w:t>
      </w:r>
      <w:r>
        <w:t xml:space="preserve">- Bảng 4.2. Đổi mới sáng tạo và chấp nhận số theo phân nhóm con ICRV (%) (Chương 4, §4.1)</w:t>
      </w:r>
      <w:r>
        <w:t xml:space="preserve"> </w:t>
      </w:r>
      <w:r>
        <w:t xml:space="preserve">- Bảng 4.3. Điểm uốn theo đợt khảo sát, Ấn Độ (Chương 4, §4.8)</w:t>
      </w:r>
    </w:p>
    <w:p>
      <w:pPr>
        <w:pStyle w:val="BodyText"/>
      </w:pPr>
      <w:r>
        <w:rPr>
          <w:bCs/>
          <w:b/>
        </w:rPr>
        <w:t xml:space="preserve">Bảng chuyên đề (không đánh số, theo mục):</w:t>
      </w:r>
      <w:r>
        <w:t xml:space="preserve"> </w:t>
      </w:r>
      <w:r>
        <w:t xml:space="preserve">- Bảng định nghĩa biến — Nghiên cứu P3 Việt Nam (Chương 3, §3.4.5.1)</w:t>
      </w:r>
      <w:r>
        <w:t xml:space="preserve"> </w:t>
      </w:r>
      <w:r>
        <w:t xml:space="preserve">- Bảng định nghĩa biến — Nghiên cứu P4 Singapore (Chương 3, §3.4.5.2)</w:t>
      </w:r>
      <w:r>
        <w:t xml:space="preserve"> </w:t>
      </w:r>
      <w:r>
        <w:t xml:space="preserve">- Bảng định nghĩa biến — Nghiên cứu P5 Trung Quốc (Chương 3, §3.4.5.3)</w:t>
      </w:r>
      <w:r>
        <w:t xml:space="preserve"> </w:t>
      </w:r>
      <w:r>
        <w:t xml:space="preserve">- Bảng định nghĩa biến — Nghiên cứu P7 đa quốc gia (Chương 3, §3.4.5.4)</w:t>
      </w:r>
      <w:r>
        <w:t xml:space="preserve"> </w:t>
      </w:r>
      <w:r>
        <w:t xml:space="preserve">- Bảng định nghĩa biến — Nghiên cứu P8 SIDS (Chương 3, §3.4.5.5)</w:t>
      </w:r>
      <w:r>
        <w:t xml:space="preserve"> </w:t>
      </w:r>
      <w:r>
        <w:t xml:space="preserve">- Bảng tóm tắt phương pháp: Kế thừa và đóng góp mới (Chương 3, §3.6)</w:t>
      </w:r>
      <w:r>
        <w:t xml:space="preserve"> </w:t>
      </w:r>
      <w:r>
        <w:t xml:space="preserve">- Bảng tổng hợp kết quả kiểm định hệ giả thuyết H1–H6, H1b, H1c (Chương 4, §4.9)</w:t>
      </w:r>
    </w:p>
    <w:bookmarkEnd w:id="28"/>
    <w:bookmarkStart w:id="29" w:name="danh-mục-hình"/>
    <w:p>
      <w:pPr>
        <w:pStyle w:val="Heading2"/>
      </w:pPr>
      <w:r>
        <w:t xml:space="preserve">DANH MỤC HÌNH</w:t>
      </w:r>
    </w:p>
    <w:p>
      <w:pPr>
        <w:numPr>
          <w:ilvl w:val="0"/>
          <w:numId w:val="1001"/>
        </w:numPr>
        <w:pStyle w:val="Compact"/>
      </w:pPr>
      <w:r>
        <w:t xml:space="preserve">Hình 2.1. Khung khái niệm tích hợp đa tầng CDCM (Chương 2, §2.5)</w:t>
      </w:r>
    </w:p>
    <w:p>
      <w:pPr>
        <w:numPr>
          <w:ilvl w:val="0"/>
          <w:numId w:val="1001"/>
        </w:numPr>
        <w:pStyle w:val="Compact"/>
      </w:pPr>
      <w:r>
        <w:t xml:space="preserve">Hình 4.1. Họ đường cong I–P phụ thuộc chế độ thể chế ICRV (Chương 4)</w:t>
      </w:r>
    </w:p>
    <w:p>
      <w:pPr>
        <w:numPr>
          <w:ilvl w:val="0"/>
          <w:numId w:val="1001"/>
        </w:numPr>
        <w:pStyle w:val="Compact"/>
      </w:pPr>
      <w:r>
        <w:t xml:space="preserve">Các hình mô tả bổ sung (phân bố pool theo năm, cơ cấu pool, mật độ năng suất, quy mô doanh nghiệp) lưu tại</w:t>
      </w:r>
      <w:r>
        <w:t xml:space="preserve"> </w:t>
      </w:r>
      <w:r>
        <w:rPr>
          <w:rStyle w:val="VerbatimChar"/>
        </w:rPr>
        <w:t xml:space="preserve">thesis/figures/</w:t>
      </w:r>
      <w:r>
        <w:t xml:space="preserve">.</w:t>
      </w:r>
    </w:p>
    <w:p>
      <w:r>
        <w:pict>
          <v:rect style="width:0;height:1.5pt" o:hralign="center" o:hrstd="t" o:hr="t"/>
        </w:pict>
      </w:r>
    </w:p>
    <w:bookmarkEnd w:id="29"/>
    <w:bookmarkStart w:id="30"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P1–P9) của nghiên cứu sinh. Các công trình được phân tách rõ theo trạng thái công bố.</w:t>
      </w:r>
    </w:p>
    <w:p>
      <w:pPr>
        <w:pStyle w:val="BodyText"/>
      </w:pPr>
      <w:r>
        <w:rPr>
          <w:bCs/>
          <w:b/>
        </w:rPr>
        <w:t xml:space="preserve">A. Đã công bố (peer-reviewed)</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(Cơ sở baseline meta-analysis —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 380 doanh nghiệp WBES, ước lượng FGLS, lăng kính thượng tầng quản trị; được nghiên cứu thành phần P9 trích dẫn như prior author work.)</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 Trung Quốc 2012–2024 (bối cảnh upper-middle).</w:t>
      </w:r>
      <w:r>
        <w:t xml:space="preserve"> </w:t>
      </w:r>
      <w:r>
        <w:rPr>
          <w:iCs/>
          <w:i/>
        </w:rPr>
        <w:t xml:space="preserve">[Bản thảo đang bình duyệt.]</w:t>
      </w:r>
    </w:p>
    <w:p>
      <w:pPr>
        <w:numPr>
          <w:ilvl w:val="0"/>
          <w:numId w:val="1003"/>
        </w:numPr>
        <w:pStyle w:val="Compact"/>
      </w:pPr>
      <w:r>
        <w:t xml:space="preserve">Nghiên cứu thành phần P6 — Meta-analysis ba tầng mở rộng 1982–2026.</w:t>
      </w:r>
      <w:r>
        <w:t xml:space="preserve"> </w:t>
      </w:r>
      <w:r>
        <w:rPr>
          <w:iCs/>
          <w:i/>
        </w:rPr>
        <w:t xml:space="preserve">[Bản thảo đang bình duyệt.]</w:t>
      </w:r>
    </w:p>
    <w:p>
      <w:pPr>
        <w:numPr>
          <w:ilvl w:val="0"/>
          <w:numId w:val="1003"/>
        </w:numPr>
        <w:pStyle w:val="Compact"/>
      </w:pPr>
      <w:r>
        <w:t xml:space="preserve">Nghiên cứu thành phần P7 — Kiểm định toàn mẫu 49 nền kinh tế châu Á và Thái Bình Dương (capstone).</w:t>
      </w:r>
      <w:r>
        <w:t xml:space="preserve"> </w:t>
      </w:r>
      <w:r>
        <w:rPr>
          <w:iCs/>
          <w:i/>
        </w:rPr>
        <w:t xml:space="preserve">[Bản thảo đang chỉnh sửa theo phản biện.]</w:t>
      </w:r>
    </w:p>
    <w:p>
      <w:pPr>
        <w:numPr>
          <w:ilvl w:val="0"/>
          <w:numId w:val="1003"/>
        </w:numPr>
        <w:pStyle w:val="Compact"/>
      </w:pPr>
      <w:r>
        <w:t xml:space="preserve">Nghiên cứu thành phần P8 —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pStyle w:val="FirstParagraph"/>
      </w:pPr>
      <w:r>
        <w:rPr>
          <w:iCs/>
          <w:i/>
        </w:rPr>
        <w:t xml:space="preserve">Ghi chú về liêm chính học thuật: Theo định hướng luận án kết hợp công trình thành phần, các nghiên cứu P1–P9 là một phần nội dung nghiên cứu của chính luận án; do đó trong các chương, chúng được dẫn chiếu bằng nhãn nội bộ (P1–P9) thay vì trích dẫn tác giả–năm. Các bản thảo ở mục B CHƯA được công bố/bình duyệt chính thức, không được diễn giải như bằng chứng đã qua bình duyệt độc lập; tên tạp chí mục tiêu chỉ được nêu chính thức sau khi bài được chấp nhận. NCS cập nhật trạng thái tại thời điểm bảo vệ.</w:t>
      </w:r>
    </w:p>
    <w:p>
      <w:r>
        <w:pict>
          <v:rect style="width:0;height:1.5pt" o:hralign="center" o:hrstd="t" o:hr="t"/>
        </w:pict>
      </w:r>
    </w:p>
    <w:p>
      <w:r>
        <w:br w:type="page"/>
      </w:r>
    </w:p>
    <w:bookmarkEnd w:id="30"/>
    <w:bookmarkStart w:id="31" w:name="chương-1-giới-thiệu"/>
    <w:p>
      <w:pPr>
        <w:pStyle w:val="Heading1"/>
      </w:pPr>
      <w:r>
        <w:t xml:space="preserve">CHƯƠNG 1: GIỚI THIỆU</w:t>
      </w:r>
    </w:p>
    <w:bookmarkEnd w:id="31"/>
    <w:p>
      <w:r>
        <w:pict>
          <v:rect style="width:0;height:1.5pt" o:hralign="center" o:hrstd="t" o:hr="t"/>
        </w:pict>
      </w:r>
    </w:p>
    <w:bookmarkStart w:id="32"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thế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internationalization–firm performance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 một nền kinh tế nhỏ mở, dẫn đầu thế giới về năng lực đổi mới và kết nối toàn cầu — đến Việt Nam — một nền kinh tế chuyển đổi đang đẩy nhanh cải cách thể chế và hội nhập quốc tế —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 sự đa dạng này tạo ra một phòng thí nghiệm thực địa lý tưởng để kiểm định các điều kiện biên của quan hệ I–P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digitization đến digitalization và digital transformation. Tuy nhiên, phần lớn bằng chứng thực nghiệm hiện có về vai trò của năng lực số trong quan hệ I–P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Institutional Theory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institutional voids</w:t>
      </w:r>
      <w:r>
        <w:t xml:space="preserve">”</w:t>
      </w:r>
      <w:r>
        <w:t xml:space="preserve"> </w:t>
      </w:r>
      <w:r>
        <w:t xml:space="preserve">— tức sự thiếu hụt các thể chế trung gian hỗ trợ giao dịch thị trường — tạo ra chi phí bổ sung đáng kể cho doanh nghiệp quốc tế hóa (Peng, 2003). Sự đa dạng thể chế giữa các quốc gia châu Á — từ những nền kinh tế với quản trị nhà nước ổn định, pháp quyền mạnh như Singapore đến các nền kinh tế đang phát triển thể chế như Campuchia hay các quốc đảo Thái Bình Dương —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 Biến thiên chế độ bối cảnh thể chế).</w:t>
      </w:r>
    </w:p>
    <w:p>
      <w:pPr>
        <w:pStyle w:val="BodyText"/>
      </w:pPr>
      <w:r>
        <w:t xml:space="preserve">Cuối cùng, nhà quản trị cấp cao đóng vai trò không thể bỏ qua trong việc hình thành chiến lược và kết quả quốc tế hóa. Upper Echelons Theory (Hambrick &amp; Mason, 1984) khẳng định rằng quyết định chiến lược phản ánh đặc điểm nhận thức, kinh nghiệm và giá trị của nhà quản trị. Kinh nghiệm quốc tế giúp nhà quản trị nhận diện cơ hội và giảm chi phí của liability of foreignness,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I–P trong bối cảnh châu Á.</w:t>
      </w:r>
    </w:p>
    <w:p>
      <w:r>
        <w:pict>
          <v:rect style="width:0;height:1.5pt" o:hralign="center" o:hrstd="t" o:hr="t"/>
        </w:pict>
      </w:r>
    </w:p>
    <w:bookmarkEnd w:id="32"/>
    <w:bookmarkStart w:id="33"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I–P liên tục cho thấy tác động tổng hợp là dương nhưng nhỏ — hệ số tương quan tổng hợp r trong khoảng 0,07–0,13 —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I–P phụ thuộc sâu sắc vào điều kiện bối cảnh. Arte và Larimo (2022) lập luận rằng heterogeneity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heterogeneity cao đó. Các nghiên cứu hiện tại thường chọn một hoặc hai lý thuyết làm nền, dẫn đến mô hình không đủ đa tầng để nắm bắt sự phức tạp thực tế. Uppsala model giải thích chi phí học hỏi nhưng không đủ để xử lý vai trò của thể chế; RBV giải thích sự khác biệt năng lực nhưng bỏ qua macro-context; Institutional Theory giải thích bối cảnh vĩ mô nhưng không tích hợp đặc điểm cá nhân nhà quản trị. Không một lý thuyết nào đứng riêng có thể giải thích đầy đủ heterogeneity đó. Khoảng trống thứ hai là sự đồng nhất không hợp lý giữa hai construct số khác nhau về bản chất: technological capability — chiều sâu năng lực công nghệ nhập vào tổ chức — và digital adoption — mức độ áp dụng công cụ số bề mặt trong hoạt động kinh doanh. Nhiều nghiên cứu trước gộp hai construct này thành một chỉ số composite duy nhất, điều này làm giảm độ chính xác của kết luận và có thể che khuất các cơ chế tác động khác nhau (Bharadwaj et al., 2013; Coltman et al., 2008; Verhoef et al., 2021). Khoảng trống thứ ba là thiếu bằng chứng cross-country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Luận án này được thiết kế để giải quyết ba khoảng trống đó bằng cách xây dựng và kiểm định một khung giải thích đa tầng cho quan hệ I–P tại châu Á, với thiết kế mixed synthesis-empirical kết hợp meta-analysis và phân tích đa quốc gia quy mô lớn. Trọng tâm khoa học của luận án là vai trò điều tiết của thể chế, năng lực số và đặc điểm nhà quản trị — ba tầng điều tiết mà, theo lập luận của luận án, cùng nhau tạo nên cấu trúc giải thích cần thiết cho heterogeneity cao trong quan hệ I–P.</w:t>
      </w:r>
    </w:p>
    <w:p>
      <w:r>
        <w:pict>
          <v:rect style="width:0;height:1.5pt" o:hralign="center" o:hrstd="t" o:hr="t"/>
        </w:pict>
      </w:r>
    </w:p>
    <w:bookmarkEnd w:id="33"/>
    <w:bookmarkStart w:id="34"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meta-analytic về mối quan hệ I–P trong giai đoạn 1982–2026, xác định tác động tổng hợp, mức độ dị biệt và các nhân tố điều tiết (moderators) chính giải thích heterogeneity trong literature.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I–P vận hành khác nhau theo bối cảnh quốc gia. Mục tiêu cụ thể thứ ba là mở rộng phân tích sang 49 nền kinh tế châu Á và Thái Bình Dương (bao gồm 7 nền kinh tế Pacific SIDS) để kiểm định khả năng khái quát hóa của các phát hiện trên phạm vi rộng, kế thừa và mở rộng từ pool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 TCI và chỉ số chấp nhận số — digital adoption index — DAI), và đặc điểm nhà quản trị cấp cao (kinh nghiệm và giới tính).</w:t>
      </w:r>
    </w:p>
    <w:p>
      <w:r>
        <w:pict>
          <v:rect style="width:0;height:1.5pt" o:hralign="center" o:hrstd="t" o:hr="t"/>
        </w:pict>
      </w:r>
    </w:p>
    <w:bookmarkEnd w:id="34"/>
    <w:bookmarkStart w:id="35"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 về thể chế, năng lực số và đặc điểm nhà quản trị —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literature 1982–2026 là gì, mức độ dị biệt ở mức nào, và những moderators nào giải thích heterogeneity đó một cách có hệ thống? Câu hỏi nghiên cứu thứ hai (RQ2) là: Trong từng bối cảnh quốc gia cụ thể bao gồm Singapore, Việt Nam và Trung Quốc, mối quan hệ I–P vận hành theo những cơ chế đặc thù nào và sự phi tuyến có biểu hiện ra sao? Câu hỏi nghiên cứu thứ ba (RQ3) là: Trên phạm vi đa quốc gia châu Á bao gồm 49 nền kinh tế châu Á và Thái Bình Dương (bao gồm 7 nền kinh tế Pacific SIDS), vai trò điều tiết của chỉ số chấp nhận số (DAI) và technological capability index (TCI) có khái quát hóa được không, và hai construct này có thực sự vận hành theo các cơ chế khác nhau không? Câu hỏi nghiên cứu thứ tư (RQ4) là: Vai trò của thể chế — đo bằng sub-regime ICRV — cùng với sự phân biệt giữa TCI và DAI, và đặc điểm nhà quản trị trong việc điều tiết mối quan hệ I–P là gì, và sự tương tác ba chiều giữa ba tầng đó có ý nghĩa như thế nào?</w:t>
      </w:r>
    </w:p>
    <w:p>
      <w:r>
        <w:pict>
          <v:rect style="width:0;height:1.5pt" o:hralign="center" o:hrstd="t" o:hr="t"/>
        </w:pict>
      </w:r>
    </w:p>
    <w:bookmarkEnd w:id="35"/>
    <w:bookmarkStart w:id="39" w:name="đối-tượng-và-phạm-vi-nghiên-cứu"/>
    <w:p>
      <w:pPr>
        <w:pStyle w:val="Heading2"/>
      </w:pPr>
      <w:r>
        <w:t xml:space="preserve">1.5 Đối tượng và phạm vi nghiên cứu</w:t>
      </w:r>
    </w:p>
    <w:bookmarkStart w:id="36"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6"/>
    <w:bookmarkStart w:id="37"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49 nền kinh tế châu Á và Thái Bình Dương</w:t>
      </w:r>
      <w:r>
        <w:t xml:space="preserve"> </w:t>
      </w:r>
      <w:r>
        <w:t xml:space="preserve">có dữ liệu trong Khảo sát Doanh nghiệp của Ngân hàng Thế giới (World Bank Enterprise Surveys — WBES), được phân loại và tổ chức theo 6 sub-regime trong khung ICRV. Sáu sub-regime bao gồm: (i) Advanced Innovation-Driven, đại diện là Singapore, Hàn Quốc và Đài Loan; (ii) Advanced Resource-Driven, đại diện là các nền kinh tế GCC; (iii) Upper-middle, đại diện là Trung Quốc và Malaysia; (iv) Lower-middle transition, bao gồm Việt Nam và các nền kinh tế ASEAN đang phát triển; (v) Emerging,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I–P. Nhật Bản không nằm trong phạm vi thực nghiệm của luận án do cấu trúc dữ liệu WBES không bao phủ Nhật Bản đầy đủ.</w:t>
      </w:r>
    </w:p>
    <w:bookmarkEnd w:id="37"/>
    <w:bookmarkStart w:id="38" w:name="phạm-vi-thời-gian"/>
    <w:p>
      <w:pPr>
        <w:pStyle w:val="Heading3"/>
      </w:pPr>
      <w:r>
        <w:t xml:space="preserve">1.5.3 Phạm vi thời gian</w:t>
      </w:r>
    </w:p>
    <w:p>
      <w:pPr>
        <w:pStyle w:val="FirstParagraph"/>
      </w:pPr>
      <w:r>
        <w:t xml:space="preserve">Phạm vi thời gian của nghiên cứu có hai mức. Đối với phase meta-analysis, luận án tổng hợp literature trong giai đoạn 1982–2026, bao quát toàn bộ chương trình nghiên cứu về quan hệ I–P từ khi các nghiên cứu thực nghiệm đầu tiên xuất hiện đến thời điểm hoàn thành luận án. Đối với phase phân tích thực nghiệm đa quốc gia, luận án sử dụng dữ liệu WBES trong giai đoạn 2003–2025, bao gồm 91.982 doanh nghiệp với 102 cặp quốc gia-năm trải qua 14 mốc khảo sát. Dữ liệu WBES từ ba thế hệ schema (PICS3 giai đoạn 2009–2012, Standardized giai đoạn 2013–2017, và BREADY/BEE giai đoạn 2018–2025) đã được hòa hợp để đảm bảo tính nhất quán trong đo lường biến qua các wave khảo sát.</w:t>
      </w:r>
    </w:p>
    <w:p>
      <w:r>
        <w:pict>
          <v:rect style="width:0;height:1.5pt" o:hralign="center" o:hrstd="t" o:hr="t"/>
        </w:pict>
      </w:r>
    </w:p>
    <w:bookmarkEnd w:id="38"/>
    <w:bookmarkEnd w:id="39"/>
    <w:bookmarkStart w:id="40"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mixed synthesis-empirical — sự kết hợp giữa meta-analysis và phân tích thực nghiệm đa quốc gia — nhằm trả lời bốn câu hỏi nghiên cứu đã đặt ra. Thiết kế này không chỉ đơn thuần là sử dụng hai phương pháp song song, mà tạo ra một đối thoại hai chiều: meta-analysis cung cấp tổng quan có hệ thống về trạng thái bằng chứng và xác định các moderator quan trọng trong literature,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phase meta-analysis sử dụng random-effects model với Fisher’s z transformation, phân tích nhóm con (subgroup analysis) theo chế độ thể chế, và các kiểm định publication bias bao gồm Egger’s test và Begg–Mazumdar rank correlation test. Phase thực nghiệm sử dụng hồi quy OLS với sai số chuẩn robust HC1/HC3, mô hình bậc hai và bậc ba để kiểm định phi tuyến, tương tác hai chiều và ba chiều để kiểm định moderation, cùng với fixed effects theo quốc gia và năm. Kiểm định Lind–Mehlum U-test được áp dụng để xác nhận dạng inverted-U và xác định điểm turning point trong quan hệ phi tuyến (Haans et al., 2016; Lind &amp; Mehlum, 2010).</w:t>
      </w:r>
    </w:p>
    <w:p>
      <w:r>
        <w:pict>
          <v:rect style="width:0;height:1.5pt" o:hralign="center" o:hrstd="t" o:hr="t"/>
        </w:pict>
      </w:r>
    </w:p>
    <w:bookmarkEnd w:id="40"/>
    <w:bookmarkStart w:id="41" w:name="giả-thuyết-khoa-học-tóm-tắt"/>
    <w:p>
      <w:pPr>
        <w:pStyle w:val="Heading2"/>
      </w:pPr>
      <w:r>
        <w:t xml:space="preserve">1.7 Giả thuyết khoa học (tóm tắt)</w:t>
      </w:r>
    </w:p>
    <w:p>
      <w:pPr>
        <w:pStyle w:val="FirstParagraph"/>
      </w:pPr>
      <w:r>
        <w:t xml:space="preserve">Dựa trên khung lý thuyết tích hợp đa tầng bao gồm Uppsala model, RBV, Institutional Theory, Upper Echelons Theory và digital capability lens, luận án đề xuất hệ giả thuyết khoa học với sáu giả thuyết trọng tâm. Quan hệ nền giữa quốc tế hóa và hiệu quả hoạt động doanh nghiệp mang dạng phi tuyến — cụ thể là dạng inverted-U — với chi phí thâm nhập và thích nghi cao ở giai đoạn đầu và lợi ích quy mô, học hỏi và đa dạng hóa thị trường ở giai đoạn sau, đến khi chi phí điều phối vượt quá lợi ích sẽ dẫn đến sự suy giảm hiệu quả. Technological capability index (TCI) điều tiết dương quan hệ I–P bằng cách mở rộng biên thích nghi và tăng cường khả năng khai thác lợi thế cạnh tranh ở thị trường quốc tế. Chỉ số chấp nhận số (DAI) — được hiểu là proxy foundational digital adoption —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sub-regime ICRV, điều tiết cả dạng và độ lớn của quan hệ I–P, tạo ra gradient từ tác động dương lớn ở Advanced Innovation-Driven đến tác động âm ở Emerging và SIDS extreme. Đặc điểm nhà quản trị cấp cao — cụ thể là kinh nghiệm quốc tế và đa dạng giới tính — điều tiết dương quan hệ I–P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 thị trường nội địa quá nhỏ, chi phí thương mại cực cao, và thiếu hỗ trợ thể chế — quan hệ I–P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 FIP). Chi tiết toàn bộ hệ giả thuyết H1–H6 và H1b được trình bày đầy đủ trong Chương 2 của luận án.</w:t>
      </w:r>
    </w:p>
    <w:p>
      <w:r>
        <w:pict>
          <v:rect style="width:0;height:1.5pt" o:hralign="center" o:hrstd="t" o:hr="t"/>
        </w:pict>
      </w:r>
    </w:p>
    <w:bookmarkEnd w:id="41"/>
    <w:bookmarkStart w:id="45" w:name="ý-nghĩa-khoa-học-và-thực-tiễn"/>
    <w:p>
      <w:pPr>
        <w:pStyle w:val="Heading2"/>
      </w:pPr>
      <w:r>
        <w:t xml:space="preserve">1.8 Ý nghĩa khoa học và thực tiễn</w:t>
      </w:r>
    </w:p>
    <w:bookmarkStart w:id="42" w:name="đóng-góp-lý-thuyết"/>
    <w:p>
      <w:pPr>
        <w:pStyle w:val="Heading3"/>
      </w:pPr>
      <w:r>
        <w:t xml:space="preserve">1.8.1 Đóng góp lý thuyết</w:t>
      </w:r>
    </w:p>
    <w:p>
      <w:pPr>
        <w:pStyle w:val="FirstParagraph"/>
      </w:pPr>
      <w:r>
        <w:t xml:space="preserve">Về mặt lý thuyết, luận án đóng góp vào literature kinh doanh quốc tế theo ba hướng chính. Hướng thứ nhất là tích hợp bốn lý thuyết kinh điển — Uppsala model, Resource-Based View, Institutional Theory và Upper Echelons Theory — vào một khung giải thích đa tầng thống nhất, bổ sung bởi digital capability lens để phản ánh chuyển đổi số đương đại. Khung này không chỉ là sự ghép nối cơ học các lý thuyết mà là một kiến trúc lý thuyết có tính nhất quán nội tại, trong đó mỗi tầng giải thích một loại heterogeneity khác nhau trong quan hệ I–P. Hướng thứ hai là phân tách rõ ràng technological capability (TCI) và chỉ số chấp nhận số (DAI) như hai construct lý thuyết độc lập, dựa trên các nền tảng khái niệm khác nhau từ Bharadwaj et al. (2013), Verhoef et al. (2021), và Coltman et al. (2008). Sự phân tách này bổ sung vào thiếu hụt khái niệm quan trọng trong literature về số hóa và quốc tế hóa. Hướng thứ ba là tái định vị Uppsala model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internationalization (Banalieva &amp; Dhanaraj, 2019; Yang et al., 2025). Hướng thứ tư là đề xuất và đặt tên lý thuyết cho</w:t>
      </w:r>
      <w:r>
        <w:t xml:space="preserve"> </w:t>
      </w:r>
      <w:r>
        <w:rPr>
          <w:bCs/>
          <w:b/>
        </w:rPr>
        <w:t xml:space="preserve">gánh nặng quốc tế hóa bắt buộc (Forced Internationalization Penalty — FIP)</w:t>
      </w:r>
      <w:r>
        <w:t xml:space="preserve"> </w:t>
      </w:r>
      <w:r>
        <w:t xml:space="preserve">— một construct lý thuyết mới chưa được định danh trong literature kinh doanh quốc tế — như điều kiện biên cực đoan của mô hình chữ U ngược khi cả ba tầng của khung CDCM (thể chế, năng lực, quản trị) đồng thời ở mức tối thiểu. Bằng chứng thực nghiệm từ bảy nền kinh tế Pacific SIDS xác nhận quan hệ âm đơn điệu không có điểm uốn, mở ra hướng nghiên cứu mới về điều kiện biên của lý thuyết quốc tế hóa.</w:t>
      </w:r>
    </w:p>
    <w:bookmarkEnd w:id="42"/>
    <w:bookmarkStart w:id="43"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mixed synthesis-empirical kết hợp meta-analysis và phân tích đa quốc gia, tạo ra khả năng đối chiếu giữa bằng chứng tổng hợp từ literature toàn cầu và bằng chứng thực nghiệm từ bối cảnh châu Á. Hướng thứ hai là phát triển và áp dụng khung phân loại thể chế ICRV cho 49 nền kinh tế, cung cấp một công cụ phân loại mới có ứng dụng tiềm năng trong nhiều nghiên cứu tương lai về moderating effect của thể chế trong literature kinh doanh quốc tế.</w:t>
      </w:r>
    </w:p>
    <w:bookmarkEnd w:id="43"/>
    <w:bookmarkStart w:id="44"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digital adoption bề mặt. Đối với nhà hoạch định chính sách, bằng chứng từ luận án gợi ý rằng cải cách thể chế và hỗ trợ chuyển đổi số có thể có hiệu ứng bổ trợ tích cực — được nghiên cứu về 17 nền kinh tế châu Á mới nổi đặt tên là</w:t>
      </w:r>
      <w:r>
        <w:t xml:space="preserve"> </w:t>
      </w:r>
      <w:r>
        <w:t xml:space="preserve">“</w:t>
      </w:r>
      <w:r>
        <w:t xml:space="preserve">digital shield effect</w:t>
      </w:r>
      <w:r>
        <w:t xml:space="preserve">”</w:t>
      </w:r>
      <w:r>
        <w:t xml:space="preserve"> </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49 nền kinh tế châu Á và Thái Bình Dương.</w:t>
      </w:r>
    </w:p>
    <w:p>
      <w:r>
        <w:pict>
          <v:rect style="width:0;height:1.5pt" o:hralign="center" o:hrstd="t" o:hr="t"/>
        </w:pict>
      </w:r>
    </w:p>
    <w:bookmarkEnd w:id="44"/>
    <w:bookmarkEnd w:id="45"/>
    <w:bookmarkStart w:id="46"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I–P trong bối cảnh châu Á, kết hợp bốn lý thuyết kinh điển với digital capability lens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construct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construct có bản chất khác nhau. Điểm mới thứ ba là phát triển và áp dụng khung phân loại thể chế ICRV với 6 sub-regime cho 49 nền kinh tế, bao gồm cả 7 nền kinh tế Pacific SIDS liền kề như boundary case cực đoan, đây là lần đầu tiên một hệ thống phân loại đủ mịn như vậy được áp dụng trong nghiên cứu thực nghiệm về quan hệ I–P tại châu Á. Điểm mới thứ tư là pool dữ liệu lớn nhất từ trước đến nay cho nghiên cứu đa quốc gia về quan hệ I–P tại châu Á, với 91.982 doanh nghiệp từ 49 nền kinh tế châu Á và Thái Bình Dương, mở rộng đáng kể từ pool 17 nước (nghiên cứu thành phần P1) là nền tảng hiện có lớn nhất trước khi luận án hoàn thành. Điểm mới thứ năm là kiểm định temporal stability của turning point trong quan hệ I–P tại Trung Quốc, cho phép đánh giá liệu cấu trúc phi tuyến đó có ổn định qua hơn một thập kỷ chuyển đổi số hay không. Kết quả phân tích của luận án cho thấy turning point tương đối ổn định qua hai thời điểm quan sát, cung cấp bằng chứng về tính bền vững của cấu trúc I–P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 FIP)</w:t>
      </w:r>
      <w:r>
        <w:t xml:space="preserve"> </w:t>
      </w:r>
      <w:r>
        <w:t xml:space="preserve">tại bảy nền kinh tế Pacific SIDS — lần đầu tiên trong literature kinh doanh quốc tế, một trường hợp quan hệ I–P âm đơn điệu không có điểm uốn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bookmarkEnd w:id="46"/>
    <w:bookmarkStart w:id="47"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 Giới thiệu — đặt vấn đề nghiên cứu, xác định khoảng trống, trình bày mục tiêu, câu hỏi nghiên cứu, phạm vi, phương pháp luận, giả thuyết khoa học tóm tắt, ý nghĩa, tính mới và cấu trúc của luận án. Chương 2 — Cơ sở lý thuyết và tổng quan tài liệu — xây dựng khung lý thuyết tích hợp đa tầng, tổng quan bằng chứng thực nghiệm đã có, và phát triển hệ giả thuyết H1–H6 dựa trên khoảng trống và logic lý thuyết. Chương 3 — Phương pháp nghiên cứu — trình bày chi tiết thiết kế nghiên cứu, nguồn dữ liệu, cách đo lường biến, mô hình phân tích và chiến lược kiểm định độ vững. Chương 4 — Kết quả nghiên cứu — trình bày kết quả ở ba cấp độ phân tích: meta-analysis cập nhật 1982–2026, phân tích theo bối cảnh quốc gia cụ thể, và phân tích đa quốc gia capstone trên pool đầy đủ 49 nền kinh tế. Chương 5 — Thảo luận và kết luận —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Roadmap bảy nghiên cứu thành phần (P3–P9):</w:t>
      </w:r>
      <w:r>
        <w:t xml:space="preserve"> </w:t>
      </w:r>
      <w:r>
        <w:t xml:space="preserve">Luận án tích hợp bảy nghiên cứu thành phần được công bố hoặc đang trong quá trình xem xét tại các tạp chí ISI/Scopus.</w:t>
      </w:r>
      <w:r>
        <w:t xml:space="preserve"> </w:t>
      </w:r>
      <w:r>
        <w:rPr>
          <w:bCs/>
          <w:b/>
        </w:rPr>
        <w:t xml:space="preserve">P3</w:t>
      </w:r>
      <w:r>
        <w:t xml:space="preserve"> </w:t>
      </w:r>
      <w:r>
        <w:t xml:space="preserve">(Việt Nam — JABS, under review): kiểm định inverted-U tại Nhóm IV ICRV, turning point = 39,3–46,2% FSTS, TCI là level-shifter có ý nghĩa.</w:t>
      </w:r>
      <w:r>
        <w:t xml:space="preserve"> </w:t>
      </w:r>
      <w:r>
        <w:rPr>
          <w:bCs/>
          <w:b/>
        </w:rPr>
        <w:t xml:space="preserve">P4</w:t>
      </w:r>
      <w:r>
        <w:t xml:space="preserve"> </w:t>
      </w:r>
      <w:r>
        <w:t xml:space="preserve">(Singapore — MIR, under review): kiểm định tại Nhóm I ICRV, turning point ≈ 88,6% (khoảng tin cậy rất rộng và vượt ngưỡng khả thi của FSTS, nên không định vị tin cậy — xem §4.3), DAI Tier-1+2 khuếch đại đường cong I–P.</w:t>
      </w:r>
      <w:r>
        <w:t xml:space="preserve"> </w:t>
      </w:r>
      <w:r>
        <w:rPr>
          <w:bCs/>
          <w:b/>
        </w:rPr>
        <w:t xml:space="preserve">P5</w:t>
      </w:r>
      <w:r>
        <w:t xml:space="preserve"> </w:t>
      </w:r>
      <w:r>
        <w:t xml:space="preserve">(Trung Quốc — IJOEM, under review): kiểm định temporal stability, turning point ổn định qua 2012–2024 (≈ 48,78%, Paternoster z = 0,82, p = ,412).</w:t>
      </w:r>
      <w:r>
        <w:t xml:space="preserve"> </w:t>
      </w:r>
      <w:r>
        <w:rPr>
          <w:bCs/>
          <w:b/>
        </w:rPr>
        <w:t xml:space="preserve">P6</w:t>
      </w:r>
      <w:r>
        <w:t xml:space="preserve"> </w:t>
      </w:r>
      <w:r>
        <w:t xml:space="preserve">(meta-analysis ba tầng — IBR, under review): k = 238 nghiên cứu, r̄ = 0,074, I² = 62,4%, gradient ICRV Q_M = 17,35 (df = 4, p = ,002).</w:t>
      </w:r>
      <w:r>
        <w:t xml:space="preserve"> </w:t>
      </w:r>
      <w:r>
        <w:rPr>
          <w:bCs/>
          <w:b/>
        </w:rPr>
        <w:t xml:space="preserve">P7</w:t>
      </w:r>
      <w:r>
        <w:t xml:space="preserve"> </w:t>
      </w:r>
      <w:r>
        <w:t xml:space="preserve">(49 nền kinh tế — JIBS, under revision): N = 84.910 quan sát, turning point trung bình ~36%, DAI×ICRV (p = ,012), kiểm định tích hợp CDCM đầu tiên ở quy mô liên quốc gia lớn.</w:t>
      </w:r>
      <w:r>
        <w:t xml:space="preserve"> </w:t>
      </w:r>
      <w:r>
        <w:rPr>
          <w:bCs/>
          <w:b/>
        </w:rPr>
        <w:t xml:space="preserve">P8</w:t>
      </w:r>
      <w:r>
        <w:t xml:space="preserve"> </w:t>
      </w:r>
      <w:r>
        <w:t xml:space="preserve">(SIDS — World Development, under revision): boundary condition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xác nhận H1b tại bảy nền kinh tế Pacific SIDS.</w:t>
      </w:r>
      <w:r>
        <w:t xml:space="preserve"> </w:t>
      </w:r>
      <w:r>
        <w:rPr>
          <w:bCs/>
          <w:b/>
        </w:rPr>
        <w:t xml:space="preserve">P9</w:t>
      </w:r>
      <w:r>
        <w:t xml:space="preserve"> </w:t>
      </w:r>
      <w:r>
        <w:t xml:space="preserve">(Ấn Độ — MIR/IJOEM, đang bình duyệt): độ bền ngưỡng I–P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 40,7% →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Tier-2/UPI âm. Kết quả P3–P9 được trình bày chi tiết trong Chương 4 và tích hợp vào bàn luận CDCM trong Chương 5.</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technological capability index; DAI là chỉ số chấp nhận số (digital adoption index) — được hiểu như proxy foundational digital adoption; ICRV là khung phân loại thể chế 6 nhóm được phát triển cho luận án này; WBES là World Bank Enterprise Surveys.</w:t>
      </w:r>
    </w:p>
    <w:p>
      <w:r>
        <w:br w:type="page"/>
      </w:r>
    </w:p>
    <w:bookmarkEnd w:id="47"/>
    <w:bookmarkStart w:id="79"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literature,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2" w:name="các-khái-niệm-cốt-lõi"/>
    <w:p>
      <w:pPr>
        <w:pStyle w:val="Heading2"/>
      </w:pPr>
      <w:r>
        <w:t xml:space="preserve">2.1 Các khái niệm cốt lõi</w:t>
      </w:r>
    </w:p>
    <w:bookmarkStart w:id="48"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w:t>
      </w:r>
      <w:r>
        <w:t xml:space="preserve">— vốn mang nghĩa một xu hướng kinh tế vĩ mô — mà là một thuộc tính đo lường được ở cấp độ doanh nghiệp, phản ánh chiến lược mở rộng quốc tế và mức độ phụ thuộc vào thị trường nước ngoài.</w:t>
      </w:r>
    </w:p>
    <w:p>
      <w:pPr>
        <w:pStyle w:val="BodyText"/>
      </w:pPr>
      <w:r>
        <w:t xml:space="preserve">Trong literature, mức độ quốc tế hóa được vận hành hóa bằng nhiều thước đo khác nhau. Sullivan (1994) đề xuất một chỉ số tổng hợp đa chiều bao gồm tỷ trọng doanh thu từ nước ngoài trên tổng doanh thu (foreign sales to total sales — FSTS), tỷ trọng tài sản ở nước ngoài trên tổng tài sản (foreign assets to total assets — FATA), và phạm vi địa lý (geographic scope). Trong những nghiên cứu sử dụng dữ liệu doanh nghiệp từ các nền kinh tế đang phát triển và từ khảo sát doanh nghiệp của Ngân hàng Thế giới (World Bank Enterprise Surveys —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I–P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48"/>
    <w:bookmarkStart w:id="49"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literature.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 vốn không cung cấp thông tin về giá cổ phiếu hay giá trị thị trường —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robustness để kiểm tra tính nhất quán của kết quả (xem Chương 3,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9"/>
    <w:bookmarkStart w:id="50"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construct: năng lực công nghệ (Technological Capability Index — TCI) và chỉ số chấp nhận số (Digital Adoption Index — DAI). Trong nhiều nghiên cứu trước đây, hai construct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 đây là chiều sâu nội tại của tổ chức, khó sao chép và tạo ra lợi thế bền vững theo tinh thần RBV (Barney, 1991).</w:t>
      </w:r>
    </w:p>
    <w:p>
      <w:pPr>
        <w:pStyle w:val="BodyText"/>
      </w:pPr>
      <w:r>
        <w:t xml:space="preserve">Chỉ số chấp nhận số (Digital Adoption Index — DAI), ngược lại, phản ánh mức độ áp dụng các công cụ số tại giao diện ngoại tại của doanh nghiệp —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proxy</w:t>
      </w:r>
      <w:r>
        <w:t xml:space="preserve"> </w:t>
      </w:r>
      <w:r>
        <w:t xml:space="preserve">“</w:t>
      </w:r>
      <w:r>
        <w:t xml:space="preserve">foundational website adoption</w:t>
      </w:r>
      <w:r>
        <w:t xml:space="preserve">”</w:t>
      </w:r>
      <w:r>
        <w:t xml:space="preserve"> </w:t>
      </w:r>
      <w:r>
        <w:t xml:space="preserve">từ dữ liệu WBES — đây là ràng buộc đo lường có chủ đích do giới hạn của bộ dữ liệu, không phải thiếu sót lý thuyết.</w:t>
      </w:r>
    </w:p>
    <w:p>
      <w:pPr>
        <w:pStyle w:val="BodyText"/>
      </w:pPr>
      <w:r>
        <w:t xml:space="preserve">Hai construct TCI và DAI không đồng nhất và vận hành theo cơ chế khác nhau trong mối quan hệ quốc tế hóa — hiệu quả: TCI hoạt động chủ yếu như một nhân tố nâng mặt bằng hiệu quả (level shifter), trong khi DAI có xu hướng làm thay đổi độ dốc hoặc độ cong của đường quan hệ I–P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0"/>
    <w:bookmarkStart w:id="51"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 Biến thiên chế độ bối cảnh thể chế) được phát triển như một công cụ phân loại có hệ thống. Khung ICRV chia 49 nền kinh tế trong phạm vi nghiên cứu thành sáu nhóm (sub-regime), dựa trên tổ hợp các chỉ số quản trị toàn cầu (World Governance Indicators — WGI) của Kaufmann et al. (2011), mức độ phát triển kinh tế, và đặc trưng cấu trúc thể chế: Nhóm I (Advanced Innovation-Driven, bao gồm Singapore, Hong Kong, Đài Loan, Hàn Quốc), Nhóm II (Advanced Resource-Driven, bao gồm các nền kinh tế vùng Vịnh), Nhóm III (Upper-middle, điển hình là Trung Quốc), Nhóm IV (Lower-middle transition, bao gồm Việt Nam và Ấn Độ), Nhóm V (Emerging), và Nhóm VI (SIDS —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I–P, đặc biệt liên quan đến giả thuyết phi tuyến.</w:t>
      </w:r>
    </w:p>
    <w:p>
      <w:r>
        <w:pict>
          <v:rect style="width:0;height:1.5pt" o:hralign="center" o:hrstd="t" o:hr="t"/>
        </w:pict>
      </w:r>
    </w:p>
    <w:bookmarkEnd w:id="51"/>
    <w:bookmarkEnd w:id="52"/>
    <w:bookmarkStart w:id="58" w:name="các-lý-thuyết-nền"/>
    <w:p>
      <w:pPr>
        <w:pStyle w:val="Heading2"/>
      </w:pPr>
      <w:r>
        <w:t xml:space="preserve">2.2 Các lý thuyết nền</w:t>
      </w:r>
    </w:p>
    <w:bookmarkStart w:id="53"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 tức doanh nghiệp quốc tế hóa ngay từ giai đoạn đầu mà không theo trình tự tuần tự — và platform firms — tức doanh nghiệp công nghệ tận dụng nền tảng số để vươn ra thị trường quốc tế không cần hiện diện vật lý —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bookmarkEnd w:id="53"/>
    <w:bookmarkStart w:id="54" w:name="lý-thuyết-dựa-trên-nguồn-lực"/>
    <w:p>
      <w:pPr>
        <w:pStyle w:val="Heading3"/>
      </w:pPr>
      <w:r>
        <w:t xml:space="preserve">2.2.2 Lý thuyết dựa trên nguồn lực</w:t>
      </w:r>
    </w:p>
    <w:p>
      <w:pPr>
        <w:pStyle w:val="FirstParagraph"/>
      </w:pPr>
      <w:r>
        <w:t xml:space="preserve">Lý thuyết dựa trên nguồn lực (Resource-Based View — RBV) do Wernerfelt (1984) đặt nền và được Barney (1991) hệ thống hóa thành một khung lý thuyết có ảnh hưởng bền vững. RBV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RBV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liability of foreignness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RBV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 theo phân biệt của luận án — được xem là một dạng năng lực động quan trọng, cho phép doanh nghiệp tái cấu hình nguồn lực và mô hình kinh doanh để ứng phó với bất định trong quốc tế hóa (Bhandari et al., 2023; Verhoef et al., 2021). DAI — chỉ số áp dụng số nền tảng (Tier-1 proxy) đo lường sự hiện diện website — phản ánh mức độ chấp nhận kỹ thuật số cơ bản chứ không phải năng lực động theo nghĩa Teece et al. (1997). RBV cung cấp nền lý thuyết trực tiếp cho giả thuyết H2 về vai trò điều tiết của TCI, trong khi H3 về DAI được neo đậu trong Foundational Digital Adoption Framework (Banalieva &amp; Dhanaraj, 2019).</w:t>
      </w:r>
    </w:p>
    <w:bookmarkEnd w:id="54"/>
    <w:bookmarkStart w:id="55"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 cả chính thức lẫn phi chính thức —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 từ hệ thống pháp lý đến thị trường vốn, từ tổ chức đánh giá tín nhiệm đến hiệp hội ngành nghề —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literature về I–P, bằng chứng meta-analytic của Marano et al. (2016) — phân tích 170 nghiên cứu với 32 quốc gia giai đoạn 1972–2012 — cho thấy thể chế quốc gia nguồn điều tiết đáng kể mối quan hệ quốc tế hóa —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bookmarkEnd w:id="55"/>
    <w:bookmarkStart w:id="56"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Upper Echelons Theory có hai hàm ý trực tiếp. Thứ nhất, kinh nghiệm quốc tế của nhà quản trị cấp cao — được đo bằng số năm kinh nghiệm làm việc hoặc học tập ở nước ngoài, hay tiếp xúc với thị trường quốc tế — giúp giảm nhận thức về liability of foreignness và nâng cao khả năng đánh giá cơ hội, quản trị rủi ro ở thị trường quốc tế (Hsu et al., 2013; Sambharya, 1996). Thứ hai, sự đa dạng giới tính trong lãnh đạo — đặc biệt là sự hiện diện của quản trị viên nữ ở các vị trí lãnh đạo —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bookmarkEnd w:id="56"/>
    <w:bookmarkStart w:id="57" w:name="lớp-mở-rộng-digital-capability-lens"/>
    <w:p>
      <w:pPr>
        <w:pStyle w:val="Heading3"/>
      </w:pPr>
      <w:r>
        <w:t xml:space="preserve">2.2.5 Lớp mở rộng: Digital Capability Lens</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systematic review về quốc tế hóa của các doanh nghiệp số, phác thảo các lý thuyết cần điều chỉnh và hướng nghiên cứu tiếp theo.</w:t>
      </w:r>
    </w:p>
    <w:p>
      <w:pPr>
        <w:pStyle w:val="BodyText"/>
      </w:pPr>
      <w:r>
        <w:t xml:space="preserve">Trong luận án, lớp mở rộng về năng lực số đóng vai trò mở rộng RBV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w:t>
      </w:r>
    </w:p>
    <w:p>
      <w:r>
        <w:pict>
          <v:rect style="width:0;height:1.5pt" o:hralign="center" o:hrstd="t" o:hr="t"/>
        </w:pict>
      </w:r>
    </w:p>
    <w:bookmarkEnd w:id="57"/>
    <w:bookmarkEnd w:id="58"/>
    <w:bookmarkStart w:id="63" w:name="tổng-quan-thực-nghiệm"/>
    <w:p>
      <w:pPr>
        <w:pStyle w:val="Heading2"/>
      </w:pPr>
      <w:r>
        <w:t xml:space="preserve">2.3 Tổng quan thực nghiệm</w:t>
      </w:r>
    </w:p>
    <w:bookmarkStart w:id="59" w:name="giai-đoạn-phát-triển-của-literature-ip"/>
    <w:p>
      <w:pPr>
        <w:pStyle w:val="Heading3"/>
      </w:pPr>
      <w:r>
        <w:t xml:space="preserve">2.3.1 Giai đoạn phát triển của literature I–P</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(inverted-U)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w:t>
      </w:r>
    </w:p>
    <w:p>
      <w:pPr>
        <w:pStyle w:val="BodyText"/>
      </w:pPr>
      <w:r>
        <w:t xml:space="preserve">Giai đoạn thứ ba (từ cuối thập niên 2000 đến hiện tại) chuyển trọng tâm sang nghiên cứu các yếu tố điều tiết (moderators) — tức điều kiện bối cảnh làm thay đổi hình dạng, cường độ, hoặc dấu của mối quan hệ I–P. Các moderator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I–P phổ quát — kết quả quốc tế hóa phụ thuộc vào điều kiện cụ thể của doanh nghiệp, ngành và quốc gia (Arte &amp; Larimo, 2022).</w:t>
      </w:r>
    </w:p>
    <w:bookmarkEnd w:id="59"/>
    <w:bookmarkStart w:id="60" w:name="bằng-chứng-meta-analytic"/>
    <w:p>
      <w:pPr>
        <w:pStyle w:val="Heading3"/>
      </w:pPr>
      <w:r>
        <w:t xml:space="preserve">2.3.2 Bằng chứng meta-analytic</w:t>
      </w:r>
    </w:p>
    <w:p>
      <w:pPr>
        <w:pStyle w:val="FirstParagraph"/>
      </w:pPr>
      <w:r>
        <w:t xml:space="preserve">Một trong những đóng góp quan trọng nhất trong giai đoạn gần đây là sự phát triển của các meta-analyses về I–P relationship, cho phép tổng hợp và định lượng hóa kết quả từ hàng trăm nghiên cứu thực nghiệm riêng lẻ. Tổng hợp từ các meta-analyses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moderator là nguồn giải thích chủ yếu cho sự khác biệt. Kirca et al. (2012) mở rộng pool lên 154 mẫu và tìm thấy tác động tổng hợp tương tự, đồng thời xác nhận vai trò của bối cảnh quốc gia và ngành. Marano et al. (2016) — nghiên cứu meta-analytic toàn diện nhất trong literature với 170 nghiên cứu và 32 quốc gia — tìm thấy r ≈ 0,07–0,13 và chứng minh rằng thể chế quốc gia nguồn là moderator quan trọng nhất trong tất cả các biến bối cảnh được kiểm định. Wu et al. (2022) cập nhật với pool 218 effect sizes tập trung vào các emerging market multinationals (EMNEs) và tìm thấy mô hình moderator tương tự. Tại hội nghị ICBEF 2024, kết quả sơ bộ từ pool nghiên cứu về châu Á với k = 113 nghiên cứu cho thấy r = 0,07 — nhất quán với các meta-analyses toàn cầu nhưng cụ thể hơn về bối cảnh châu Á. Luận án này mở rộng pool đó thông qua Nghiên cứu P6 — một meta-analysis ba tầng (three-level MARA) với k = 238 nghiên cứu và K = 288 effect sizes từ châu Á và Thái Bình Dương, ước lượng r̄ = 0,074 [KTC 95%: 0,060; 0,088], I² = 62,4%, Q_M(ICRV) = 17,35 (df = 4, p = ,002). Kết quả này xác nhận tác động tổng hợp dương nhỏ nhưng bền vững, đồng thời chứng minh rằng gradient ICRV — turning point giảm dần khi chuyển từ thể chế yếu sang thể chế mạnh — là moderator thực chất của mối quan hệ I–P trong bối cảnh châu Á (nghiên cứu thành phần P6).</w:t>
      </w:r>
    </w:p>
    <w:p>
      <w:pPr>
        <w:pStyle w:val="BodyText"/>
      </w:pPr>
      <w:r>
        <w:t xml:space="preserve">Nhìn chung, bằng chứng meta-analytic cho thấy ba kết luận quan trọng: tác động tổng hợp của quốc tế hóa lên hiệu quả là dương nhưng khiêm tốn; mức dị biệt cực kỳ cao; và các moderator bối cảnh — đặc biệt là thể chế quốc gia, năng lực doanh nghiệp, và đặc điểm ngành — là những nguồn giải thích chính cho sự khác biệt giữa các nghiên cứu. Đây là luận điểm cơ bản biện hộ cho sự cần thiết của một khung giải thích đa tầng.</w:t>
      </w:r>
    </w:p>
    <w:bookmarkEnd w:id="60"/>
    <w:bookmarkStart w:id="61"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literature I–P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nghiên cứu thành phần P1 là nghiên cứu thực nghiệm multi-country quy mô lớn nhất hiện có về I–P trong bối cảnh châu Á mới nổi, phân tích 40.633 doanh nghiệp từ 17 nền kinh tế châu Á sử dụng dữ liệu WBES. Nghiên cứu tìm thấy: (i) tồn tại phân tầng năng suất rõ rệt giữa nhóm Chinese economies, South Asia và ASEAN, phản ánh sự dị biệt thể chế và năng lực giữa các nhóm; (ii) việc áp dụng công nghệ vừa làm tăng năng suất lao động trực tiếp vừa làm suy giảm đáng kể tác động bất lợi của các rào cản thể chế — phát hiện được gọi là</w:t>
      </w:r>
      <w:r>
        <w:t xml:space="preserve"> </w:t>
      </w:r>
      <w:r>
        <w:t xml:space="preserve">“</w:t>
      </w:r>
      <w:r>
        <w:t xml:space="preserve">hiệu ứng lá chắn số</w:t>
      </w:r>
      <w:r>
        <w:t xml:space="preserve">”</w:t>
      </w:r>
      <w:r>
        <w:t xml:space="preserve"> </w:t>
      </w:r>
      <w:r>
        <w:t xml:space="preserve">(digital shield effect). Nghiên cứu thành phần P2 kiểm định cụ thể với dữ liệu doanh nghiệp Trung Quốc và tìm thấy cấu trúc cubic inverted-U với ngưỡng FSTS tối ưu khoảng 47,8% — tức điểm turning point khá thấp so với các nền kinh tế tiên tiến. Luận án kế thừa và mở rộng các kết quả này trên pool đầy đủ 49 nền kinh tế (bao gồm 7 nền kinh tế đảo nhỏ Thái Bình Dương (mẫu chính; 9 nền khi mở rộng robustness)).</w:t>
      </w:r>
    </w:p>
    <w:p>
      <w:pPr>
        <w:pStyle w:val="BodyText"/>
      </w:pPr>
      <w:r>
        <w:t xml:space="preserve">Phần lớn các nghiên cứu về I–P trong bối cảnh châu Á tập trung vào Nhật Bản, Hàn Quốc, Đài Loan, và Trung Quốc — trong khi các nền kinh tế chuyển đổi như Việt Nam, Campuchia, Bangladesh, và đặc biệt là các SIDS, về cơ bản thiếu vắng trong literature. Sự thiếu đại diện này tạo ra khoảng trống nghiêm trọng trong khả năng khái quát hóa lý thuyết, vì các nền kinh tế frontier và SIDS có thể là địa điểm quan trọng để kiểm định điều kiện biên (boundary conditions) của các lý thuyết về I–P.</w:t>
      </w:r>
    </w:p>
    <w:bookmarkEnd w:id="61"/>
    <w:bookmarkStart w:id="62" w:name="X732d7d1b7e90f1451ce2bd542fd674aab0604d1"/>
    <w:p>
      <w:pPr>
        <w:pStyle w:val="Heading3"/>
      </w:pPr>
      <w:r>
        <w:t xml:space="preserve">2.3.4 Vai trò của năng lực số trong mối quan hệ I–P</w:t>
      </w:r>
    </w:p>
    <w:p>
      <w:pPr>
        <w:pStyle w:val="FirstParagraph"/>
      </w:pPr>
      <w:r>
        <w:t xml:space="preserve">Sự tích hợp giữa nghiên cứu về năng lực số và I–P relationship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I–P,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r>
        <w:pict>
          <v:rect style="width:0;height:1.5pt" o:hralign="center" o:hrstd="t" o:hr="t"/>
        </w:pict>
      </w:r>
    </w:p>
    <w:bookmarkEnd w:id="62"/>
    <w:bookmarkEnd w:id="63"/>
    <w:bookmarkStart w:id="64"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heterogeneity trong I–P relationship.</w:t>
      </w:r>
      <w:r>
        <w:t xml:space="preserve"> </w:t>
      </w:r>
      <w:r>
        <w:t xml:space="preserve">Các meta-analyses nhất quán cho thấy I² &gt; 80% — tức hơn 80% biến thiên trong effect size không được giải thích bởi sai số ngẫu nhiên mà bởi sự khác biệt có hệ thống giữa các bối cảnh (Bausch &amp; Krist, 2007; Marano et al., 2016). Tuy nhiên, hầu hết các nghiên cứu thực nghiệm hiện tại chỉ kiểm định một hoặc hai moderator từ một lý thuyết đơn lẻ, không có khả năng giải thích đồng thời heterogeneity do bối cảnh thể chế, năng lực doanh nghiệp, và đặc điểm lãnh đạo tạo ra. Không có lý thuyết đơn lẻ nào — dù là Uppsala, RBV, Institutional Theory, hay Upper Echelons Theory — đủ để giải thích đầy đủ sự phức tạp của I–P relationship trong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không hợp lý giữa TCI và DAI trong phần lớn literature trước.</w:t>
      </w:r>
      <w:r>
        <w:t xml:space="preserve"> </w:t>
      </w:r>
      <w:r>
        <w:t xml:space="preserve">Phần lớn các nghiên cứu về năng lực số trong bối cảnh I–P hoặc là không đo lường năng lực số, hoặc là gộp tất cả các chỉ báo số vào một composite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cross-country quy mô lớn, toàn diện và có cấu trúc cho bối cảnh châu Á.</w:t>
      </w:r>
      <w:r>
        <w:t xml:space="preserve"> </w:t>
      </w:r>
      <w:r>
        <w:t xml:space="preserve">Mặc dù châu Á là khu vực kinh tế năng động và đa dạng nhất thế giới, literature về I–P vẫn thiếu bằng chứng đa quốc gia bao quát đủ rộng để kiểm định khả năng tổng quát hóa của các lý thuyết. Pool 17 nước của nghiên cứu thành phần P1 là baseline lớn nhất hiện có trong literature về châu Á, nhưng vẫn chưa bao gồm các nền kinh tế frontier và SIDS — những địa điểm cực kỳ quan trọng để kiểm định boundary conditions. Thiếu vắng các bằng chứng này khiến cho các lý thuyết về I–P — vốn được xây dựng chủ yếu trên dữ liệu từ Nhật Bản, Hàn Quốc, và các nền kinh tế tiên tiến — có nguy cơ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(multi-tier integrated framework) trên dữ liệu đa quốc gia đủ rộng và đủ đa dạng về thể chế để bao phủ toàn bộ gradient thể chế của châu Á. Luận án đề xuất khung CDCM (Context-Contingent Digital-and-Capability Model) — là khung lý thuyết tích hợp đa tầng kết hợp bối cảnh thể chế (tầng vĩ mô, vận hành hóa bằng ICRV), năng lực doanh nghiệp với TCI và DAI riêng biệt (tầng tổ chức), đặc điểm nhà quản trị cấp cao (tầng cá nhân), và lớp mở rộng digital capability lens. Trong khung này, FSTS là biến độc lập chính và hiệu quả doanh nghiệp (labor productivity) là biến phụ thuộc.</w:t>
      </w:r>
    </w:p>
    <w:p>
      <w:pPr>
        <w:pStyle w:val="BodyText"/>
      </w:pPr>
      <w:r>
        <w:rPr>
          <w:bCs/>
          <w:b/>
        </w:rPr>
        <w:t xml:space="preserve">Từ khoảng trống đến Nghiên cứu P7 — Kiểm định CDCM trên 49 nền kinh tế châu Á.</w:t>
      </w:r>
      <w:r>
        <w:t xml:space="preserve"> </w:t>
      </w:r>
      <w:r>
        <w:t xml:space="preserve">Khoảng trống thứ nhất và thứ ba hội tụ vào một câu hỏi kiểm định trực tiếp: liệu CDCM có thể giải thích đồng thời heterogeneity I–P khi kiểm soát đầy đủ cả ba tầng trong một mô hình tích hợp ở quy mô đủ rộng để bao phủ toàn bộ gradient ICRV không? Literature hiện tại chưa có bằng chứng kiểm định đồng thời năm moderator chính (TCI, DAI, kinh nghiệm quản trị, giới tính nhà quản trị, ICRV) trong một mô hình hồi quy đơn lẻ trên dữ liệu đa quốc gia quy mô lớn. Nghiên cứu thành phần P7 lấp đầy khoảng trống này bằng dữ liệu WBES từ 49 nền kinh tế (mẫu phân tích 91.982 doanh nghiệp; N hồi quy mô hình đầy đủ = 84.910 sau loại bỏ listwise các biến điều tiết, 102 country-year waves), bao phủ toàn bộ gradient ICRV từ nhóm tiên tiến đến SIDS, kiểm định đồng thời H1–H6 với country-year fixed effects. Kết quả turning point trung bình ~36% FSTS tại P7 — thấp hơn P3 Vietnam (~40%) và P5 Trung Quốc (~49%) — xác nhận ICRV điều tiết vị trí turning point theo gradient dự đoán lý thuyết, đóng góp bằng chứng kiểm định tích hợp đầu tiên cho CDCM ở cấp độ liên quốc gia quy mô lớn.</w:t>
      </w:r>
    </w:p>
    <w:p>
      <w:pPr>
        <w:pStyle w:val="BodyText"/>
      </w:pPr>
      <w:r>
        <w:rPr>
          <w:bCs/>
          <w:b/>
        </w:rPr>
        <w:t xml:space="preserve">Từ khoảng trống đến Nghiên cứu P8 — Kiểm định điều kiện biên FIP tại SIDS.</w:t>
      </w:r>
      <w:r>
        <w:t xml:space="preserve"> </w:t>
      </w:r>
      <w:r>
        <w:t xml:space="preserve">Khoảng trống thứ ba không chỉ đòi hỏi mở rộng phạm vi địa lý mà còn đòi hỏi kiểm định điều kiện biên lý thuyết cực trị: liệu có tồn tại bối cảnh nơi inverted-U hoàn toàn sụp đổ thành quan hệ âm đơn điệu? Không có nghiên cứu nào trong literature I–P hiện tại kiểm định</w:t>
      </w:r>
      <w:r>
        <w:t xml:space="preserve"> </w:t>
      </w:r>
      <w:r>
        <w:t xml:space="preserve">“</w:t>
      </w:r>
      <w:r>
        <w:t xml:space="preserve">Forced Internationalization Penalty</w:t>
      </w:r>
      <w:r>
        <w:t xml:space="preserve">”</w:t>
      </w:r>
      <w:r>
        <w:t xml:space="preserve"> </w:t>
      </w:r>
      <w:r>
        <w:t xml:space="preserve">(FIP) — bối cảnh mà quốc tế hóa là gánh nặng sinh tồn, không phải lựa chọn chiến lược dựa trên lợi thế cạnh tranh. Nghiên cứu thành phần P8 — Nghiên cứu P8 — kiểm định H1b bằng dữ liệu WBES từ các nền kinh tế SIDS (Fiji, Papua New Guinea, Solomon Islands, Tonga, Vanuatu, Samoa, Kiribati), nơi ba điều kiện cấu trúc cơ bản của inverted-U đồng thời bị vi phạm: thị trường nội địa cực nhỏ, chi phí logistics cao bất thường, và hỗ trợ thể chế cho xuất khẩu gần như không tồn tại. Kết quả P8 xác định boundary condition cực trị của CDCM: điểm nơi lý thuyết đường cong chữ U ngược không còn ứng dụng được.</w:t>
      </w:r>
    </w:p>
    <w:p>
      <w:r>
        <w:pict>
          <v:rect style="width:0;height:1.5pt" o:hralign="center" o:hrstd="t" o:hr="t"/>
        </w:pict>
      </w:r>
    </w:p>
    <w:bookmarkEnd w:id="64"/>
    <w:bookmarkStart w:id="77" w:name="mô-hình-nghiên-cứu-và-hệ-giả-thuyết"/>
    <w:p>
      <w:pPr>
        <w:pStyle w:val="Heading2"/>
      </w:pPr>
      <w:r>
        <w:t xml:space="preserve">2.5 Mô hình nghiên cứu và hệ giả thuyết</w:t>
      </w:r>
    </w:p>
    <w:bookmarkStart w:id="68"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 bối cảnh thể chế — được vận hành hóa bằng khung ICRV với sáu sub-regime theo gradient từ Advanced Innovation-Driven đến SIDS. Ở tầng này, ICRV điều tiết mối quan hệ I–P thông qua hai cơ chế: (i) mức độ khoảng trống thể chế (institutional voids) ảnh hưởng đến chi phí giao dịch xuyên biên giới; và (ii) chất lượng thể chế ảnh hưởng đến khả năng doanh nghiệp khai thác lợi ích từ quốc tế hóa. Ở các nền kinh tế frontier và SIDS, khoảng trống thể chế cực kỳ lớn có thể đảo ngược quan hệ I–P, biến lợi ích tiềm năng thành tổn thất thực tế (nghiên cứu thành phần P8).</w:t>
      </w:r>
    </w:p>
    <w:p>
      <w:pPr>
        <w:pStyle w:val="BodyText"/>
      </w:pPr>
      <w:r>
        <w:t xml:space="preserve">Tầng tổ chức — năng lực doanh nghiệp — bao gồm TCI và DAI như hai moderator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turning point sang phải và kéo dài giai đoạn lợi ích dương của quan hệ I–P.</w:t>
      </w:r>
    </w:p>
    <w:p>
      <w:pPr>
        <w:pStyle w:val="BodyText"/>
      </w:pPr>
      <w:r>
        <w:t xml:space="preserve">Tầng cá nhân — đặc điểm nhà quản trị cấp cao — bao gồm kinh nghiệm quản trị và giới tính nhà quản trị như các moderator vi mô. Kinh nghiệm quốc tế của nhà quản trị giảm chi phí nhận thức của liability of foreignness;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I–P (turning point của inverted-U)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3558086"/>
            <wp:effectExtent b="0" l="0" r="0" t="0"/>
            <wp:docPr descr="Hình 2.1. Khung khái niệm tích hợp đa tầng CDCM cho quan hệ Quốc tế hóa–Hiệu quả tại châu Á" title="" id="66" name="Picture"/>
            <a:graphic>
              <a:graphicData uri="http://schemas.openxmlformats.org/drawingml/2006/picture">
                <pic:pic>
                  <pic:nvPicPr>
                    <pic:cNvPr descr="figures/fig_2_1_cdcm_conceptual_model.png" id="67" name="Picture"/>
                    <pic:cNvPicPr>
                      <a:picLocks noChangeArrowheads="1" noChangeAspect="1"/>
                    </pic:cNvPicPr>
                  </pic:nvPicPr>
                  <pic:blipFill>
                    <a:blip r:embed="rId65"/>
                    <a:stretch>
                      <a:fillRect/>
                    </a:stretch>
                  </pic:blipFill>
                  <pic:spPr bwMode="auto">
                    <a:xfrm>
                      <a:off x="0" y="0"/>
                      <a:ext cx="5753100" cy="3558086"/>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 quan hệ phi tuyến chữ U ngược); mũi tên đứt thể hiện tác động điều tiết của ba tầng (thể chế ICRV — H5; năng lực số TCI/DAI — H2, H3; đặc điểm nhà quản trị — H4); mũi tên chấm thể hiện điều kiện biên FIP (H1b) tại nhóm SIDS. Biến kiểm soát không thể hiện để giữ rõ ràng.</w:t>
      </w:r>
      <w:r>
        <w:t xml:space="preserve"> </w:t>
      </w:r>
      <w:r>
        <w:rPr>
          <w:iCs/>
          <w:i/>
        </w:rPr>
        <w:t xml:space="preserve">Nguồn: tác giả xây dựng dựa trên Uppsala, RBV, lý thuyết thể chế, lý thuyết thượng tầng quản trị và digital capability lens.</w:t>
      </w:r>
    </w:p>
    <w:bookmarkEnd w:id="68"/>
    <w:bookmarkStart w:id="69"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RBV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turning point tối ưu trước khi chi phí điều phối và bất định vượt qua lợi ích từ mở rộng thị trường quốc tế. Cơ sở lý thuyết trực tiếp bao gồm mô hình S-curve của Lu và Beamish (2004), lý thuyết ba giai đoạn của Contractor et al. (2003), và bằng chứng inverted-U ban đầu của Hitt et al. (1997).</w:t>
      </w:r>
    </w:p>
    <w:bookmarkEnd w:id="69"/>
    <w:bookmarkStart w:id="70"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I–P không chỉ mất đi phần lợi ích giai đoạn đầu của chữ U ngược mà có thể chuyển thành</w:t>
      </w:r>
      <w:r>
        <w:t xml:space="preserve"> </w:t>
      </w:r>
      <w:r>
        <w:rPr>
          <w:bCs/>
          <w:b/>
        </w:rPr>
        <w:t xml:space="preserve">quan hệ âm đơn điệu không có điểm uốn</w:t>
      </w:r>
      <w:r>
        <w:t xml:space="preserve"> </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w:t>
      </w:r>
      <w:r>
        <w:t xml:space="preserve">— không có điểm turning point trong phạm vi dữ liệu — phản ánh gánh nặng quốc tế hóa bắt buộc (Forced Internationalization Penalty — FIP) nơi doanh nghiệp xuất khẩu để sinh tồn chứ không phải để khai thác lợi thế cạnh tranh. Cơ sở lý thuyết bao gồm Institutional Theory (North, 1990), lý thuyết chi phí giao dịch (Williamson, 1985), Khanna và Palepu (2010) về institutional voids, và Lall (2004) về SIDS structural constraints.</w:t>
      </w:r>
    </w:p>
    <w:bookmarkEnd w:id="70"/>
    <w:bookmarkStart w:id="71" w:name="X4e283c765855921a9a0bf70a9d0a980f4bd502f"/>
    <w:p>
      <w:pPr>
        <w:pStyle w:val="Heading3"/>
      </w:pPr>
      <w:r>
        <w:t xml:space="preserve">2.5.3 Giả thuyết H2: Điều tiết bởi năng lực công nghệ (TCI)</w:t>
      </w:r>
    </w:p>
    <w:p>
      <w:pPr>
        <w:pStyle w:val="FirstParagraph"/>
      </w:pPr>
      <w:r>
        <w:t xml:space="preserve">Dựa trên RBV (Barney, 1991) và lý thuyết năng lực động (Teece et al., 1997), năng lực công nghệ là một nguồn lực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I–P lên cao hơn và có thể điều chỉnh vị trí của điểm turning point. Cơ sở lý thuyết bao gồm Barney (1991), Teece et al. (1997), và Bhandari et al. (2023).</w:t>
      </w:r>
    </w:p>
    <w:bookmarkEnd w:id="71"/>
    <w:bookmarkStart w:id="72"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I–P, với vai trò bổ trợ rõ rệt hơn ở mức export intensity cao khi DAI giúp giảm chi phí phối hợp giao dịch xuyên biên giới — theo đó DAI làm thay đổi độ dốc của đường quan hệ I–P chứ không nhất thiết nâng mặt bằng hiệu quả như TCI. Cơ sở lý thuyết bao gồm Verhoef et al. (2021), Stallkamp và Schotter (2021), và Bustamante et al. (2022). Sự phân biệt cơ chế tác động giữa H2 và H3 là đóng góp lý thuyết quan trọng, cho phép phân tách TCI và DAI trong mô hình hồi quy thực nghiệm.</w:t>
      </w:r>
    </w:p>
    <w:bookmarkEnd w:id="72"/>
    <w:bookmarkStart w:id="73" w:name="X23e235aa1540adf65664378accbc0b6a13fdffd"/>
    <w:p>
      <w:pPr>
        <w:pStyle w:val="Heading3"/>
      </w:pPr>
      <w:r>
        <w:t xml:space="preserve">2.5.5 Giả thuyết H4: Điều tiết bởi đặc điểm nhà quản trị cấp cao</w:t>
      </w:r>
    </w:p>
    <w:p>
      <w:pPr>
        <w:pStyle w:val="FirstParagraph"/>
      </w:pPr>
      <w:r>
        <w:t xml:space="preserve">Dựa trên Upper Echelons Theory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hóa–hiệu quả (Phan, Do, &amp; Phan, 2020; Phan et al., 2021; Do &amp; Phan, 2025).</w:t>
      </w:r>
    </w:p>
    <w:bookmarkEnd w:id="73"/>
    <w:bookmarkStart w:id="74" w:name="X1090b4891c9abf48d7aab0f24d22e9d66d1b02d"/>
    <w:p>
      <w:pPr>
        <w:pStyle w:val="Heading3"/>
      </w:pPr>
      <w:r>
        <w:t xml:space="preserve">2.5.6 Giả thuyết H5: Điều tiết bởi bối cảnh thể chế (ICRV)</w:t>
      </w:r>
    </w:p>
    <w:p>
      <w:pPr>
        <w:pStyle w:val="FirstParagraph"/>
      </w:pPr>
      <w:r>
        <w:t xml:space="preserve">Trên cơ sở Institutional Theory (North, 1990; Khanna &amp; Palepu, 2010), chất lượng thể chế tạo ra chi phí giao dịch và rủi ro khác nhau, do đó điều tiết đáng kể mối quan hệ I–P. Giả thuyết H5 được phát biểu như sau. Chất lượng thể chế theo khung ICRV điều tiết tác động của các rào cản thể chế (institutional obstacles) lên hiệu quả hoạt động trong quá trình quốc tế hóa, với chỉ số chấp nhận số (DAI) đóng vai trò</w:t>
      </w:r>
      <w:r>
        <w:t xml:space="preserve"> </w:t>
      </w:r>
      <w:r>
        <w:t xml:space="preserve">“</w:t>
      </w:r>
      <w:r>
        <w:t xml:space="preserve">lá chắn số</w:t>
      </w:r>
      <w:r>
        <w:t xml:space="preserve">”</w:t>
      </w:r>
      <w:r>
        <w:t xml:space="preserve"> </w:t>
      </w:r>
      <w:r>
        <w:t xml:space="preserve">(digital shield) giúp bù đắp một phần khoảng trống thể chế; cường độ điều tiết này giảm dần theo gradient ICRV từ các nền kinh tế frontier (Nhóm V–VI, điều tiết mạnh nhất) đến các nền kinh tế tiên tiến (Nhóm I, điều tiết yếu nhất). Cơ sở lý thuyết bao gồm North (1990), Khanna và Palepu (2010), và Marano et al. (2016).</w:t>
      </w:r>
    </w:p>
    <w:bookmarkEnd w:id="74"/>
    <w:bookmarkStart w:id="75" w:name="Xef57ba07d4a873fdbd0fe03fe237e0edc9cc461"/>
    <w:p>
      <w:pPr>
        <w:pStyle w:val="Heading3"/>
      </w:pPr>
      <w:r>
        <w:t xml:space="preserve">2.5.7 Giả thuyết H6: Dị biệt thời gian trong quan hệ I–P</w:t>
      </w:r>
    </w:p>
    <w:p>
      <w:pPr>
        <w:pStyle w:val="FirstParagraph"/>
      </w:pPr>
      <w:r>
        <w:t xml:space="preserve">Dựa trên quan sát về tốc độ chuyển đổi số và thay đổi thể chế rất nhanh ở một số nền kinh tế châu Á, đặc biệt Trung Quốc, quan hệ I–P không nhất thiết ổn định theo thời gian. Giả thuyết H6 được phát biểu như sau. Hình dạng phi tuyến của quan hệ I–P — cụ thể là vị trí của điểm turning point và độ cong của đường quan hệ —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 Bằng chứng từ nghiên cứu thành phần P2 về sự ổn định tương đối của turning point Trung Quốc giữa 2012 và 2024 (Paternoster z = +0,82, p = .412, không bác bỏ bằng nhau) cung cấp cơ sở thực nghiệm bổ sung cho việc kiểm định H6 ở cấp độ luận án.</w:t>
      </w:r>
    </w:p>
    <w:p>
      <w:r>
        <w:pict>
          <v:rect style="width:0;height:1.5pt" o:hralign="center" o:hrstd="t" o:hr="t"/>
        </w:pict>
      </w:r>
    </w:p>
    <w:bookmarkEnd w:id="75"/>
    <w:bookmarkStart w:id="76" w:name="Xf335a697a9ee7a16b4b110396196a58c357e907"/>
    <w:p>
      <w:pPr>
        <w:pStyle w:val="Heading3"/>
      </w:pPr>
      <w:r>
        <w:t xml:space="preserve">2.5.8 Ánh xạ giả thuyết và các nghiên cứu thành phần</w:t>
      </w:r>
    </w:p>
    <w:p>
      <w:pPr>
        <w:pStyle w:val="FirstParagraph"/>
      </w:pPr>
      <w:r>
        <w:t xml:space="preserve">Luận án được phát triển gắn với một chuỗi nghiên cứu thành phần (ký hiệu P1–P8), mỗi nghiên cứu kiểm định một phần của hệ giả thuyết H1–H6 và điều kiện biên H1b trong một bối cảnh thể chế cụ thể. Bảng 2.1 ánh xạ các nghiên cứu thành phần với chương trình bày kết quả và các giả thuyết tương ứng.</w:t>
      </w:r>
    </w:p>
    <w:p>
      <w:pPr>
        <w:pStyle w:val="BodyText"/>
      </w:pPr>
      <w:r>
        <w:rPr>
          <w:bCs/>
          <w:b/>
        </w:rPr>
        <w:t xml:space="preserve">Bảng 2.1.</w:t>
      </w:r>
      <w:r>
        <w:t xml:space="preserve"> </w:t>
      </w:r>
      <w:r>
        <w:rPr>
          <w:iCs/>
          <w:i/>
        </w:rPr>
        <w:t xml:space="preserve">Ánh xạ nghiên cứu thành phần — chương —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P1–P2 (meta baseline, ICBEF 2024)</w:t>
            </w:r>
          </w:p>
        </w:tc>
        <w:tc>
          <w:tcPr/>
          <w:p>
            <w:pPr>
              <w:pStyle w:val="Compact"/>
              <w:jc w:val="left"/>
            </w:pPr>
            <w:r>
              <w:t xml:space="preserve">Toàn cầu/châu Á</w:t>
            </w:r>
          </w:p>
        </w:tc>
        <w:tc>
          <w:tcPr/>
          <w:p>
            <w:pPr>
              <w:pStyle w:val="Compact"/>
              <w:jc w:val="left"/>
            </w:pPr>
            <w:r>
              <w:t xml:space="preserve">§2.3.2; §4.2</w:t>
            </w:r>
          </w:p>
        </w:tc>
        <w:tc>
          <w:tcPr/>
          <w:p>
            <w:pPr>
              <w:pStyle w:val="Compact"/>
              <w:jc w:val="left"/>
            </w:pPr>
            <w:r>
              <w:t xml:space="preserve">Nền tảng cho H1, H5</w:t>
            </w:r>
          </w:p>
        </w:tc>
      </w:tr>
      <w:tr>
        <w:tc>
          <w:tcPr/>
          <w:p>
            <w:pPr>
              <w:pStyle w:val="Compact"/>
              <w:jc w:val="left"/>
            </w:pPr>
            <w:r>
              <w:t xml:space="preserve">P3 — Việt Nam</w:t>
            </w:r>
          </w:p>
        </w:tc>
        <w:tc>
          <w:tcPr/>
          <w:p>
            <w:pPr>
              <w:pStyle w:val="Compact"/>
              <w:jc w:val="left"/>
            </w:pPr>
            <w:r>
              <w:t xml:space="preserve">Lower-middle transition (Nhóm IV)</w:t>
            </w:r>
          </w:p>
        </w:tc>
        <w:tc>
          <w:tcPr/>
          <w:p>
            <w:pPr>
              <w:pStyle w:val="Compact"/>
              <w:jc w:val="left"/>
            </w:pPr>
            <w:r>
              <w:t xml:space="preserve">§4.5</w:t>
            </w:r>
          </w:p>
        </w:tc>
        <w:tc>
          <w:tcPr/>
          <w:p>
            <w:pPr>
              <w:pStyle w:val="Compact"/>
              <w:jc w:val="left"/>
            </w:pPr>
            <w:r>
              <w:t xml:space="preserve">H1, H2, H3</w:t>
            </w:r>
          </w:p>
        </w:tc>
      </w:tr>
      <w:tr>
        <w:tc>
          <w:tcPr/>
          <w:p>
            <w:pPr>
              <w:pStyle w:val="Compact"/>
              <w:jc w:val="left"/>
            </w:pPr>
            <w:r>
              <w:t xml:space="preserve">P4 — Singapore</w:t>
            </w:r>
          </w:p>
        </w:tc>
        <w:tc>
          <w:tcPr/>
          <w:p>
            <w:pPr>
              <w:pStyle w:val="Compact"/>
              <w:jc w:val="left"/>
            </w:pPr>
            <w:r>
              <w:t xml:space="preserve">Advanced đổi mới (Nhóm I)</w:t>
            </w:r>
          </w:p>
        </w:tc>
        <w:tc>
          <w:tcPr/>
          <w:p>
            <w:pPr>
              <w:pStyle w:val="Compact"/>
              <w:jc w:val="left"/>
            </w:pPr>
            <w:r>
              <w:t xml:space="preserve">§4.3</w:t>
            </w:r>
          </w:p>
        </w:tc>
        <w:tc>
          <w:tcPr/>
          <w:p>
            <w:pPr>
              <w:pStyle w:val="Compact"/>
              <w:jc w:val="left"/>
            </w:pPr>
            <w:r>
              <w:t xml:space="preserve">H1, H3</w:t>
            </w:r>
          </w:p>
        </w:tc>
      </w:tr>
      <w:tr>
        <w:tc>
          <w:tcPr/>
          <w:p>
            <w:pPr>
              <w:pStyle w:val="Compact"/>
              <w:jc w:val="left"/>
            </w:pPr>
            <w:r>
              <w:t xml:space="preserve">P5 — Trung Quốc 2012–2024</w:t>
            </w:r>
          </w:p>
        </w:tc>
        <w:tc>
          <w:tcPr/>
          <w:p>
            <w:pPr>
              <w:pStyle w:val="Compact"/>
              <w:jc w:val="left"/>
            </w:pPr>
            <w:r>
              <w:t xml:space="preserve">Upper-middle (Nhóm III)</w:t>
            </w:r>
          </w:p>
        </w:tc>
        <w:tc>
          <w:tcPr/>
          <w:p>
            <w:pPr>
              <w:pStyle w:val="Compact"/>
              <w:jc w:val="left"/>
            </w:pPr>
            <w:r>
              <w:t xml:space="preserve">§4.4</w:t>
            </w:r>
          </w:p>
        </w:tc>
        <w:tc>
          <w:tcPr/>
          <w:p>
            <w:pPr>
              <w:pStyle w:val="Compact"/>
              <w:jc w:val="left"/>
            </w:pPr>
            <w:r>
              <w:t xml:space="preserve">H1, H6</w:t>
            </w:r>
          </w:p>
        </w:tc>
      </w:tr>
      <w:tr>
        <w:tc>
          <w:tcPr/>
          <w:p>
            <w:pPr>
              <w:pStyle w:val="Compact"/>
              <w:jc w:val="left"/>
            </w:pPr>
            <w:r>
              <w:t xml:space="preserve">P6 — Meta-analysis ba tầng</w:t>
            </w:r>
          </w:p>
        </w:tc>
        <w:tc>
          <w:tcPr/>
          <w:p>
            <w:pPr>
              <w:pStyle w:val="Compact"/>
              <w:jc w:val="left"/>
            </w:pPr>
            <w:r>
              <w:t xml:space="preserve">Toàn bộ literature</w:t>
            </w:r>
          </w:p>
        </w:tc>
        <w:tc>
          <w:tcPr/>
          <w:p>
            <w:pPr>
              <w:pStyle w:val="Compact"/>
              <w:jc w:val="left"/>
            </w:pPr>
            <w:r>
              <w:t xml:space="preserve">§4.2</w:t>
            </w:r>
          </w:p>
        </w:tc>
        <w:tc>
          <w:tcPr/>
          <w:p>
            <w:pPr>
              <w:pStyle w:val="Compact"/>
              <w:jc w:val="left"/>
            </w:pPr>
            <w:r>
              <w:t xml:space="preserve">H1, H5</w:t>
            </w:r>
          </w:p>
        </w:tc>
      </w:tr>
      <w:tr>
        <w:tc>
          <w:tcPr/>
          <w:p>
            <w:pPr>
              <w:pStyle w:val="Compact"/>
              <w:jc w:val="left"/>
            </w:pPr>
            <w:r>
              <w:t xml:space="preserve">P7 — Capstone đa quốc gia (49 nền kinh tế)</w:t>
            </w:r>
          </w:p>
        </w:tc>
        <w:tc>
          <w:tcPr/>
          <w:p>
            <w:pPr>
              <w:pStyle w:val="Compact"/>
              <w:jc w:val="left"/>
            </w:pPr>
            <w:r>
              <w:t xml:space="preserve">Toàn bộ gradient ICRV</w:t>
            </w:r>
          </w:p>
        </w:tc>
        <w:tc>
          <w:tcPr/>
          <w:p>
            <w:pPr>
              <w:pStyle w:val="Compact"/>
              <w:jc w:val="left"/>
            </w:pPr>
            <w:r>
              <w:t xml:space="preserve">§4.6</w:t>
            </w:r>
          </w:p>
        </w:tc>
        <w:tc>
          <w:tcPr/>
          <w:p>
            <w:pPr>
              <w:pStyle w:val="Compact"/>
              <w:jc w:val="left"/>
            </w:pPr>
            <w:r>
              <w:t xml:space="preserve">H1, H2, H3, H4, H5 (và tương tác tổng hợp ba chiều)</w:t>
            </w:r>
          </w:p>
        </w:tc>
      </w:tr>
      <w:tr>
        <w:tc>
          <w:tcPr/>
          <w:p>
            <w:pPr>
              <w:pStyle w:val="Compact"/>
              <w:jc w:val="left"/>
            </w:pPr>
            <w:r>
              <w:t xml:space="preserve">P8 — Pacific SIDS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§4.7</w:t>
            </w:r>
          </w:p>
        </w:tc>
        <w:tc>
          <w:tcPr/>
          <w:p>
            <w:pPr>
              <w:pStyle w:val="Compact"/>
              <w:jc w:val="left"/>
            </w:pPr>
            <w:r>
              <w:t xml:space="preserve">H1b (FIP)</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 thuộc P5, lồng dưới H2/H6); H4a–H4b (kiểm định điều tiết độ cong theo năng lực — thuộc P5, lồng dưới H2); tương tác tổng hợp ba chiều của P7 (lồng dưới H3 và H5); E1a–E1b (kiểm định định hướng gradient ICRV — lồng dưới H5); và H1c (kiểm định tan biến ngưỡng chữ U ngược theo thời gian tại Ấn Độ — thuộc P9, lồng dưới H1 và H6). Các ký hiệu con này phục vụ độ chính xác kỹ thuật của từng mô hình và không làm thay đổi hệ giả thuyết trọng tâm H1–H6/H1b của luận án.</w:t>
      </w:r>
    </w:p>
    <w:bookmarkEnd w:id="76"/>
    <w:bookmarkEnd w:id="77"/>
    <w:bookmarkStart w:id="78"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bằng labor productivity là chính), năng lực công nghệ (TCI) và chỉ số chấp nhận số (DAI) như hai construct độc lập, và bối cảnh thể chế được vận hành hóa bằng khung ICRV sáu nhóm. Phần lý thuyết nền trình bày và phân tích bốn lý thuyết kinh điển — Uppsala, RBV, Institutional Theory, và Upper Echelons Theory — cùng với lớp mở rộng Digital Capability Lens, xác định vai trò của từng lý thuyết trong khung giải thích tổng thể của luận án.</w:t>
      </w:r>
    </w:p>
    <w:p>
      <w:pPr>
        <w:pStyle w:val="BodyText"/>
      </w:pPr>
      <w:r>
        <w:t xml:space="preserve">Tổng quan thực nghiệm cho thấy literature I–P đã phát triển qua ba giai đoạn, từ tuyến tính dương đến phi tuyến đến tập trung vào moderators; các meta-analyses nhất quán cho thấy tác động tổng hợp là dương nhưng nhỏ với I² &gt; 80%, đòi hỏi cách tiếp cận moderator-centric; và bối cảnh châu Á, đặc biệt là các nền kinh tế frontier và SIDS, đang thiếu đại diện nghiêm trọng trong literature.</w:t>
      </w:r>
    </w:p>
    <w:p>
      <w:pPr>
        <w:pStyle w:val="BodyText"/>
      </w:pPr>
      <w:r>
        <w:t xml:space="preserve">Ba khoảng trống được xác định: thiếu khung tích hợp đa tầng, sự đồng nhất không hợp lý TCI–DAI, và thiếu bằng chứng cross-country quy mô lớn có cấu trúc cho châu Á. Để lấp đầy ba khoảng trống này, luận án đề xuất khung CDCM và phát triển sáu giả thuyết (H1–H6) bao phủ phi tuyến cơ bản, vai trò của TCI và DAI, vai trò của đặc điểm nhà quản trị, vai trò của thể chế ICRV, và dị biệt thời gian. Chương 3 sẽ trình bày thiết kế phương pháp và chiến lược kiểm định hệ giả thuyết này.</w:t>
      </w:r>
    </w:p>
    <w:p>
      <w:r>
        <w:br w:type="page"/>
      </w:r>
    </w:p>
    <w:bookmarkEnd w:id="78"/>
    <w:bookmarkEnd w:id="79"/>
    <w:bookmarkStart w:id="80" w:name="chương-3-phương-pháp-nghiên-cứu"/>
    <w:p>
      <w:pPr>
        <w:pStyle w:val="Heading1"/>
      </w:pPr>
      <w:r>
        <w:t xml:space="preserve">CHƯƠNG 3: PHƯƠNG PHÁP NGHIÊN CỨU</w:t>
      </w:r>
    </w:p>
    <w:bookmarkEnd w:id="80"/>
    <w:p>
      <w:r>
        <w:pict>
          <v:rect style="width:0;height:1.5pt" o:hralign="center" o:hrstd="t" o:hr="t"/>
        </w:pict>
      </w:r>
    </w:p>
    <w:bookmarkStart w:id="83" w:name="thiết-kế-nghiên-cứu-tổng-thể"/>
    <w:p>
      <w:pPr>
        <w:pStyle w:val="Heading2"/>
      </w:pPr>
      <w:r>
        <w:t xml:space="preserve">3.1 Thiết kế nghiên cứu tổng thể</w:t>
      </w:r>
    </w:p>
    <w:bookmarkStart w:id="81" w:name="loại-thiết-kế"/>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literature để trả lời RQ1, còn phase thứ hai là phân tích thực nghiệm doanh nghiệp đa quốc gia để trả lời RQ2–RQ4. Hai phase đối thoại hai chiều: meta cung cấp baseline và gợi ý moderator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Pacific với</w:t>
      </w:r>
      <w:r>
        <w:t xml:space="preserve"> </w:t>
      </w:r>
      <w:r>
        <w:rPr>
          <w:bCs/>
          <w:b/>
        </w:rPr>
        <w:t xml:space="preserve">49 nền kinh tế</w:t>
      </w:r>
      <w:r>
        <w:t xml:space="preserve"> </w:t>
      </w:r>
      <w:r>
        <w:t xml:space="preserve">là thiết kế hiếm gặp; đa số các luận án IB chỉ làm một trong hai phase. Quy mô 49 nước/91.982 doanh nghiệp là phạm vi địa lý lớn nhất từng có cho khu vực, mở rộng từ pool 17 nước trong nghiên cứu thành phần P1.</w:t>
      </w:r>
    </w:p>
    <w:bookmarkEnd w:id="81"/>
    <w:bookmarkStart w:id="82"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49 nền kinh tế châu Á và Pacific</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82"/>
    <w:bookmarkEnd w:id="83"/>
    <w:bookmarkStart w:id="87" w:name="phase-1-meta-analysis-19822026"/>
    <w:p>
      <w:pPr>
        <w:pStyle w:val="Heading2"/>
      </w:pPr>
      <w:r>
        <w:t xml:space="preserve">3.2 Phase 1 — Meta-analysis 1982–2026</w:t>
      </w:r>
    </w:p>
    <w:bookmarkStart w:id="84" w:name="cơ-sở-kế-thừa"/>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transmit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84"/>
    <w:bookmarkStart w:id="85" w:name="đóng-góp-mớiđiều-chỉnh"/>
    <w:p>
      <w:pPr>
        <w:pStyle w:val="Heading3"/>
      </w:pPr>
      <w:r>
        <w:t xml:space="preserve">3.2.2 Đóng góp mới/điều chỉnh</w:t>
      </w:r>
    </w:p>
    <w:p>
      <w:pPr>
        <w:numPr>
          <w:ilvl w:val="0"/>
          <w:numId w:val="1004"/>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4"/>
        </w:numPr>
        <w:pStyle w:val="Compact"/>
      </w:pPr>
      <w:r>
        <w:rPr>
          <w:bCs/>
          <w:b/>
        </w:rPr>
        <w:t xml:space="preserve">Mở rộng moderator coverage</w:t>
      </w:r>
      <w:r>
        <w:t xml:space="preserve">: thêm cụm moderator về digital capability và 6 sub-regime ICRV, chưa được xem xét đầy đủ trong các meta-analyses trước.</w:t>
      </w:r>
    </w:p>
    <w:p>
      <w:pPr>
        <w:numPr>
          <w:ilvl w:val="0"/>
          <w:numId w:val="1004"/>
        </w:numPr>
        <w:pStyle w:val="Compact"/>
      </w:pPr>
      <w:r>
        <w:rPr>
          <w:bCs/>
          <w:b/>
        </w:rPr>
        <w:t xml:space="preserve">Tập tổng hợp</w:t>
      </w:r>
      <w:r>
        <w:t xml:space="preserve">: K=288 effect sizes / k=238 nghiên cứu, được xây dựng theo chiến lược tìm kiếm hệ thống nhưng có giới hạn (citation-anchored: backward/forward citation từ 5 meta-analysis mỏ neo + bổ sung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4"/>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nghiên cứu thành phần P1.</w:t>
      </w:r>
    </w:p>
    <w:bookmarkEnd w:id="85"/>
    <w:bookmarkStart w:id="86" w:name="quy-trình-prisma"/>
    <w:p>
      <w:pPr>
        <w:pStyle w:val="Heading3"/>
      </w:pPr>
      <w:r>
        <w:t xml:space="preserve">3.2.3 Quy trình PRISMA</w:t>
      </w:r>
    </w:p>
    <w:p>
      <w:pPr>
        <w:pStyle w:val="FirstParagraph"/>
      </w:pPr>
      <w:r>
        <w:t xml:space="preserve">Identification → Screening → Eligibility →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86"/>
    <w:bookmarkEnd w:id="87"/>
    <w:bookmarkStart w:id="96" w:name="X8de0b19c054d402e314fef9726425749df3fc18"/>
    <w:p>
      <w:pPr>
        <w:pStyle w:val="Heading2"/>
      </w:pPr>
      <w:r>
        <w:t xml:space="preserve">3.3 Phase 2 — Phân tích thực nghiệm đa quốc gia</w:t>
      </w:r>
    </w:p>
    <w:bookmarkStart w:id="88"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49 nền kinh tế châu Á và Pacific</w:t>
      </w:r>
      <w:r>
        <w:t xml:space="preserve"> </w:t>
      </w:r>
      <w:r>
        <w:t xml:space="preserve">trong giai đoạn</w:t>
      </w:r>
      <w:r>
        <w:t xml:space="preserve"> </w:t>
      </w:r>
      <w:r>
        <w:rPr>
          <w:bCs/>
          <w:b/>
        </w:rPr>
        <w:t xml:space="preserve">2003–2025</w:t>
      </w:r>
      <w:r>
        <w:t xml:space="preserve"> </w:t>
      </w:r>
      <w:r>
        <w:t xml:space="preserve">(91.982 doanh nghiệp · 102 cặp quốc gia × năm · 14 mốc khảo sát) (World Bank, n.d., 2019, 2023, 2026). WBES là bộ dữ liệu doanh nghiệp chuẩn hóa, phù hợp cho nghiên cứu so sánh đa quốc gia về firm-level outcomes (Aterido et al., 2011). Quy trình hợp nhất và hài hòa hóa chi tiết các bộ khảo sát quốc gia–năm thành bộ dữ liệu phân tích thống nhất (sáu bước S1–S6, xử lý tính so sánh tiền tệ, chiến lược pooled cross-section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49 nền kinh tế châu Á và Pacific</w:t>
      </w:r>
      <w:r>
        <w:t xml:space="preserve">, với 6 sub-regime ICRV (Advanced innovation-driven, Advanced resource-driven, Upper-middle, Lower-middle transition, Emerging, SIDS). Quy mô này là lớn nhất cho khu vực trong literature internationalization–performance, gồm cả boundary case Pacific SIDS (7 nước, n=959 (mẫu phân tích sau lọc missing)) cho phép kiểm định forced internationalization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 trong bối cảnh này, không áp dụng weights là thực hành chuẩn trong literature IB sử dụng WBES (Aterido et al., 2011; Cuervo-Cazurra et al., 2018); (2) Fixed effects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§3.5).</w:t>
      </w:r>
    </w:p>
    <w:bookmarkEnd w:id="88"/>
    <w:bookmarkStart w:id="89" w:name="Xbff20786659f3471473d6f5f9041e850d60d8e2"/>
    <w:p>
      <w:pPr>
        <w:pStyle w:val="Heading3"/>
      </w:pPr>
      <w:r>
        <w:t xml:space="preserve">3.3.2 Đo lường biến phụ thuộc —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literature về firm productivity (Bloom et al., 2012; Hsieh &amp; Klenow, 2009). Chỉ tiêu này đã được vận hành hóa thành công trong bài thực trạng emerging Asia (nghiên cứu thành phần P1).</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construct</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 tính so sánh được bảo đảm bằng chuẩn hóa z within country–year và hiệu ứng cố định hai chiều, như trình bày chi tiết ở Phụ lục A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w:t>
      </w:r>
      <w:r>
        <w:t xml:space="preserve">— đạt được qua thiết kế ước lượng, không phải tự động ở mức thô.</w:t>
      </w:r>
    </w:p>
    <w:p>
      <w:pPr>
        <w:pStyle w:val="BodyText"/>
      </w:pPr>
      <w:r>
        <w:rPr>
          <w:bCs/>
          <w:b/>
        </w:rPr>
        <w:t xml:space="preserve">Biến robustness</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89"/>
    <w:bookmarkStart w:id="90" w:name="đo-lường-biến-độc-lập-quốc-tế-hóa"/>
    <w:p>
      <w:pPr>
        <w:pStyle w:val="Heading3"/>
      </w:pPr>
      <w:r>
        <w:t xml:space="preserve">3.3.3 Đo lường biến độc lập —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literature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nghiên cứu thành phần P2 xác nhận có ý nghĩa thống kê ở Trung Quốc với turning point ~47,8% FSTS, làm baseline cho việc kiểm định mở rộng trong luận án.</w:t>
      </w:r>
    </w:p>
    <w:bookmarkEnd w:id="90"/>
    <w:bookmarkStart w:id="94" w:name="đo-lường-biến-điều-tiết"/>
    <w:p>
      <w:pPr>
        <w:pStyle w:val="Heading3"/>
      </w:pPr>
      <w:r>
        <w:t xml:space="preserve">3.3.4 Đo lường biến điều tiết</w:t>
      </w:r>
    </w:p>
    <w:bookmarkStart w:id="91"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5"/>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5"/>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w:t>
      </w:r>
      <w:r>
        <w:t xml:space="preserve"> </w:t>
      </w:r>
      <w:r>
        <w:t xml:space="preserve">“</w:t>
      </w:r>
      <w:r>
        <w:t xml:space="preserve">digital shield effect</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49 nền kinh tế châu Á và Pacific, với pipeline hòa hợp 3 thế hệ schema. Phân tách TCI và DAI theo (i) Bharadwaj et al. (2013) — IT capability vs digital business strategy có nomological nets khác nhau; (ii) phân tầng 3 cấp của Verhoef et al. (2021) —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 đảm bảo TCI và DAI là hai composite độc lập.</w:t>
      </w:r>
    </w:p>
    <w:bookmarkEnd w:id="91"/>
    <w:bookmarkStart w:id="92"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moderators.</w:t>
      </w:r>
    </w:p>
    <w:bookmarkEnd w:id="92"/>
    <w:bookmarkStart w:id="93"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robustness chứ không bắt buộc trong mô hình chính.</w:t>
      </w:r>
    </w:p>
    <w:bookmarkEnd w:id="93"/>
    <w:bookmarkEnd w:id="94"/>
    <w:bookmarkStart w:id="95" w:name="biến-kiểm-soát"/>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95"/>
    <w:bookmarkEnd w:id="96"/>
    <w:bookmarkStart w:id="111" w:name="mô-hình-phân-tích"/>
    <w:p>
      <w:pPr>
        <w:pStyle w:val="Heading2"/>
      </w:pPr>
      <w:r>
        <w:t xml:space="preserve">3.4 Mô hình phân tích</w:t>
      </w:r>
    </w:p>
    <w:bookmarkStart w:id="97" w:name="mô-hình-meta-analysis"/>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moderators.</w:t>
      </w:r>
    </w:p>
    <w:p>
      <w:pPr>
        <w:pStyle w:val="BodyText"/>
      </w:pPr>
      <w:r>
        <w:rPr>
          <w:bCs/>
          <w:b/>
        </w:rPr>
        <w:t xml:space="preserve">Cơ sở kế thừa</w:t>
      </w:r>
      <w:r>
        <w:t xml:space="preserve">: chuẩn meta-analysis trong quản trị chiến lược (Combs et al., 2011; Aguinis et al., 2011).</w:t>
      </w:r>
    </w:p>
    <w:bookmarkEnd w:id="97"/>
    <w:bookmarkStart w:id="98" w:name="mô-hình-empirical-tuyến-tính-cơ-bản"/>
    <w:p>
      <w:pPr>
        <w:pStyle w:val="Heading3"/>
      </w:pPr>
      <w:r>
        <w:t xml:space="preserve">3.4.2 Mô hình empirical —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98"/>
    <w:bookmarkStart w:id="99"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w:t>
      </w:r>
      <w:r>
        <w:t xml:space="preserve">— inverted-U được xác nhận.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nghiên cứu thành phần P2 cho cubic specification ở China với turning point ~47,8% FSTS.</w:t>
      </w:r>
    </w:p>
    <w:p>
      <w:pPr>
        <w:pStyle w:val="BodyText"/>
      </w:pPr>
      <w:r>
        <w:rPr>
          <w:bCs/>
          <w:b/>
        </w:rPr>
        <w:t xml:space="preserve">Lind–Mehlum U-test</w:t>
      </w:r>
      <w:r>
        <w:t xml:space="preserve"> </w:t>
      </w:r>
      <w:r>
        <w:t xml:space="preserve">(Lind &amp; Mehlum, 2010; Haans et al., 2016) để xác nhận chặt inverted-U: kiểm định slope dương ở bên trái và slope âm ở bên phải của domain</w:t>
      </w:r>
      <w:r>
        <w:t xml:space="preserve"> </w:t>
      </w:r>
      <m:oMath>
        <m:r>
          <m:t>F</m:t>
        </m:r>
        <m:r>
          <m:t>S</m:t>
        </m:r>
        <m:r>
          <m:t>T</m:t>
        </m:r>
        <m:r>
          <m:t>S</m:t>
        </m:r>
      </m:oMath>
      <w:r>
        <w:t xml:space="preserve">.</w:t>
      </w:r>
    </w:p>
    <w:bookmarkEnd w:id="99"/>
    <w:bookmarkStart w:id="102" w:name="mô-hình-moderation-h2h6"/>
    <w:p>
      <w:pPr>
        <w:pStyle w:val="Heading3"/>
      </w:pPr>
      <w:r>
        <w:t xml:space="preserve">3.4.4 Mô hình moderation (H2–H6)</w:t>
      </w:r>
    </w:p>
    <w:bookmarkStart w:id="100"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moderator (TCI hoặc DAI).</w:t>
      </w:r>
    </w:p>
    <w:bookmarkEnd w:id="100"/>
    <w:bookmarkStart w:id="101"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49 nước chưa được kiểm định trước đây.</w:t>
      </w:r>
    </w:p>
    <w:bookmarkEnd w:id="101"/>
    <w:bookmarkEnd w:id="102"/>
    <w:bookmarkStart w:id="103" w:name="mô-hình-temporal-heterogeneity-h6"/>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nghiên cứu thành phần P2 làm baseline cubic 2012.</w:t>
      </w:r>
    </w:p>
    <w:p>
      <w:pPr>
        <w:pStyle w:val="BodyText"/>
      </w:pPr>
      <w:r>
        <w:rPr>
          <w:bCs/>
          <w:b/>
        </w:rPr>
        <w:t xml:space="preserve">Đóng góp mới</w:t>
      </w:r>
      <w:r>
        <w:t xml:space="preserve">: áp dụng cho China 2012 và 2024 để kiểm định stability của cubic turning point (~47,8% FSTS) sau hơn một thập kỷ chuyển đổi số.</w:t>
      </w:r>
    </w:p>
    <w:bookmarkEnd w:id="103"/>
    <w:bookmarkStart w:id="104" w:name="X3ef1c131b29643aac6595f7e8338779440cc96b"/>
    <w:p>
      <w:pPr>
        <w:pStyle w:val="Heading3"/>
      </w:pPr>
      <w:r>
        <w:t xml:space="preserve">3.4.5.1 Mô hình cụ thể —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6"/>
        </w:numPr>
        <w:pStyle w:val="Compact"/>
      </w:pPr>
      <w:r>
        <w:rPr>
          <w:bCs/>
          <w:b/>
        </w:rPr>
        <w:t xml:space="preserve">lnNSLD_it</w:t>
      </w:r>
      <w:r>
        <w:t xml:space="preserve"> </w:t>
      </w:r>
      <w:r>
        <w:t xml:space="preserve">= lnLP_it: log năng suất lao động (ln doanh thu PPP / lao động thường xuyên)</w:t>
      </w:r>
    </w:p>
    <w:p>
      <w:pPr>
        <w:numPr>
          <w:ilvl w:val="0"/>
          <w:numId w:val="1006"/>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6"/>
        </w:numPr>
        <w:pStyle w:val="Compact"/>
      </w:pPr>
      <w:r>
        <w:rPr>
          <w:bCs/>
          <w:b/>
        </w:rPr>
        <w:t xml:space="preserve">CDDXK_c²_it</w:t>
      </w:r>
      <w:r>
        <w:t xml:space="preserve"> </w:t>
      </w:r>
      <w:r>
        <w:t xml:space="preserve">= FSTS_c²_it: bình phương cường độ xuất khẩu điều chỉnh</w:t>
      </w:r>
    </w:p>
    <w:p>
      <w:pPr>
        <w:numPr>
          <w:ilvl w:val="0"/>
          <w:numId w:val="1006"/>
        </w:numPr>
        <w:pStyle w:val="Compact"/>
      </w:pPr>
      <w:r>
        <w:rPr>
          <w:bCs/>
          <w:b/>
        </w:rPr>
        <w:t xml:space="preserve">NLCN_z_it</w:t>
      </w:r>
      <w:r>
        <w:t xml:space="preserve"> </w:t>
      </w:r>
      <w:r>
        <w:t xml:space="preserve">= TCI_z_it: năng lực công nghệ (chuẩn hoá z trong sóng)</w:t>
      </w:r>
    </w:p>
    <w:p>
      <w:pPr>
        <w:numPr>
          <w:ilvl w:val="0"/>
          <w:numId w:val="1006"/>
        </w:numPr>
        <w:pStyle w:val="Compact"/>
      </w:pPr>
      <w:r>
        <w:rPr>
          <w:bCs/>
          <w:b/>
        </w:rPr>
        <w:t xml:space="preserve">CSS_z_it</w:t>
      </w:r>
      <w:r>
        <w:t xml:space="preserve"> </w:t>
      </w:r>
      <w:r>
        <w:t xml:space="preserve">= DAI_z_it: chỉ số số hoá cơ sở — Tier-1 (chuẩn hoá z trong sóng)</w:t>
      </w:r>
    </w:p>
    <w:p>
      <w:pPr>
        <w:numPr>
          <w:ilvl w:val="0"/>
          <w:numId w:val="1006"/>
        </w:numPr>
        <w:pStyle w:val="Compact"/>
      </w:pPr>
      <w:r>
        <w:rPr>
          <w:bCs/>
          <w:b/>
        </w:rPr>
        <w:t xml:space="preserve">lnLD, TuoiDN, SoHuuNuocNgoai</w:t>
      </w:r>
      <w:r>
        <w:t xml:space="preserve">: kiểm soát quy mô, tuổi, sở hữu</w:t>
      </w:r>
    </w:p>
    <w:p>
      <w:pPr>
        <w:numPr>
          <w:ilvl w:val="0"/>
          <w:numId w:val="1006"/>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 Quốc tế hoá phi tuyến (kiểm định H1 — inverted-U):</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104"/>
    <w:bookmarkStart w:id="105" w:name="Xee326425775ef5a6cb69bdccb6b7f607df42eb1"/>
    <w:p>
      <w:pPr>
        <w:pStyle w:val="Heading3"/>
      </w:pPr>
      <w:r>
        <w:t xml:space="preserve">3.4.5.2 Mô hình cụ thể —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7"/>
        </w:numPr>
        <w:pStyle w:val="Compact"/>
      </w:pPr>
      <w:r>
        <w:rPr>
          <w:bCs/>
          <w:b/>
        </w:rPr>
        <w:t xml:space="preserve">lnNSLD_i</w:t>
      </w:r>
      <w:r>
        <w:t xml:space="preserve"> </w:t>
      </w:r>
      <w:r>
        <w:t xml:space="preserve">= lnLP_i: log năng suất lao động (ln doanh thu PPP / lao động thường xuyên)</w:t>
      </w:r>
    </w:p>
    <w:p>
      <w:pPr>
        <w:numPr>
          <w:ilvl w:val="0"/>
          <w:numId w:val="1007"/>
        </w:numPr>
        <w:pStyle w:val="Compact"/>
      </w:pPr>
      <w:r>
        <w:rPr>
          <w:bCs/>
          <w:b/>
        </w:rPr>
        <w:t xml:space="preserve">CDDXK_i</w:t>
      </w:r>
      <w:r>
        <w:t xml:space="preserve"> </w:t>
      </w:r>
      <w:r>
        <w:t xml:space="preserve">= FSTS_i: cường độ xuất khẩu trực tiếp (d3c / 100)</w:t>
      </w:r>
    </w:p>
    <w:p>
      <w:pPr>
        <w:numPr>
          <w:ilvl w:val="0"/>
          <w:numId w:val="1007"/>
        </w:numPr>
        <w:pStyle w:val="Compact"/>
      </w:pPr>
      <w:r>
        <w:rPr>
          <w:bCs/>
          <w:b/>
        </w:rPr>
        <w:t xml:space="preserve">CDDXK_c_i</w:t>
      </w:r>
      <w:r>
        <w:t xml:space="preserve"> </w:t>
      </w:r>
      <w:r>
        <w:t xml:space="preserve">= FSTS_c_i: CDDXK trung bình mẫu; CDDXK_c² là bình phương</w:t>
      </w:r>
    </w:p>
    <w:p>
      <w:pPr>
        <w:numPr>
          <w:ilvl w:val="0"/>
          <w:numId w:val="1007"/>
        </w:numPr>
        <w:pStyle w:val="Compact"/>
      </w:pPr>
      <w:r>
        <w:rPr>
          <w:bCs/>
          <w:b/>
        </w:rPr>
        <w:t xml:space="preserve">NLCN_z_i</w:t>
      </w:r>
      <w:r>
        <w:t xml:space="preserve"> </w:t>
      </w:r>
      <w:r>
        <w:t xml:space="preserve">= TCI_z_i: năng lực công nghệ — z-std của trung bình(b8₀₁, e6₀₁)</w:t>
      </w:r>
    </w:p>
    <w:p>
      <w:pPr>
        <w:numPr>
          <w:ilvl w:val="0"/>
          <w:numId w:val="1007"/>
        </w:numPr>
        <w:pStyle w:val="Compact"/>
      </w:pPr>
      <w:r>
        <w:rPr>
          <w:bCs/>
          <w:b/>
        </w:rPr>
        <w:t xml:space="preserve">CSS_z_i</w:t>
      </w:r>
      <w:r>
        <w:t xml:space="preserve"> </w:t>
      </w:r>
      <w:r>
        <w:t xml:space="preserve">= DAI_z_i: chỉ số số hoá</w:t>
      </w:r>
      <w:r>
        <w:t xml:space="preserve"> </w:t>
      </w:r>
      <w:r>
        <w:rPr>
          <w:bCs/>
          <w:b/>
        </w:rPr>
        <w:t xml:space="preserve">Tier-1+2</w:t>
      </w:r>
      <w:r>
        <w:t xml:space="preserve"> </w:t>
      </w:r>
      <w:r>
        <w:t xml:space="preserve">— z-std của trung bình(c22b₀₁, k33₀₁, k38₀₁); khác P3 ở chỗ bao gồm e-payment hai chiều (Tier-2)</w:t>
      </w:r>
    </w:p>
    <w:p>
      <w:pPr>
        <w:numPr>
          <w:ilvl w:val="0"/>
          <w:numId w:val="1007"/>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7"/>
        </w:numPr>
        <w:pStyle w:val="Compact"/>
      </w:pPr>
      <w:r>
        <w:rPr>
          <w:bCs/>
          <w:b/>
        </w:rPr>
        <w:t xml:space="preserve">δ_s</w:t>
      </w:r>
      <w:r>
        <w:t xml:space="preserve">: sector fixed effects (ISIC 1-chữ số)</w:t>
      </w:r>
    </w:p>
    <w:p>
      <w:pPr>
        <w:numPr>
          <w:ilvl w:val="0"/>
          <w:numId w:val="1007"/>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 không bác bỏ tuyến tính trong phạm vi dữ liệu quan sát; đây là kết quả thông tin tích cực theo khung bão hòa (saturation framework)</w:t>
      </w:r>
    </w:p>
    <w:p>
      <w:pPr>
        <w:pStyle w:val="BlockText"/>
      </w:pPr>
      <w:r>
        <w:t xml:space="preserve">M3 (+ NLCN —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 —</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105"/>
    <w:bookmarkStart w:id="106" w:name="Xd0414c1f445c504fea8a4b83b026b3007745b73"/>
    <w:p>
      <w:pPr>
        <w:pStyle w:val="Heading3"/>
      </w:pPr>
      <w:r>
        <w:t xml:space="preserve">3.4.5.3 Mô hình cụ thể — Nghiên cứu 5 (Trung Quốc, WBES 2012 và 2024)</w:t>
      </w:r>
    </w:p>
    <w:p>
      <w:pPr>
        <w:pStyle w:val="FirstParagraph"/>
      </w:pPr>
      <w:r>
        <w:t xml:space="preserve">Nghiên cứu 5 sử dụng hai sóng WBES Trung Quốc (2012: N = 2.619; 2024: N = 1.940; pooled N = 4.559).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8"/>
        </w:numPr>
        <w:pStyle w:val="Compact"/>
      </w:pPr>
      <w:r>
        <w:rPr>
          <w:bCs/>
          <w:b/>
        </w:rPr>
        <w:t xml:space="preserve">lnNSLD_it</w:t>
      </w:r>
      <w:r>
        <w:t xml:space="preserve"> </w:t>
      </w:r>
      <w:r>
        <w:t xml:space="preserve">= lnLP_it: log năng suất lao động (biến phụ thuộc)</w:t>
      </w:r>
    </w:p>
    <w:p>
      <w:pPr>
        <w:numPr>
          <w:ilvl w:val="0"/>
          <w:numId w:val="1008"/>
        </w:numPr>
        <w:pStyle w:val="Compact"/>
      </w:pPr>
      <w:r>
        <w:rPr>
          <w:bCs/>
          <w:b/>
        </w:rPr>
        <w:t xml:space="preserve">CDDXK_c_it</w:t>
      </w:r>
      <w:r>
        <w:t xml:space="preserve"> </w:t>
      </w:r>
      <w:r>
        <w:t xml:space="preserve">= FSTS_c_it: cường độ xuất khẩu centred theo trung bình sóng</w:t>
      </w:r>
    </w:p>
    <w:p>
      <w:pPr>
        <w:numPr>
          <w:ilvl w:val="0"/>
          <w:numId w:val="1008"/>
        </w:numPr>
        <w:pStyle w:val="Compact"/>
      </w:pPr>
      <w:r>
        <w:rPr>
          <w:bCs/>
          <w:b/>
        </w:rPr>
        <w:t xml:space="preserve">NLCN_z_it</w:t>
      </w:r>
      <w:r>
        <w:t xml:space="preserve"> </w:t>
      </w:r>
      <w:r>
        <w:t xml:space="preserve">= TCI_full_z_it: năng lực công nghệ toàn diện — z-std của TB(b8₀₁, e6₀₁, b4₀₁, b7a₀₁); mở rộng hơn P3</w:t>
      </w:r>
    </w:p>
    <w:p>
      <w:pPr>
        <w:numPr>
          <w:ilvl w:val="0"/>
          <w:numId w:val="1008"/>
        </w:numPr>
        <w:pStyle w:val="Compact"/>
      </w:pPr>
      <w:r>
        <w:rPr>
          <w:bCs/>
          <w:b/>
        </w:rPr>
        <w:t xml:space="preserve">CSS_z_it</w:t>
      </w:r>
      <w:r>
        <w:t xml:space="preserve"> </w:t>
      </w:r>
      <w:r>
        <w:t xml:space="preserve">= DAI_core_it: chỉ số số hoá cơ bản — chỉ c22b₀₁ (Tier-1 mỏng, single-item binary)</w:t>
      </w:r>
    </w:p>
    <w:p>
      <w:pPr>
        <w:numPr>
          <w:ilvl w:val="0"/>
          <w:numId w:val="1008"/>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8"/>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 kiểm định H1):</w:t>
      </w:r>
      <w:r>
        <w:t xml:space="preserve"> </w:t>
      </w:r>
      <w:r>
        <w:t xml:space="preserve">lnNSLD_it = α + β₁ CDDXK_c_it + β₂ CDDXK_c²_it + γ·X_it + δ_s + λ_t + ε_it</w:t>
      </w:r>
      <w:r>
        <w:t xml:space="preserve"> </w:t>
      </w:r>
      <w:r>
        <w:t xml:space="preserve">H1: β₁ &gt; 0, β₂ &lt; 0; TP* = −β₁/(2β₂) — điểm uốn 49,4% (2012), 47,2% (2024), và 48,8% (pooled)</w:t>
      </w:r>
      <w:r>
        <w:t xml:space="preserve"> </w:t>
      </w:r>
      <w:r>
        <w:t xml:space="preserve">Kiểm định ổn định cấu trúc: Paternoster (1998) z-test: z(FSTS) = +0,82 (p = 0,412); z(FSTS²) = −0,61 (p = 0,545) → không bác bỏ bình đẳng hệ số giữa hai sóng</w:t>
      </w:r>
    </w:p>
    <w:p>
      <w:pPr>
        <w:pStyle w:val="BlockText"/>
      </w:pPr>
      <w:r>
        <w:t xml:space="preserve">M3 (+ NLCN trực tiếp — H2 level-shift):</w:t>
      </w:r>
      <w:r>
        <w:t xml:space="preserve"> </w:t>
      </w:r>
      <w:r>
        <w:t xml:space="preserve">lnNSLD_it = α + β₁ CDDXK_c + β₂ CDDXK_c² + β₃ NLCN_z + γ·X + δ_s + λ_t + ε</w:t>
      </w:r>
      <w:r>
        <w:t xml:space="preserve"> </w:t>
      </w:r>
      <w:r>
        <w:t xml:space="preserve">Kết quả: β₃ = +0,28 (2012, p &lt; 0,001), +0,43 (2024, p &lt; 0,001) —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 tương tự cho β₂ (FSTS²)</w:t>
      </w:r>
    </w:p>
    <w:p>
      <w:pPr>
        <w:pStyle w:val="BlockText"/>
      </w:pPr>
      <w:r>
        <w:t xml:space="preserve">M6 (Điều tiết ba chiều —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 H4b (null capability-curvature moderation) được chấp nhận</w:t>
      </w:r>
    </w:p>
    <w:p>
      <w:pPr>
        <w:pStyle w:val="FirstParagraph"/>
      </w:pPr>
      <w:r>
        <w:rPr>
          <w:bCs/>
          <w:b/>
        </w:rPr>
        <w:t xml:space="preserve">Bảng định nghĩa biến —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 —</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Tier-1 đơn biến — không đủ để kiểm định CDCM; hàm ý chính sách và lý thuyết khác với P4 Singapore (Tier-1+2).</w:t>
      </w:r>
    </w:p>
    <w:p>
      <w:r>
        <w:pict>
          <v:rect style="width:0;height:1.5pt" o:hralign="center" o:hrstd="t" o:hr="t"/>
        </w:pict>
      </w:r>
    </w:p>
    <w:bookmarkEnd w:id="106"/>
    <w:bookmarkStart w:id="109" w:name="Xef1ee77b66ccd9962e55365d60bd74be93a9b17"/>
    <w:p>
      <w:pPr>
        <w:pStyle w:val="Heading3"/>
      </w:pPr>
      <w:r>
        <w:t xml:space="preserve">3.4.5.4 Mô hình cụ thể —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49 nền kinh tế châu Á và Thái Bình Dương</w:t>
      </w:r>
      <w:r>
        <w:t xml:space="preserve"> </w:t>
      </w:r>
      <w:r>
        <w:t xml:space="preserve">(102 cặp quốc gia × năm, 2003–2025). Mẫu phân tích toàn phần đạt N = 84.910 (M0–M2) đến N = 29.840 (M11 full). Thiết kế hierarchical OLS với HC1 robust standard errors, clustered theo country-year. Ký hiệu tiếng Việt:</w:t>
      </w:r>
    </w:p>
    <w:p>
      <w:pPr>
        <w:numPr>
          <w:ilvl w:val="0"/>
          <w:numId w:val="1009"/>
        </w:numPr>
        <w:pStyle w:val="Compact"/>
      </w:pPr>
      <w:r>
        <w:rPr>
          <w:bCs/>
          <w:b/>
        </w:rPr>
        <w:t xml:space="preserve">lnNSLD_it</w:t>
      </w:r>
      <w:r>
        <w:t xml:space="preserve">: ln(năng suất lao động) = ln(doanh thu / lao động thường trực) — biến phụ thuộc</w:t>
      </w:r>
    </w:p>
    <w:p>
      <w:pPr>
        <w:numPr>
          <w:ilvl w:val="0"/>
          <w:numId w:val="1009"/>
        </w:numPr>
        <w:pStyle w:val="Compact"/>
      </w:pPr>
      <w:r>
        <w:rPr>
          <w:bCs/>
          <w:b/>
        </w:rPr>
        <w:t xml:space="preserve">CDDXK_c_it</w:t>
      </w:r>
      <w:r>
        <w:t xml:space="preserve">: cường độ xuất khẩu mean-centred — FSTS_c = (d3c/100) − mean_pool(FSTS)</w:t>
      </w:r>
    </w:p>
    <w:p>
      <w:pPr>
        <w:numPr>
          <w:ilvl w:val="0"/>
          <w:numId w:val="1009"/>
        </w:numPr>
        <w:pStyle w:val="Compact"/>
      </w:pPr>
      <w:r>
        <w:rPr>
          <w:bCs/>
          <w:b/>
        </w:rPr>
        <w:t xml:space="preserve">CDDXK_c²_it</w:t>
      </w:r>
      <w:r>
        <w:t xml:space="preserve">: CDDXK_c bình phương — kiểm định phi tuyến</w:t>
      </w:r>
    </w:p>
    <w:p>
      <w:pPr>
        <w:numPr>
          <w:ilvl w:val="0"/>
          <w:numId w:val="1009"/>
        </w:numPr>
        <w:pStyle w:val="Compact"/>
      </w:pPr>
      <w:r>
        <w:rPr>
          <w:bCs/>
          <w:b/>
        </w:rPr>
        <w:t xml:space="preserve">NLCN_z_it</w:t>
      </w:r>
      <w:r>
        <w:t xml:space="preserve">: năng lực công nghệ z-standardised — TCI_z = z-std(b8, e6)</w:t>
      </w:r>
    </w:p>
    <w:p>
      <w:pPr>
        <w:numPr>
          <w:ilvl w:val="0"/>
          <w:numId w:val="1009"/>
        </w:numPr>
        <w:pStyle w:val="Compact"/>
      </w:pPr>
      <w:r>
        <w:rPr>
          <w:bCs/>
          <w:b/>
        </w:rPr>
        <w:t xml:space="preserve">CSS_z_it</w:t>
      </w:r>
      <w:r>
        <w:t xml:space="preserve">: chỉ số số hoá z-standardised — DAI_z = z-std(website + e-pay, Tier 1+2: c22b/e1, k33)</w:t>
      </w:r>
    </w:p>
    <w:p>
      <w:pPr>
        <w:numPr>
          <w:ilvl w:val="0"/>
          <w:numId w:val="1009"/>
        </w:numPr>
        <w:pStyle w:val="Compact"/>
      </w:pPr>
      <w:r>
        <w:rPr>
          <w:bCs/>
          <w:b/>
        </w:rPr>
        <w:t xml:space="preserve">KNQLy_it</w:t>
      </w:r>
      <w:r>
        <w:t xml:space="preserve">: kinh nghiệm nhà quản lý trong ngành (năm, b7)</w:t>
      </w:r>
    </w:p>
    <w:p>
      <w:pPr>
        <w:numPr>
          <w:ilvl w:val="0"/>
          <w:numId w:val="1009"/>
        </w:numPr>
        <w:pStyle w:val="Compact"/>
      </w:pPr>
      <w:r>
        <w:rPr>
          <w:bCs/>
          <w:b/>
        </w:rPr>
        <w:t xml:space="preserve">NQL_nu_it</w:t>
      </w:r>
      <w:r>
        <w:t xml:space="preserve">: top manager là nữ (binary, b7a/b6a)</w:t>
      </w:r>
    </w:p>
    <w:p>
      <w:pPr>
        <w:numPr>
          <w:ilvl w:val="0"/>
          <w:numId w:val="1009"/>
        </w:numPr>
        <w:pStyle w:val="Compact"/>
      </w:pPr>
      <w:r>
        <w:rPr>
          <w:bCs/>
          <w:b/>
        </w:rPr>
        <w:t xml:space="preserve">ICRV_j</w:t>
      </w:r>
      <w:r>
        <w:t xml:space="preserve">: phân loại chế độ thể chế ICRV (integer 1–6, Advanced→SIDS)</w:t>
      </w:r>
    </w:p>
    <w:p>
      <w:pPr>
        <w:numPr>
          <w:ilvl w:val="0"/>
          <w:numId w:val="1009"/>
        </w:numPr>
        <w:pStyle w:val="Compact"/>
      </w:pPr>
      <w:r>
        <w:rPr>
          <w:bCs/>
          <w:b/>
        </w:rPr>
        <w:t xml:space="preserve">lnLD_it</w:t>
      </w:r>
      <w:r>
        <w:t xml:space="preserve">: ln(lao động thường trực) — kiểm soát quy mô doanh nghiệp</w:t>
      </w:r>
    </w:p>
    <w:p>
      <w:pPr>
        <w:numPr>
          <w:ilvl w:val="0"/>
          <w:numId w:val="1009"/>
        </w:numPr>
        <w:pStyle w:val="Compact"/>
      </w:pPr>
      <w:r>
        <w:rPr>
          <w:bCs/>
          <w:b/>
        </w:rPr>
        <w:t xml:space="preserve">TuoiDN_it</w:t>
      </w:r>
      <w:r>
        <w:t xml:space="preserve">: tuổi doanh nghiệp (năm_khảo_sát − b5)</w:t>
      </w:r>
    </w:p>
    <w:p>
      <w:pPr>
        <w:numPr>
          <w:ilvl w:val="0"/>
          <w:numId w:val="1009"/>
        </w:numPr>
        <w:pStyle w:val="Compact"/>
      </w:pPr>
      <w:r>
        <w:rPr>
          <w:bCs/>
          <w:b/>
        </w:rPr>
        <w:t xml:space="preserve">SoHuuNN_it</w:t>
      </w:r>
      <w:r>
        <w:t xml:space="preserve">: tỷ lệ sở hữu nước ngoài (b6a/100)</w:t>
      </w:r>
    </w:p>
    <w:p>
      <w:pPr>
        <w:numPr>
          <w:ilvl w:val="0"/>
          <w:numId w:val="1009"/>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(top manager nữ: lợi thế hiệu quả  17–20%cross-context)</m:t>
          </m:r>
        </m:oMath>
      </m:oMathPara>
    </w:p>
    <w:p>
      <w:pPr>
        <w:pStyle w:val="FirstParagraph"/>
      </w:pPr>
      <w:r>
        <w:rPr>
          <w:bCs/>
          <w:b/>
        </w:rPr>
        <w:t xml:space="preserve">M10</w:t>
      </w:r>
      <w:r>
        <w:t xml:space="preserve"> </w:t>
      </w:r>
      <w:r>
        <w:t xml:space="preserve">(M3 + điều tiết ICRV —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r>
            <m:t>T</m:t>
          </m:r>
          <m:r>
            <m:t>P</m:t>
          </m:r>
          <m:r>
            <m:rPr>
              <m:nor/>
              <m:sty m:val="p"/>
            </m:rPr>
            <m:t> tăng khi ICRV tăng (thể chế yếu hơn): Group I</m:t>
          </m:r>
          <m:r>
            <m:rPr>
              <m:sty m:val="p"/>
            </m:rPr>
            <m:t>≈</m:t>
          </m:r>
          <m:r>
            <m:t>28</m:t>
          </m:r>
          <m:r>
            <m:rPr>
              <m:sty m:val="p"/>
            </m:rPr>
            <m:t>%</m:t>
          </m:r>
          <m:r>
            <m:rPr>
              <m:sty m:val="p"/>
            </m:rPr>
            <m:t>,</m:t>
          </m:r>
          <m:r>
            <m:t> </m:t>
          </m:r>
          <m:r>
            <m:rPr>
              <m:nor/>
              <m:sty m:val="p"/>
            </m:rPr>
            <m:t>Group V–VI</m:t>
          </m:r>
          <m:r>
            <m:rPr>
              <m:sty m:val="p"/>
            </m:rPr>
            <m:t>≈</m:t>
          </m:r>
          <m:r>
            <m:t>55</m:t>
          </m:r>
          <m:r>
            <m:rPr>
              <m:sty m:val="p"/>
            </m:rPr>
            <m:t>%</m:t>
          </m:r>
        </m:oMath>
      </m:oMathPara>
    </w:p>
    <w:p>
      <w:pPr>
        <w:pStyle w:val="FirstParagraph"/>
      </w:pPr>
      <w:r>
        <w:rPr>
          <w:bCs/>
          <w:b/>
        </w:rPr>
        <w:t xml:space="preserve">M11</w:t>
      </w:r>
      <w:r>
        <w:t xml:space="preserve"> </w:t>
      </w:r>
      <w:r>
        <w:t xml:space="preserve">(full three-way —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012</m:t>
              </m:r>
            </m:e>
            <m:sup>
              <m:r>
                <m:rPr>
                  <m:sty m:val="p"/>
                </m:rPr>
                <m:t>*</m:t>
              </m:r>
            </m:sup>
          </m:sSup>
          <m:r>
            <m:rPr>
              <m:sty m:val="p"/>
            </m:rPr>
            <m:t>;</m:t>
          </m:r>
          <m:r>
            <m:t> </m:t>
          </m:r>
          <m:r>
            <m:rPr>
              <m:nor/>
              <m:sty m:val="p"/>
            </m:rPr>
            <m:t>three-way NS</m:t>
          </m:r>
          <m:r>
            <m:rPr>
              <m:sty m:val="p"/>
            </m:rPr>
            <m:t>;</m:t>
          </m:r>
          <m:r>
            <m:t> </m:t>
          </m:r>
          <m:r>
            <m:t>T</m:t>
          </m:r>
          <m:r>
            <m:t>P</m:t>
          </m:r>
          <m:r>
            <m:rPr>
              <m:sty m:val="p"/>
            </m:rPr>
            <m:t>=</m:t>
          </m:r>
          <m:r>
            <m:t>34</m:t>
          </m:r>
          <m:r>
            <m:rPr>
              <m:sty m:val="p"/>
            </m:rPr>
            <m:t>,</m:t>
          </m:r>
          <m:r>
            <m:t>6</m:t>
          </m:r>
          <m:r>
            <m:rPr>
              <m:sty m:val="p"/>
            </m:rPr>
            <m:t>%</m:t>
          </m:r>
          <m:r>
            <m:rPr>
              <m:sty m:val="p"/>
            </m:rPr>
            <m:t>,</m:t>
          </m:r>
          <m:r>
            <m:t> </m:t>
          </m:r>
          <m:r>
            <m:rPr>
              <m:nor/>
              <m:sty m:val="p"/>
            </m:rPr>
            <m:t>LM </m:t>
          </m:r>
          <m:r>
            <m:t>p</m:t>
          </m:r>
          <m:r>
            <m:rPr>
              <m:sty m:val="p"/>
            </m:rPr>
            <m:t>=</m:t>
          </m:r>
          <m:r>
            <m:rPr>
              <m:sty m:val="p"/>
            </m:rPr>
            <m:t>,</m:t>
          </m:r>
          <m:r>
            <m:t>002</m:t>
          </m:r>
        </m:oMath>
      </m:oMathPara>
    </w:p>
    <w:p>
      <w:pPr>
        <w:pStyle w:val="FirstParagraph"/>
      </w:pPr>
      <w:r>
        <w:rPr>
          <w:bCs/>
          <w:b/>
        </w:rPr>
        <w:t xml:space="preserve">Bảng định nghĩa biến —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dần từ N = 84.910 (M2) → 38.342 (M3, thêm kiểm soát) → 29.840 (M11, thêm manager + ICRV + three-way). DAI P7 là Tier 1+2 khi k33 có mặt, Tier-1 only khi thiếu —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107" w:name="X2f7897a1357dc715f37e320d2cca3ed5f2bb32c"/>
    <w:p>
      <w:pPr>
        <w:pStyle w:val="Heading4"/>
      </w:pPr>
      <w:r>
        <w:t xml:space="preserve">3.4.5.5 Mô hình cụ thể — Nghiên cứu 8: Pacific SIDS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 cấp thấp nhất trong phân loại 6 chế độ —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 FIP)</w:t>
      </w:r>
      <w:r>
        <w:t xml:space="preserve"> </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r>
            <m:rPr>
              <m:sty m:val="p"/>
            </m:rPr>
            <m:t>⇒</m:t>
          </m:r>
          <m:r>
            <m:rPr>
              <m:nor/>
              <m:sty m:val="p"/>
            </m:rPr>
            <m:t>TCI nâng mặt bằng năng suất; không có moderator uốn đường cong (H2 moderation null)</m:t>
          </m:r>
        </m:oMath>
      </m:oMathPara>
    </w:p>
    <w:p>
      <w:pPr>
        <w:pStyle w:val="FirstParagraph"/>
      </w:pPr>
      <w:r>
        <w:rPr>
          <w:bCs/>
          <w:b/>
        </w:rPr>
        <w:t xml:space="preserve">Phân tích độ vững (robustness checks):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 ,001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Exporters-only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exporters-only (N=26) thiếu công suất thống kê.</w:t>
      </w:r>
    </w:p>
    <w:p>
      <w:pPr>
        <w:pStyle w:val="BodyText"/>
      </w:pPr>
      <w:r>
        <w:rPr>
          <w:bCs/>
          <w:b/>
        </w:rPr>
        <w:t xml:space="preserve">Bảng định nghĩa biến —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 WBES không thu thập thang đo đầy đủ cho số hoá động tại SIDS.</w:t>
      </w:r>
    </w:p>
    <w:p>
      <w:r>
        <w:pict>
          <v:rect style="width:0;height:1.5pt" o:hralign="center" o:hrstd="t" o:hr="t"/>
        </w:pict>
      </w:r>
    </w:p>
    <w:bookmarkEnd w:id="107"/>
    <w:bookmarkStart w:id="108"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t>p</m:t>
            </m:r>
            <m:r>
              <m:t>h</m:t>
            </m:r>
            <m:r>
              <m:t>â</m:t>
            </m:r>
            <m:r>
              <m:t>n</m:t>
            </m:r>
            <m:r>
              <m:t>t</m:t>
            </m:r>
            <m:r>
              <m:t>í</m:t>
            </m:r>
            <m:r>
              <m:t>c</m:t>
            </m:r>
            <m:r>
              <m:t>h</m:t>
            </m:r>
          </m:sub>
        </m:sSub>
        <m:r>
          <m:rPr>
            <m:sty m:val="p"/>
          </m:rPr>
          <m:t>=</m:t>
        </m:r>
        <m:r>
          <m:t>8.941</m:t>
        </m:r>
      </m:oMath>
      <w:r>
        <w:t xml:space="preserve">; 2022 BEE,</w:t>
      </w:r>
      <w:r>
        <w:t xml:space="preserve"> </w:t>
      </w:r>
      <m:oMath>
        <m:sSub>
          <m:e>
            <m:r>
              <m:t>N</m:t>
            </m:r>
          </m:e>
          <m:sub>
            <m:r>
              <m:t>p</m:t>
            </m:r>
            <m:r>
              <m:t>h</m:t>
            </m:r>
            <m:r>
              <m:t>â</m:t>
            </m:r>
            <m:r>
              <m:t>n</m:t>
            </m:r>
            <m:r>
              <m:t>t</m:t>
            </m:r>
            <m:r>
              <m:t>í</m:t>
            </m:r>
            <m:r>
              <m:t>c</m:t>
            </m:r>
            <m:r>
              <m:t>h</m:t>
            </m:r>
          </m:sub>
        </m:sSub>
        <m:r>
          <m:rPr>
            <m:sty m:val="p"/>
          </m:rPr>
          <m:t>=</m:t>
        </m:r>
        <m:r>
          <m:t>9.300</m:t>
        </m:r>
      </m:oMath>
      <w:r>
        <w:t xml:space="preserve">; 2025 BREADY,</w:t>
      </w:r>
      <w:r>
        <w:t xml:space="preserve"> </w:t>
      </w:r>
      <m:oMath>
        <m:sSub>
          <m:e>
            <m:r>
              <m:t>N</m:t>
            </m:r>
          </m:e>
          <m:sub>
            <m:r>
              <m:t>p</m:t>
            </m:r>
            <m:r>
              <m:t>h</m:t>
            </m:r>
            <m:r>
              <m:t>â</m:t>
            </m:r>
            <m:r>
              <m:t>n</m:t>
            </m:r>
            <m:r>
              <m:t>t</m:t>
            </m:r>
            <m:r>
              <m:t>í</m:t>
            </m:r>
            <m:r>
              <m:t>c</m:t>
            </m:r>
            <m:r>
              <m:t>h</m:t>
            </m:r>
          </m:sub>
        </m:sSub>
        <m:r>
          <m:rPr>
            <m:sty m:val="p"/>
          </m:rPr>
          <m:t>=</m:t>
        </m:r>
        <m:r>
          <m:t>10.476</m:t>
        </m:r>
      </m:oMath>
      <w:r>
        <w:t xml:space="preserve">; mẫu gộp</w:t>
      </w:r>
      <w:r>
        <w:t xml:space="preserve"> </w:t>
      </w:r>
      <m:oMath>
        <m:r>
          <m:t>N</m:t>
        </m:r>
        <m:r>
          <m:rPr>
            <m:sty m:val="p"/>
          </m:rPr>
          <m:t>=</m:t>
        </m:r>
        <m:r>
          <m:t>28.717</m:t>
        </m:r>
      </m:oMath>
      <w:r>
        <w:t xml:space="preserve">), pool đơn quốc gia lớn nhất của luận án. Ấn Độ thuộc Nhóm III ICRV (Emerging);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Tier-2 (</w:t>
      </w:r>
      <w:r>
        <w:rPr>
          <w:rStyle w:val="VerbatimChar"/>
        </w:rPr>
        <w:t xml:space="preserve">k33</w:t>
      </w:r>
      <w:r>
        <w:t xml:space="preserve">, tỷ trọng doanh thu qua thanh toán điện tử) cho phép kiểm định điều tiết DAI Tier-2, được xử lý như phân tích thăm dò vì chỉ có ở một đợt.</w:t>
      </w:r>
    </w:p>
    <w:bookmarkEnd w:id="108"/>
    <w:bookmarkEnd w:id="109"/>
    <w:bookmarkStart w:id="110" w:name="sai-số-chuẩn"/>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110"/>
    <w:bookmarkEnd w:id="111"/>
    <w:bookmarkStart w:id="117" w:name="kiểm-định-độ-vững"/>
    <w:p>
      <w:pPr>
        <w:pStyle w:val="Heading2"/>
      </w:pPr>
      <w:r>
        <w:t xml:space="preserve">3.5 Kiểm định độ vững</w:t>
      </w:r>
    </w:p>
    <w:bookmarkStart w:id="112" w:name="thay-đổi-thước-đo"/>
    <w:p>
      <w:pPr>
        <w:pStyle w:val="Heading3"/>
      </w:pPr>
      <w:r>
        <w:t xml:space="preserve">3.5.1 Thay đổi thước đo</w:t>
      </w:r>
    </w:p>
    <w:p>
      <w:pPr>
        <w:numPr>
          <w:ilvl w:val="0"/>
          <w:numId w:val="1010"/>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10"/>
        </w:numPr>
        <w:pStyle w:val="Compact"/>
      </w:pPr>
      <w:r>
        <w:t xml:space="preserve">Biến độc lập: thay FSTS bằng export status (binary), foreign sales count.</w:t>
      </w:r>
    </w:p>
    <w:p>
      <w:pPr>
        <w:numPr>
          <w:ilvl w:val="0"/>
          <w:numId w:val="1010"/>
        </w:numPr>
        <w:pStyle w:val="Compact"/>
      </w:pPr>
      <w:r>
        <w:t xml:space="preserve">Biến moderator: thay DAI_thin bằng DAI_rich (cho subset 2024+).</w:t>
      </w:r>
    </w:p>
    <w:bookmarkEnd w:id="112"/>
    <w:bookmarkStart w:id="113" w:name="mẫu-phụ"/>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113"/>
    <w:bookmarkStart w:id="114" w:name="outliers"/>
    <w:p>
      <w:pPr>
        <w:pStyle w:val="Heading3"/>
      </w:pPr>
      <w:r>
        <w:t xml:space="preserve">3.5.3 Outliers</w:t>
      </w:r>
    </w:p>
    <w:p>
      <w:pPr>
        <w:pStyle w:val="FirstParagraph"/>
      </w:pPr>
      <w:r>
        <w:t xml:space="preserve">Winsorization 1% và 5% đối với labor productivity và employment, áp dụng trong từng country-year.</w:t>
      </w:r>
    </w:p>
    <w:bookmarkEnd w:id="114"/>
    <w:bookmarkStart w:id="115" w:name="multicollinearity-và-heteroscedasticity"/>
    <w:p>
      <w:pPr>
        <w:pStyle w:val="Heading3"/>
      </w:pPr>
      <w:r>
        <w:t xml:space="preserve">3.5.4 Multicollinearity và heteroscedasticity</w:t>
      </w:r>
    </w:p>
    <w:p>
      <w:pPr>
        <w:numPr>
          <w:ilvl w:val="0"/>
          <w:numId w:val="1011"/>
        </w:numPr>
        <w:pStyle w:val="Compact"/>
      </w:pPr>
      <w:r>
        <w:t xml:space="preserve">VIF cho tất cả mô hình; ngưỡng VIF &lt; 5 (Hair et al., 2019).</w:t>
      </w:r>
    </w:p>
    <w:p>
      <w:pPr>
        <w:numPr>
          <w:ilvl w:val="0"/>
          <w:numId w:val="1011"/>
        </w:numPr>
        <w:pStyle w:val="Compact"/>
      </w:pPr>
      <w:r>
        <w:t xml:space="preserve">Breusch–Pagan test (Breusch &amp; Pagan, 1979).</w:t>
      </w:r>
    </w:p>
    <w:bookmarkEnd w:id="115"/>
    <w:bookmarkStart w:id="116" w:name="sensitivity-analysis-cho-meta-analysis"/>
    <w:p>
      <w:pPr>
        <w:pStyle w:val="Heading3"/>
      </w:pPr>
      <w:r>
        <w:t xml:space="preserve">3.5.5 Sensitivity analysis cho meta-analysis</w:t>
      </w:r>
    </w:p>
    <w:p>
      <w:pPr>
        <w:numPr>
          <w:ilvl w:val="0"/>
          <w:numId w:val="1012"/>
        </w:numPr>
        <w:pStyle w:val="Compact"/>
      </w:pPr>
      <w:r>
        <w:t xml:space="preserve">Leave-one-out: loại từng nghiên cứu và tái tính pooled effect.</w:t>
      </w:r>
    </w:p>
    <w:p>
      <w:pPr>
        <w:numPr>
          <w:ilvl w:val="0"/>
          <w:numId w:val="1012"/>
        </w:numPr>
        <w:pStyle w:val="Compact"/>
      </w:pPr>
      <w:r>
        <w:t xml:space="preserve">Trim-and-fill (Duval &amp; Tweedie, 2000) cho publication bias.</w:t>
      </w:r>
    </w:p>
    <w:bookmarkEnd w:id="116"/>
    <w:bookmarkEnd w:id="117"/>
    <w:bookmarkStart w:id="118"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49 châu Á + Pacific economies</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nghiên cứu thành phần P1 — 17 nước châu Á mới nổi</w:t>
            </w:r>
          </w:p>
        </w:tc>
        <w:tc>
          <w:tcPr/>
          <w:p>
            <w:pPr>
              <w:pStyle w:val="Compact"/>
              <w:jc w:val="left"/>
            </w:pPr>
            <w:r>
              <w:t xml:space="preserve">Mở rộng từ 17 →</w:t>
            </w:r>
            <w:r>
              <w:t xml:space="preserve"> </w:t>
            </w:r>
            <w:r>
              <w:rPr>
                <w:bCs/>
                <w:b/>
              </w:rPr>
              <w:t xml:space="preserve">49 nước</w:t>
            </w:r>
            <w:r>
              <w:t xml:space="preserve"> </w:t>
            </w:r>
            <w:r>
              <w:t xml:space="preserve">với 91.982 doanh nghiệp · 102 cặp quốc gia × năm</w:t>
            </w:r>
          </w:p>
        </w:tc>
      </w:tr>
      <w:tr>
        <w:tc>
          <w:tcPr/>
          <w:p>
            <w:pPr>
              <w:pStyle w:val="Compact"/>
              <w:jc w:val="left"/>
            </w:pPr>
            <w:r>
              <w:t xml:space="preserve">Labor productivity DV</w:t>
            </w:r>
          </w:p>
        </w:tc>
        <w:tc>
          <w:tcPr/>
          <w:p>
            <w:pPr>
              <w:pStyle w:val="Compact"/>
              <w:jc w:val="left"/>
            </w:pPr>
            <w:r>
              <w:t xml:space="preserve">Bloom et al. (2012); Hsieh &amp; Klenow (2009); nghiên cứu thành phần P1</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nghiên cứu thành phần P2</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118"/>
    <w:bookmarkStart w:id="119" w:name="đạo-đức-nghiên-cứu"/>
    <w:p>
      <w:pPr>
        <w:pStyle w:val="Heading2"/>
      </w:pPr>
      <w:r>
        <w:t xml:space="preserve">3.7 Đạo đức nghiên cứu</w:t>
      </w:r>
    </w:p>
    <w:p>
      <w:pPr>
        <w:pStyle w:val="FirstParagraph"/>
      </w:pPr>
      <w:r>
        <w:t xml:space="preserve">Luận án sử dụng dữ liệu thứ cấp từ WBES —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p>
      <w:r>
        <w:br w:type="page"/>
      </w:r>
    </w:p>
    <w:bookmarkEnd w:id="119"/>
    <w:bookmarkStart w:id="120" w:name="chương-4-kết-quả-nghiên-cứu"/>
    <w:p>
      <w:pPr>
        <w:pStyle w:val="Heading1"/>
      </w:pPr>
      <w:r>
        <w:t xml:space="preserve">CHƯƠNG 4: KẾT QUẢ NGHIÊN CỨU</w:t>
      </w:r>
    </w:p>
    <w:bookmarkEnd w:id="120"/>
    <w:p>
      <w:r>
        <w:pict>
          <v:rect style="width:0;height:1.5pt" o:hralign="center" o:hrstd="t" o:hr="t"/>
        </w:pict>
      </w:r>
    </w:p>
    <w:bookmarkStart w:id="121"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(§4.1) đến bằng chứng tổng hợp ở cấp meta-analytic (§4.2), sau đó đến bằng chứng quốc gia cụ thể và cuối cùng là kiểm định toàn mẫu đa quốc gia. Cấu trúc trình bày gồm tám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121"/>
    <w:bookmarkStart w:id="126" w:name="Xed285cd0261846a13dee28de69c0403b250498d"/>
    <w:p>
      <w:pPr>
        <w:pStyle w:val="Heading2"/>
      </w:pPr>
      <w:r>
        <w:t xml:space="preserve">4.1 Thực trạng quốc tế hóa và hiệu quả hoạt động kinh doanh tại châu Á</w:t>
      </w:r>
    </w:p>
    <w:bookmarkStart w:id="122" w:name="Xdc33a1e36e2f3be83736669663a61a68c91d087"/>
    <w:p>
      <w:pPr>
        <w:pStyle w:val="Heading3"/>
      </w:pPr>
      <w:r>
        <w:t xml:space="preserve">4.1.1 Bức tranh tổng thể về hiệu quả doanh nghiệp châu Á</w:t>
      </w:r>
    </w:p>
    <w:p>
      <w:pPr>
        <w:pStyle w:val="FirstParagraph"/>
      </w:pPr>
      <w:r>
        <w:t xml:space="preserve">Phân tích mô tả trên pool 91.982 doanh nghiệp từ 49 nền kinh tế châu Á và Thái Bình Dương trong giai đoạn 2003–2025 cho thấy bức tranh hiệu quả hoạt động kinh doanh có sự phân tán lớn và không hội tụ.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(pool gộp WBES 2003–2025; số doanh nghiệp phân loại ICRV ≈ 96.415; mẫu phân tích hồi quy chính N = 91.982 từ 49 nền kinh tế).</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 Advanced đổi mới (SG, HK, KOR, TWN, ISR)</w:t>
            </w:r>
          </w:p>
        </w:tc>
        <w:tc>
          <w:tcPr/>
          <w:p>
            <w:pPr>
              <w:pStyle w:val="Compact"/>
              <w:jc w:val="left"/>
            </w:pPr>
            <w:r>
              <w:t xml:space="preserve">4.708</w:t>
            </w:r>
          </w:p>
        </w:tc>
        <w:tc>
          <w:tcPr/>
          <w:p>
            <w:pPr>
              <w:pStyle w:val="Compact"/>
              <w:jc w:val="left"/>
            </w:pPr>
            <w:r>
              <w:rPr>
                <w:bCs/>
                <w:b/>
              </w:rPr>
              <w:t xml:space="preserve">1,04</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 Upper-middle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 Lower-middle transition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 Emerging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2003–2025.</w:t>
      </w:r>
    </w:p>
    <w:p>
      <w:pPr>
        <w:pStyle w:val="BodyText"/>
      </w:pPr>
      <w:r>
        <w:rPr>
          <w:iCs/>
          <w:i/>
        </w:rPr>
        <w:t xml:space="preserve">Ghi chú: Cột n là số doanh nghiệp được phân loại vào sáu nhóm ICRV trong pool gộp WBES (tổng 96.415; ngoài ra còn ~10.350 doanh nghiệp chưa gán nhóm ICRV do thiếu chỉ số thể chế). Mẫu phân tích hồi quy chính của P7 là N = 91.982 (mô hình baseline) và giảm dần khi bổ sung biến kiểm soát (xem §4.6.1), do loại các quan sát thiếu biến phụ thuộc/FSTS. ¹ Độ lệch chuẩn ln(năng suất lao động) tính trong từng cặp nền kinh tế × năm rồi lấy trung vị giữa các đợt của nhóm — bất biến với đơn vị tiền tệ (thừa số quy đổi triệt tiêu trên thang log); năng suất được winsorize 1/99 trong cụm country-year (xem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Advanced resource-driven; Nhóm III = Upper-middle;</w:t>
      </w:r>
      <w:r>
        <w:rPr>
          <w:iCs/>
          <w:i/>
        </w:rPr>
        <w:t xml:space="preserve"> </w:t>
      </w:r>
      <w:r>
        <w:rPr>
          <w:bCs/>
          <w:b/>
          <w:iCs/>
          <w:i/>
        </w:rPr>
        <w:t xml:space="preserve">Nhóm IV = Lower-middle transition</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Emerging</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20,5%, ISO 35,0% và 28,4% doanh nghiệp xuất khẩu, trong khi nhóm tài nguyên dẫn dắt chỉ có R&amp;D 7,0% và 11,7% doanh nghiệp xuất khẩu (Chuyên đề 1). Về phân phối, hai nền lớn nhất Vùng Vịnh có phân tán năng suất trong đợt hẹp nhất toàn pool (Saudi Arabia 0,49; Qatar 0,33 — so với Singapore 1,08, chênh hơn 2 lần) —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 tiếp cận tài chính hạn chế, thực thi hợp đồng kém, méo mó chính sách —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proxy gián tiếp</w:t>
      </w:r>
      <w:r>
        <w:t xml:space="preserve"> </w:t>
      </w:r>
      <w:r>
        <w:t xml:space="preserve">cho cơ chế phân tán TFPR (năng suất doanh thu) mà Hsieh và Klenow (2009) dùng để định danh misallocation,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misallocation chứ không phải bằng chứng phân rã trực tiếp. Dù vậy, hướng diễn giải này có hàm ý chính sách khác hẳn với việc coi phân tán chỉ là nhiễu thống kê. Cần nhấn mạnh rằng các so sánh giữa các nhóm ICRV trong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meta-analysis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§4.2.3) và gradient điểm uốn theo ICRV của mô hình hồi quy đa quốc gia P7 (§4.6.2). Hai nguồn bằng chứng này bảo đảm bức tranh thực trạng mô tả được neo vào bằng chứng suy diễn nhất quán, thay vì dừng lại ở so sánh trung bình–độ lệch chuẩn.</w:t>
      </w:r>
    </w:p>
    <w:bookmarkEnd w:id="122"/>
    <w:bookmarkStart w:id="123" w:name="X8bec3537640f28bf435d79e17219bfe20c234df"/>
    <w:p>
      <w:pPr>
        <w:pStyle w:val="Heading3"/>
      </w:pPr>
      <w:r>
        <w:t xml:space="preserve">4.1.2 Thực trạng quốc tế hóa — phân cực tham gia xuất khẩu</w:t>
      </w:r>
    </w:p>
    <w:p>
      <w:pPr>
        <w:pStyle w:val="FirstParagraph"/>
      </w:pPr>
      <w:r>
        <w:t xml:space="preserve">Trung vị FSTS bằng 0% trong tất cả các phân nhóm —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123"/>
    <w:bookmarkStart w:id="124"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I — Adv. đổi mới</w:t>
            </w:r>
          </w:p>
        </w:tc>
        <w:tc>
          <w:tcPr/>
          <w:p>
            <w:pPr>
              <w:pStyle w:val="Compact"/>
              <w:jc w:val="left"/>
            </w:pPr>
            <w:r>
              <w:t xml:space="preserve">24,3</w:t>
            </w:r>
          </w:p>
        </w:tc>
        <w:tc>
          <w:tcPr/>
          <w:p>
            <w:pPr>
              <w:pStyle w:val="Compact"/>
              <w:jc w:val="left"/>
            </w:pPr>
            <w:r>
              <w:t xml:space="preserve">14,7</w:t>
            </w:r>
          </w:p>
        </w:tc>
        <w:tc>
          <w:tcPr/>
          <w:p>
            <w:pPr>
              <w:pStyle w:val="Compact"/>
              <w:jc w:val="left"/>
            </w:pPr>
            <w:r>
              <w:rPr>
                <w:bCs/>
                <w:b/>
              </w:rPr>
              <w:t xml:space="preserve">20,5</w:t>
            </w:r>
          </w:p>
        </w:tc>
        <w:tc>
          <w:tcPr/>
          <w:p>
            <w:pPr>
              <w:pStyle w:val="Compact"/>
              <w:jc w:val="left"/>
            </w:pPr>
            <w:r>
              <w:rPr>
                <w:bCs/>
                <w:b/>
              </w:rPr>
              <w:t xml:space="preserve">35,0</w:t>
            </w:r>
          </w:p>
        </w:tc>
        <w:tc>
          <w:tcPr/>
          <w:p>
            <w:pPr>
              <w:pStyle w:val="Compact"/>
              <w:jc w:val="left"/>
            </w:pPr>
            <w:r>
              <w:rPr>
                <w:bCs/>
                <w:b/>
              </w:rPr>
              <w:t xml:space="preserve">61,7</w:t>
            </w:r>
          </w:p>
        </w:tc>
      </w:tr>
      <w:tr>
        <w:tc>
          <w:tcPr/>
          <w:p>
            <w:pPr>
              <w:pStyle w:val="Compact"/>
              <w:jc w:val="left"/>
            </w:pPr>
            <w:r>
              <w:t xml:space="preserve">II —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2003–2025.</w:t>
      </w:r>
    </w:p>
    <w:p>
      <w:pPr>
        <w:pStyle w:val="BodyText"/>
      </w:pPr>
      <w:r>
        <w:rPr>
          <w:iCs/>
          <w:i/>
        </w:rPr>
        <w:t xml:space="preserve">Ghi chú: Bảng 4.2 được tính trực tiếp từ dữ liệu thô WBES trên khung 49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20,5% (Nhóm I) → 10,2% (Nhóm VI); ISO 35,0% → 12,2%; website 61,7% → 41,5%. Bộ số này nhất quán với phân tích thực trạng ở Chuyên đề 1.</w:t>
      </w:r>
    </w:p>
    <w:p>
      <w:pPr>
        <w:pStyle w:val="BodyText"/>
      </w:pPr>
      <w:r>
        <w:t xml:space="preserve">Phát hiện đáng chú ý là pattern</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thấp nhất, và đây là nhóm duy nhất có quan hệ I–P âm đơn điệu (FIP).</w:t>
      </w:r>
    </w:p>
    <w:p>
      <w:pPr>
        <w:pStyle w:val="BodyText"/>
      </w:pPr>
      <w:r>
        <w:t xml:space="preserve">Một biểu hiện khác của bão hòa Tier-1 nằm ở tương quan giữa website và năng suất: phần bù tương quan của DAI Tier-1 thấp nhất ở nhóm Advanced đổi mới (+0,098, so với +0,180–0,201 ở các nhóm chuyển đổi và tài nguyên — Chuyên đề 1, Bảng 2.3.8.1) dù tỷ lệ có website của nhóm này cao nhất (61,7%).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Tier-1 nhiều hơn là giới hạn của số hóa — một vấn đề đo lường cần phân biệt với quan hệ nhân quả thực.</w:t>
      </w:r>
    </w:p>
    <w:bookmarkEnd w:id="124"/>
    <w:bookmarkStart w:id="125"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 đặc biệt nghiêm trọng ở Emerging và Lower-middle transition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institutional voids</w:t>
      </w:r>
      <w:r>
        <w:t xml:space="preserve">”</w:t>
      </w:r>
      <w:r>
        <w:t xml:space="preserve"> </w:t>
      </w:r>
      <w:r>
        <w:t xml:space="preserve">(Khanna &amp; Palepu, 2010) tạo ra chi phí giao dịch bổ sung cho doanh nghiệp khi mở rộng hoạt động ra ngoài biên giới. Sự hiện diện đồng thời của nhiều voids tại Emerging và SIDS giải thích tại sao quan hệ I–P ở các nhóm này yếu hoặc âm.</w:t>
      </w:r>
    </w:p>
    <w:p>
      <w:r>
        <w:pict>
          <v:rect style="width:0;height:1.5pt" o:hralign="center" o:hrstd="t" o:hr="t"/>
        </w:pict>
      </w:r>
    </w:p>
    <w:bookmarkEnd w:id="125"/>
    <w:bookmarkEnd w:id="126"/>
    <w:bookmarkStart w:id="131" w:name="Xe0084a7c2f7e752cafc4091ca0758f37f91bfa0"/>
    <w:p>
      <w:pPr>
        <w:pStyle w:val="Heading2"/>
      </w:pPr>
      <w:r>
        <w:t xml:space="preserve">4.2 Kết quả tổng hợp định lượng — Meta-analysis ba tầng (P6)</w:t>
      </w:r>
    </w:p>
    <w:bookmarkStart w:id="127" w:name="chỉ-số-hiệu-ứng-tổng-hợp"/>
    <w:p>
      <w:pPr>
        <w:pStyle w:val="Heading3"/>
      </w:pPr>
      <w:r>
        <w:t xml:space="preserve">4.2.1 Chỉ số hiệu ứng tổng hợp</w:t>
      </w:r>
    </w:p>
    <w:p>
      <w:pPr>
        <w:pStyle w:val="FirstParagraph"/>
      </w:pPr>
      <w:r>
        <w:t xml:space="preserve">Phân tích meta-analytic tổng hợp ba tầng (three-level multilevel meta-analysis — MARA) được tiến hành trên tập dữ liệu gồm</w:t>
      </w:r>
      <w:r>
        <w:t xml:space="preserve"> </w:t>
      </w:r>
      <m:oMath>
        <m:r>
          <m:t>k</m:t>
        </m:r>
        <m:r>
          <m:rPr>
            <m:sty m:val="p"/>
          </m:rPr>
          <m:t>=</m:t>
        </m:r>
        <m:r>
          <m:t>238</m:t>
        </m:r>
      </m:oMath>
      <w:r>
        <w:t xml:space="preserve"> </w:t>
      </w:r>
      <w:r>
        <w:t xml:space="preserve">nghiên cứu với tổng cộng K = 288 effect sizes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w:t>
      </w:r>
      <w:r>
        <w:t xml:space="preserve">— sự hội tụ này tạo ra bằng chứng chéo vững chắc khi mở rộng pool lên gần gấp đôi số nghiên cứu.</w:t>
      </w:r>
    </w:p>
    <w:bookmarkEnd w:id="127"/>
    <w:bookmarkStart w:id="128"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3"/>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 đây là nguồn dị biệt chủ đạo.</w:t>
      </w:r>
    </w:p>
    <w:p>
      <w:pPr>
        <w:numPr>
          <w:ilvl w:val="0"/>
          <w:numId w:val="1013"/>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literature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literature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28"/>
    <w:bookmarkStart w:id="129" w:name="X0fe7021f65141f72ccca43dd2595712a4bb11b5"/>
    <w:p>
      <w:pPr>
        <w:pStyle w:val="Heading3"/>
      </w:pPr>
      <w:r>
        <w:t xml:space="preserve">4.2.3 Điều tiết bởi chế độ thể chế — ICRV moderation</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 được phân loại thành sáu nhóm từ Advanced Innovation-Driven (Nhóm I: Singapore, Hong Kong, Đài Loan, Hàn Quốc) đến SIDS (Nhóm VI) — là moderator có ý nghĩa thực sự cho mối quan hệ tổng hợp I–P trong văn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(theo phân loại 5-regime của P6). Kết quả này nhất quán với cơ chế lý thuyết từ Institutional Theory — môi trường thể chế chất lượng cao tạo điều kiện để doanh nghiệp chuyển hóa quốc tế hóa thành hiệu quả dễ dàng hơn (North, 1990; Marano et al., 2016).</w:t>
      </w:r>
      <w:r>
        <w:t xml:space="preserve"> </w:t>
      </w:r>
      <w:r>
        <w:rPr>
          <w:iCs/>
          <w:i/>
        </w:rPr>
        <w:t xml:space="preserve">(Lưu ý phân loại: P6 — meta-analysis cấp nghiên cứu — dùng hệ ICRV 5-regime rút gọn [I Advanced-Innovation, II Upper-Middle, III Emerging, FR Frontier/SIDS, MX Mixed], khác với hệ 6 nhóm cấp doanh nghiệp dùng ở §4.1 và §4.6; nhóm</w:t>
      </w:r>
      <w:r>
        <w:rPr>
          <w:iCs/>
          <w:i/>
        </w:rPr>
        <w:t xml:space="preserve"> </w:t>
      </w:r>
      <w:r>
        <w:rPr>
          <w:iCs/>
          <w:i/>
        </w:rPr>
        <w:t xml:space="preserve">‘</w:t>
      </w:r>
      <w:r>
        <w:rPr>
          <w:iCs/>
          <w:i/>
        </w:rPr>
        <w:t xml:space="preserve">Frontier/SIDS</w:t>
      </w:r>
      <w:r>
        <w:rPr>
          <w:iCs/>
          <w:i/>
        </w:rPr>
        <w:t xml:space="preserve">’</w:t>
      </w:r>
      <w:r>
        <w:rPr>
          <w:iCs/>
          <w:i/>
        </w:rPr>
        <w:t xml:space="preserve"> </w:t>
      </w:r>
      <w:r>
        <w:rPr>
          <w:iCs/>
          <w:i/>
        </w:rPr>
        <w:t xml:space="preserve">của P6 là bin thể chế yếu nhất, tương ứng Nhóm V–VI trong hệ 6 nhóm. Thuật ngữ</w:t>
      </w:r>
      <w:r>
        <w:rPr>
          <w:iCs/>
          <w:i/>
        </w:rPr>
        <w:t xml:space="preserve"> </w:t>
      </w:r>
      <w:r>
        <w:rPr>
          <w:iCs/>
          <w:i/>
        </w:rPr>
        <w:t xml:space="preserve">‘</w:t>
      </w:r>
      <w:r>
        <w:rPr>
          <w:iCs/>
          <w:i/>
        </w:rPr>
        <w:t xml:space="preserve">Frontier</w:t>
      </w:r>
      <w:r>
        <w:rPr>
          <w:iCs/>
          <w:i/>
        </w:rPr>
        <w:t xml:space="preserve">’</w:t>
      </w:r>
      <w:r>
        <w:rPr>
          <w:iCs/>
          <w:i/>
        </w:rPr>
        <w:t xml:space="preserve"> </w:t>
      </w:r>
      <w:r>
        <w:rPr>
          <w:iCs/>
          <w:i/>
        </w:rPr>
        <w:t xml:space="preserve">ở §4.2 giữ theo phân loại gốc của P6.)</w:t>
      </w:r>
    </w:p>
    <w:bookmarkEnd w:id="129"/>
    <w:bookmarkStart w:id="130" w:name="kiểm-định-publication-bias"/>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r>
        <w:pict>
          <v:rect style="width:0;height:1.5pt" o:hralign="center" o:hrstd="t" o:hr="t"/>
        </w:pict>
      </w:r>
    </w:p>
    <w:bookmarkEnd w:id="130"/>
    <w:bookmarkEnd w:id="131"/>
    <w:bookmarkStart w:id="135" w:name="Xae571c1410747d630a72c4d12985bac375822ae"/>
    <w:p>
      <w:pPr>
        <w:pStyle w:val="Heading2"/>
      </w:pPr>
      <w:r>
        <w:t xml:space="preserve">4.3 Kết quả bối cảnh thể chế tiên tiến — Đổi mới: Singapore (P4)</w:t>
      </w:r>
    </w:p>
    <w:bookmarkStart w:id="132"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237</m:t>
        </m:r>
      </m:oMath>
      <w:r>
        <w:t xml:space="preserve"> </w:t>
      </w:r>
      <w:r>
        <w:t xml:space="preserve">doanh nghiệp xuất khẩu xác nhận mối quan hệ phi tuyến (inverted U-shape)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turning point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4.1).</w:t>
      </w:r>
    </w:p>
    <w:bookmarkEnd w:id="132"/>
    <w:bookmarkStart w:id="133" w:name="điều-tiết-bởi-digital-adoption-index-dai"/>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33"/>
    <w:bookmarkStart w:id="134"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nghiêm trọng về quy mô mẫu:</w:t>
      </w:r>
      <w:r>
        <w:t xml:space="preserve"> </w:t>
      </w:r>
      <m:oMath>
        <m:r>
          <m:t>N</m:t>
        </m:r>
        <m:r>
          <m:rPr>
            <m:sty m:val="p"/>
          </m:rPr>
          <m:t>=</m:t>
        </m:r>
        <m:r>
          <m:t>237</m:t>
        </m:r>
      </m:oMath>
      <w:r>
        <w:t xml:space="preserve"> </w:t>
      </w:r>
      <w:r>
        <w:t xml:space="preserve">quan sát, chỉ gồm các doanh nghiệp xuất khẩu,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 không bác bỏ giả thuyết nhưng cũng không tuyên bố xác nhận dứt khoát.</w:t>
      </w:r>
    </w:p>
    <w:p>
      <w:r>
        <w:pict>
          <v:rect style="width:0;height:1.5pt" o:hralign="center" o:hrstd="t" o:hr="t"/>
        </w:pict>
      </w:r>
    </w:p>
    <w:bookmarkEnd w:id="134"/>
    <w:bookmarkEnd w:id="135"/>
    <w:bookmarkStart w:id="139" w:name="Xabe361c2d5961cf19ce7ab2bd5d9bc6d758140a"/>
    <w:p>
      <w:pPr>
        <w:pStyle w:val="Heading2"/>
      </w:pPr>
      <w:r>
        <w:t xml:space="preserve">4.4 Kết quả bối cảnh thể chế trung bình cao: Trung Quốc, 2012–2024 (P5)</w:t>
      </w:r>
    </w:p>
    <w:bookmarkStart w:id="136" w:name="Xfb5fa188fd1fb4a9962d0cf33d126795226c748"/>
    <w:p>
      <w:pPr>
        <w:pStyle w:val="Heading3"/>
      </w:pPr>
      <w:r>
        <w:t xml:space="preserve">4.4.1 Xác nhận quan hệ phi tuyến và turning point</w:t>
      </w:r>
    </w:p>
    <w:p>
      <w:pPr>
        <w:pStyle w:val="FirstParagraph"/>
      </w:pPr>
      <w:r>
        <w:t xml:space="preserve">Phân tích hai giai đoạn trên dữ liệu WBES Trung Quốc (Nhóm III — Upper-middle) giai đoạn 2012–2024 xác nhận dạng quan hệ phi tuyến chữ U ngược giữa FSTS và hiệu quả hoạt động doanh nghiệp. Điểm turning point được ước lượng tại:</w:t>
      </w:r>
    </w:p>
    <w:p>
      <w:pPr>
        <w:numPr>
          <w:ilvl w:val="0"/>
          <w:numId w:val="1014"/>
        </w:numPr>
        <w:pStyle w:val="Compact"/>
      </w:pPr>
      <w:r>
        <w:rPr>
          <w:bCs/>
          <w:b/>
        </w:rPr>
        <w:t xml:space="preserve">Năm 2012</w:t>
      </w:r>
      <w:r>
        <w:t xml:space="preserve">: TP = 49,37% FSTS</w:t>
      </w:r>
    </w:p>
    <w:p>
      <w:pPr>
        <w:numPr>
          <w:ilvl w:val="0"/>
          <w:numId w:val="1014"/>
        </w:numPr>
        <w:pStyle w:val="Compact"/>
      </w:pPr>
      <w:r>
        <w:rPr>
          <w:bCs/>
          <w:b/>
        </w:rPr>
        <w:t xml:space="preserve">Năm 2024</w:t>
      </w:r>
      <w:r>
        <w:t xml:space="preserve">: TP = 47,19% FSTS</w:t>
      </w:r>
    </w:p>
    <w:p>
      <w:pPr>
        <w:numPr>
          <w:ilvl w:val="0"/>
          <w:numId w:val="1014"/>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136"/>
    <w:bookmarkStart w:id="137" w:name="Xe662776ac4ed20d7263c0278e37e5e670eb65fc"/>
    <w:p>
      <w:pPr>
        <w:pStyle w:val="Heading3"/>
      </w:pPr>
      <w:r>
        <w:t xml:space="preserve">4.4.2 Kiểm định tính ổn định theo thời gian — Temporal Stability</w:t>
      </w:r>
    </w:p>
    <w:p>
      <w:pPr>
        <w:pStyle w:val="FirstParagraph"/>
      </w:pPr>
      <w:r>
        <w:t xml:space="preserve">Luận án đặt câu hỏi thực nghiệm quan trọng: liệu hình dạng phi tuyến và điểm turning point có thay đổi qua thập kỷ 2012–2024 —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 không có ý nghĩa thống kê. Điều này xác nhận rằng</w:t>
      </w:r>
      <w:r>
        <w:t xml:space="preserve"> </w:t>
      </w:r>
      <w:r>
        <w:rPr>
          <w:bCs/>
          <w:b/>
        </w:rPr>
        <w:t xml:space="preserve">điểm turning point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w:t>
      </w:r>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 có thể phản ánh sự bù trừ giữa chi phí thích ứng tăng lên do chính sách thương mại khó đoán và năng lực tổ chức ngày càng trưởng thành của các doanh nghiệp xuất khẩu Trung Quốc.</w:t>
      </w:r>
    </w:p>
    <w:bookmarkEnd w:id="137"/>
    <w:bookmarkStart w:id="138"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138"/>
    <w:bookmarkEnd w:id="139"/>
    <w:bookmarkStart w:id="144" w:name="Xdbd5cc67084304ba85b73781c0cb0c00b74055b"/>
    <w:p>
      <w:pPr>
        <w:pStyle w:val="Heading2"/>
      </w:pPr>
      <w:r>
        <w:t xml:space="preserve">4.5 Kết quả bối cảnh chuyển đổi bậc thấp—trung: Việt Nam (P3)</w:t>
      </w:r>
    </w:p>
    <w:bookmarkStart w:id="140"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 mô hình chính —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w:t>
      </w:r>
      <w:r>
        <w:t xml:space="preserve">— bằng chứng thống kê mạnh nhất trong tất cả các mẫu quốc gia của luận án.</w:t>
      </w:r>
    </w:p>
    <w:bookmarkEnd w:id="140"/>
    <w:bookmarkStart w:id="141" w:name="điểm-turning-point-theo-làn-sóng"/>
    <w:p>
      <w:pPr>
        <w:pStyle w:val="Heading3"/>
      </w:pPr>
      <w:r>
        <w:t xml:space="preserve">4.5.2 Điểm turning point theo làn sóng</w:t>
      </w:r>
    </w:p>
    <w:p>
      <w:pPr>
        <w:pStyle w:val="FirstParagraph"/>
      </w:pPr>
      <w:r>
        <w:t xml:space="preserve">Turning point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turning point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turning point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w:t>
      </w:r>
      <w:r>
        <w:t xml:space="preserve">— có ý nghĩa thống kê, cho thấy turning point đã dịch chuyển đáng kể từ 46,2% xuống 39,3% giữa hai làn sóng.</w:t>
      </w:r>
    </w:p>
    <w:bookmarkEnd w:id="141"/>
    <w:bookmarkStart w:id="142" w:name="điều-tiết-bởi-tci-tích-cực-và-có-ý-nghĩa"/>
    <w:p>
      <w:pPr>
        <w:pStyle w:val="Heading3"/>
      </w:pPr>
      <w:r>
        <w:t xml:space="preserve">4.5.3 Điều tiết bởi TCI —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 nhất quán với H2 trong khung lý thuyết CDCM.</w:t>
      </w:r>
    </w:p>
    <w:bookmarkEnd w:id="142"/>
    <w:bookmarkStart w:id="143" w:name="điều-tiết-bởi-dai-không-có-ý-nghĩa"/>
    <w:p>
      <w:pPr>
        <w:pStyle w:val="Heading3"/>
      </w:pPr>
      <w:r>
        <w:t xml:space="preserve">4.5.4 Điều tiết bởi DAI —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143"/>
    <w:bookmarkEnd w:id="144"/>
    <w:bookmarkStart w:id="151" w:name="X561afa853383c674354c1acb167a55cae3a018f"/>
    <w:p>
      <w:pPr>
        <w:pStyle w:val="Heading2"/>
      </w:pPr>
      <w:r>
        <w:t xml:space="preserve">4.6 Kết quả kiểm định toàn mẫu đa bối cảnh châu Á (P7)</w:t>
      </w:r>
    </w:p>
    <w:bookmarkStart w:id="145"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với</w:t>
      </w:r>
      <w:r>
        <w:t xml:space="preserve"> </w:t>
      </w:r>
      <m:oMath>
        <m:r>
          <m:t>N</m:t>
        </m:r>
        <m:r>
          <m:rPr>
            <m:sty m:val="p"/>
          </m:rPr>
          <m:t>=</m:t>
        </m:r>
        <m:r>
          <m:t>84.910</m:t>
        </m:r>
      </m:oMath>
      <w:r>
        <w:rPr>
          <w:bCs/>
          <w:b/>
        </w:rPr>
        <w:t xml:space="preserve"> </w:t>
      </w:r>
      <w:r>
        <w:rPr>
          <w:bCs/>
          <w:b/>
        </w:rPr>
        <w:t xml:space="preserve">quan sát</w:t>
      </w:r>
      <w:r>
        <w:t xml:space="preserve"> </w:t>
      </w:r>
      <w:r>
        <w:t xml:space="preserve">(mô hình M2 — quadratic FSTS không có biến kiểm soát). Khi bổ sung đầy đủ biến kiểm soát, mẫu hồi quy giảm xuống</w:t>
      </w:r>
      <w:r>
        <w:t xml:space="preserve"> </w:t>
      </w:r>
      <m:oMath>
        <m:r>
          <m:t>N</m:t>
        </m:r>
        <m:r>
          <m:rPr>
            <m:sty m:val="p"/>
          </m:rPr>
          <m:t>=</m:t>
        </m:r>
        <m:r>
          <m:t>38.342</m:t>
        </m:r>
      </m:oMath>
      <w:r>
        <w:t xml:space="preserve"> </w:t>
      </w:r>
      <w:r>
        <w:t xml:space="preserve">quan sát (M3–M5), phản ánh missing data trong biến sở hữu nước ngoài và tuổi doanh nghiệp ở các nền kinh tế nhỏ và sóng WBES sớm. Mô hình M5 với country fixed effects và year fixed effects — cấu hình mạnh nhất về kiểm soát phương sai không quan sát (</w:t>
      </w:r>
      <m:oMath>
        <m:sSup>
          <m:e>
            <m:r>
              <m:rPr>
                <m:nor/>
                <m:sty m:val="p"/>
              </m:rPr>
              <m:t>adjR</m:t>
            </m:r>
          </m:e>
          <m:sup>
            <m:r>
              <m:t>2</m:t>
            </m:r>
          </m:sup>
        </m:sSup>
        <m:r>
          <m:rPr>
            <m:sty m:val="p"/>
          </m:rPr>
          <m:t>=</m:t>
        </m:r>
        <m:r>
          <m:rPr>
            <m:sty m:val="p"/>
          </m:rPr>
          <m:t>,</m:t>
        </m:r>
        <m:r>
          <m:t>677</m:t>
        </m:r>
      </m:oMath>
      <w:r>
        <w:t xml:space="preserve">) — ước lượng turning point tổng thể (pooled):</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Turning point dao động nhất quán trong dải hẹp 33,8–40,0% FSTS qua tất cả các đặc tả M2–M9, và được xác nhận lại trong mô hình điều tiết ba chiều đầy đủ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w:t>
      </w:r>
      <w:r>
        <w:t xml:space="preserve"> </w:t>
      </w:r>
      <m:oMath>
        <m:r>
          <m:t>N</m:t>
        </m:r>
        <m:r>
          <m:rPr>
            <m:sty m:val="p"/>
          </m:rPr>
          <m:t>=</m:t>
        </m:r>
        <m:r>
          <m:t>29.840</m:t>
        </m:r>
      </m:oMath>
      <w:r>
        <w:t xml:space="preserve">). Tính nhất quán này bác bỏ giả thuyết rằng chữ U ngược chỉ là artefact của mẫu nhỏ hay thiếu biến kiểm soát.</w:t>
      </w:r>
    </w:p>
    <w:p>
      <w:pPr>
        <w:pStyle w:val="BodyText"/>
      </w:pPr>
      <w:r>
        <w:rPr>
          <w:bCs/>
          <w:b/>
        </w:rPr>
        <w:t xml:space="preserve">Phạm vi thời gian của mẫu.</w:t>
      </w:r>
      <w:r>
        <w:t xml:space="preserve"> </w:t>
      </w:r>
      <w:r>
        <w:t xml:space="preserve">Mẫu phân tích của P7 được chốt tại 49 nền kinh tế với các đợt khảo sát đến thời điểm xây dựng bộ dữ liệu. Một số đợt khảo sát công bố sau thời điểm chốt mẫu — đáng chú ý là Nhật Bản 2025 (nền kinh tế lần đầu được WBES khảo sát, thuộc nhóm thể chế tiên tiến) và các đợt 2024–2026 của nhiều nền trong khung — nằm ngoài phạm vi ước lượng của luận án và tạo thành hướng mở rộng tự nhiên cho nghiên cứu tiếp theo (xem §5.5). Về mặt kỳ vọng, do mô hình dùng hiệu ứng cố định nền kinh tế và Nhật Bản có biến thiên quốc tế hóa thấp (FSTS trung bình khoảng 4%), việc bổ sung quan sát này nhiều khả năng chỉ tinh chỉnh ước lượng của Nhóm I mà không làm thay đổi gradient điểm uốn giữa các nhóm.</w:t>
      </w:r>
    </w:p>
    <w:bookmarkEnd w:id="145"/>
    <w:bookmarkStart w:id="149" w:name="gradient-icrv-xác-nhận-h5"/>
    <w:p>
      <w:pPr>
        <w:pStyle w:val="Heading3"/>
      </w:pPr>
      <w:r>
        <w:t xml:space="preserve">4.6.2 Gradient ICRV — Xác nhận H5</w:t>
      </w:r>
    </w:p>
    <w:p>
      <w:pPr>
        <w:pStyle w:val="FirstParagraph"/>
      </w:pPr>
      <w:r>
        <w:t xml:space="preserve">Kết quả quan trọng nhất của P7 là xác nhận</w:t>
      </w:r>
      <w:r>
        <w:t xml:space="preserve"> </w:t>
      </w:r>
      <w:r>
        <w:rPr>
          <w:bCs/>
          <w:b/>
        </w:rPr>
        <w:t xml:space="preserve">gradient ICRV</w:t>
      </w:r>
      <w:r>
        <w:t xml:space="preserve">: turning point tăng dần khi chuyển từ nhóm thể chế mạnh hơn sang nhóm thể chế yếu hơn:</w:t>
      </w:r>
    </w:p>
    <w:p>
      <w:pPr>
        <w:pStyle w:val="BodyText"/>
      </w:pPr>
      <m:oMathPara>
        <m:oMathParaPr>
          <m:jc m:val="center"/>
        </m:oMathParaPr>
        <m:oMath>
          <m:r>
            <m:rPr>
              <m:nor/>
              <m:sty m:val="p"/>
            </m:rPr>
            <m:t>TP(Advanced Innovation)</m:t>
          </m:r>
          <m:r>
            <m:rPr>
              <m:sty m:val="p"/>
            </m:rPr>
            <m:t>≈</m:t>
          </m:r>
          <m:r>
            <m:t>28</m:t>
          </m:r>
          <m:r>
            <m:rPr>
              <m:sty m:val="p"/>
            </m:rPr>
            <m:t>%</m:t>
          </m:r>
          <m:r>
            <m:rPr>
              <m:sty m:val="p"/>
            </m:rPr>
            <m:t>&lt;</m:t>
          </m:r>
          <m:r>
            <m:rPr>
              <m:nor/>
              <m:sty m:val="p"/>
            </m:rPr>
            <m:t>TP(Upper-middle)</m:t>
          </m:r>
          <m:r>
            <m:rPr>
              <m:sty m:val="p"/>
            </m:rPr>
            <m:t>&lt;</m:t>
          </m:r>
          <m:r>
            <m:rPr>
              <m:nor/>
              <m:sty m:val="p"/>
            </m:rPr>
            <m:t>TP(Emerging/SIDS)</m:t>
          </m:r>
          <m:r>
            <m:rPr>
              <m:sty m:val="p"/>
            </m:rPr>
            <m:t>≈</m:t>
          </m:r>
          <m:r>
            <m:t>55</m:t>
          </m:r>
          <m:r>
            <m:rPr>
              <m:sty m:val="p"/>
            </m:rPr>
            <m:t>%</m:t>
          </m:r>
        </m:oMath>
      </m:oMathPara>
    </w:p>
    <w:p>
      <w:pPr>
        <w:pStyle w:val="FirstParagraph"/>
      </w:pPr>
      <w:r>
        <w:t xml:space="preserve">Gradient này nhất quán với dự đoán của Institutional Theory: trong môi trường thể chế mạnh (Nhóm I), doanh nghiệp hoàn thu chi phí quốc tế hóa tại mức FSTS thấp hơn, tức là đạt đỉnh hiệu quả sớm hơn. Ngược lại, tại các nền kinh tế thể chế yếu (Nhóm V–VI), doanh nghiệp cần mức độ quốc tế hóa cao hơn để bù đắp chi phí giao dịch và bất định thể chế, nên turning point xuất hiện muộn hơn — ở mức FSTS cao hơn.</w:t>
      </w:r>
    </w:p>
    <w:p>
      <w:pPr>
        <w:pStyle w:val="BodyText"/>
      </w:pPr>
      <w:r>
        <w:t xml:space="preserve">Kiểm định điều tiết tổng thể</w:t>
      </w:r>
      <w:r>
        <w:t xml:space="preserve"> </w:t>
      </w:r>
      <m:oMath>
        <m:sSub>
          <m:e>
            <m:r>
              <m:t>Q</m:t>
            </m:r>
          </m:e>
          <m:sub>
            <m:r>
              <m:t>M</m:t>
            </m:r>
          </m:sub>
        </m:sSub>
      </m:oMath>
      <w:r>
        <w:t xml:space="preserve"> </w:t>
      </w:r>
      <w:r>
        <w:t xml:space="preserve">về ICRV có ý nghĩa thống kê cao, nhất quán với kết quả meta-analysis trong P6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 meta-analytic và primary empirical — cùng chỉ ra gradient ICRV, tạo ra independent confirmation có giá trị.</w:t>
      </w:r>
    </w:p>
    <w:p>
      <w:pPr>
        <w:pStyle w:val="CaptionedFigure"/>
      </w:pPr>
      <w:r>
        <w:drawing>
          <wp:inline>
            <wp:extent cx="5753100" cy="3849196"/>
            <wp:effectExtent b="0" l="0" r="0" t="0"/>
            <wp:docPr descr="Hình 4.1. Họ đường cong I–P phụ thuộc chế độ thể chế ICRV" title="" id="147" name="Picture"/>
            <a:graphic>
              <a:graphicData uri="http://schemas.openxmlformats.org/drawingml/2006/picture">
                <pic:pic>
                  <pic:nvPicPr>
                    <pic:cNvPr descr="figures/fig_4_x_ip_curves_icrv_gradient.png" id="148" name="Picture"/>
                    <pic:cNvPicPr>
                      <a:picLocks noChangeArrowheads="1" noChangeAspect="1"/>
                    </pic:cNvPicPr>
                  </pic:nvPicPr>
                  <pic:blipFill>
                    <a:blip r:embed="rId146"/>
                    <a:stretch>
                      <a:fillRect/>
                    </a:stretch>
                  </pic:blipFill>
                  <pic:spPr bwMode="auto">
                    <a:xfrm>
                      <a:off x="0" y="0"/>
                      <a:ext cx="5753100" cy="3849196"/>
                    </a:xfrm>
                    <a:prstGeom prst="rect">
                      <a:avLst/>
                    </a:prstGeom>
                    <a:noFill/>
                    <a:ln w="9525">
                      <a:noFill/>
                      <a:headEnd/>
                      <a:tailEnd/>
                    </a:ln>
                  </pic:spPr>
                </pic:pic>
              </a:graphicData>
            </a:graphic>
          </wp:inline>
        </w:drawing>
      </w:r>
    </w:p>
    <w:p>
      <w:pPr>
        <w:pStyle w:val="ImageCaption"/>
      </w:pPr>
      <w:r>
        <w:t xml:space="preserve">Hình 4.1. Họ đường cong I–P phụ thuộc chế độ thể chế ICRV</w:t>
      </w:r>
    </w:p>
    <w:p>
      <w:pPr>
        <w:pStyle w:val="BodyText"/>
      </w:pPr>
      <w:r>
        <w:rPr>
          <w:bCs/>
          <w:b/>
        </w:rPr>
        <w:t xml:space="preserve">Hình 4.1.</w:t>
      </w:r>
      <w:r>
        <w:t xml:space="preserve"> </w:t>
      </w:r>
      <w:r>
        <w:rPr>
          <w:iCs/>
          <w:i/>
        </w:rPr>
        <w:t xml:space="preserve">Họ đường cong I–P phụ thuộc chế độ thể chế ICRV.</w:t>
      </w:r>
      <w:r>
        <w:t xml:space="preserve"> </w:t>
      </w:r>
      <w:r>
        <w:t xml:space="preserve">Các đường chữ U ngược có cùng độ cao đỉnh nhưng điểm uốn (turning point) dịch dần sang phải khi chất lượng thể chế giảm (từ ≈28% ở Nhóm I đến ≈55% ở Nhóm V–VI); riêng nhóm SIDS (Nhóm VI) quan hệ chuyển sang âm đơn điệu không có điểm uốn (FIP, H1b).</w:t>
      </w:r>
      <w:r>
        <w:t xml:space="preserve"> </w:t>
      </w:r>
      <w:r>
        <w:rPr>
          <w:iCs/>
          <w:i/>
        </w:rPr>
        <w:t xml:space="preserve">Nguồn: minh họa của tác giả từ kết quả P6–P8.</w:t>
      </w:r>
    </w:p>
    <w:bookmarkEnd w:id="149"/>
    <w:bookmarkStart w:id="150" w:name="điều-tiết-bởi-tci-và-dai-trong-toàn-mẫu"/>
    <w:p>
      <w:pPr>
        <w:pStyle w:val="Heading3"/>
      </w:pPr>
      <w:r>
        <w:t xml:space="preserve">4.6.3 Điều tiết bởi TCI và DAI trong toàn mẫu</w:t>
      </w:r>
    </w:p>
    <w:p>
      <w:pPr>
        <w:numPr>
          <w:ilvl w:val="0"/>
          <w:numId w:val="1015"/>
        </w:numPr>
        <w:pStyle w:val="Compact"/>
      </w:pPr>
      <w:r>
        <w:rPr>
          <w:bCs/>
          <w:b/>
        </w:rPr>
        <w:t xml:space="preserve">TCI</w:t>
      </w:r>
      <w:r>
        <w:t xml:space="preserve">: có ý nghĩa thống kê dương trên toàn mẫu — một đơn vị độ lệch chuẩn tăng TCI nâng năng suất lao động khoảng 41% (exp(0,344)−1). Tuy nhiên, các tương tác FSTS×TCI và FSTS²×TCI</w:t>
      </w:r>
      <w:r>
        <w:t xml:space="preserve"> </w:t>
      </w:r>
      <w:r>
        <w:rPr>
          <w:bCs/>
          <w:b/>
        </w:rPr>
        <w:t xml:space="preserve">không có ý nghĩa</w:t>
      </w:r>
      <w:r>
        <w:t xml:space="preserve"> </w:t>
      </w:r>
      <w:r>
        <w:t xml:space="preserve">trong mẫu 49 nền kinh tế đa dạng thể chế. H2</w:t>
      </w:r>
      <w:r>
        <w:t xml:space="preserve"> </w:t>
      </w:r>
      <w:r>
        <w:rPr>
          <w:bCs/>
          <w:b/>
        </w:rPr>
        <w:t xml:space="preserve">được xác nhận một phần</w:t>
      </w:r>
      <w:r>
        <w:t xml:space="preserve">: TCI là yếu tố nâng mặt bằng năng suất nhất quán, nhưng vai trò uốn hình dạng đường cong I–P chỉ xuất hiện trong bối cảnh quốc gia cụ thể (P3 Việt Nam), không phổ quát xuyên toàn mẫu.</w:t>
      </w:r>
    </w:p>
    <w:p>
      <w:pPr>
        <w:numPr>
          <w:ilvl w:val="0"/>
          <w:numId w:val="1015"/>
        </w:numPr>
        <w:pStyle w:val="Compact"/>
      </w:pPr>
      <w:r>
        <w:rPr>
          <w:bCs/>
          <w:b/>
        </w:rPr>
        <w:t xml:space="preserve">DAI</w:t>
      </w:r>
      <w:r>
        <w:t xml:space="preserve">: có ý nghĩa thống kê toàn mẫu — hiệu ứng trực tiếp</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155</m:t>
        </m:r>
      </m:oMath>
      <w:r>
        <w:t xml:space="preserve"> </w:t>
      </w:r>
      <w:r>
        <w:t xml:space="preserve">(</w:t>
      </w:r>
      <m:oMath>
        <m:r>
          <m:t>p</m:t>
        </m:r>
        <m:r>
          <m:rPr>
            <m:sty m:val="p"/>
          </m:rPr>
          <m:t>&lt;</m:t>
        </m:r>
        <m:r>
          <m:rPr>
            <m:sty m:val="p"/>
          </m:rPr>
          <m:t>,</m:t>
        </m:r>
        <m:r>
          <m:t>001</m:t>
        </m:r>
      </m:oMath>
      <w:r>
        <w:t xml:space="preserve">) tương ứng lợi thế năng suất ~17% cho doanh nghiệp có website. Quan trọng hơn, cả hai tương tác điều tiết đều có ý nghĩa:</w:t>
      </w:r>
      <w:r>
        <w:t xml:space="preserve">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 </w:t>
      </w:r>
      <w:r>
        <w:t xml:space="preserve">(</w:t>
      </w:r>
      <m:oMath>
        <m:r>
          <m:t>p</m:t>
        </m:r>
        <m:r>
          <m:rPr>
            <m:sty m:val="p"/>
          </m:rPr>
          <m:t>&lt;</m:t>
        </m:r>
        <m:r>
          <m:rPr>
            <m:sty m:val="p"/>
          </m:rPr>
          <m:t>,</m:t>
        </m:r>
        <m:r>
          <m:t>01</m:t>
        </m:r>
      </m:oMath>
      <w:r>
        <w:t xml:space="preserve">). Pattern âm rồi dương này cho thấy doanh nghiệp DAI cao có đường cong I–P phẳng hơn nhưng dịch lên — tổn thất hiệu suất ít hơn khi quốc tế hóa cao. Tương tác DAI×ICRV (</w:t>
      </w:r>
      <m:oMath>
        <m:r>
          <m:t>p</m:t>
        </m:r>
        <m:r>
          <m:rPr>
            <m:sty m:val="p"/>
          </m:rPr>
          <m:t>=</m:t>
        </m:r>
        <m:r>
          <m:rPr>
            <m:sty m:val="p"/>
          </m:rPr>
          <m:t>,</m:t>
        </m:r>
        <m:r>
          <m:t>012</m:t>
        </m:r>
      </m:oMath>
      <w:r>
        <w:t xml:space="preserve">) xác nhận vai trò của DAI mạnh hơn ở các môi trường thể chế yếu hơn (nhất quán với CDCM).</w:t>
      </w:r>
    </w:p>
    <w:p>
      <w:r>
        <w:pict>
          <v:rect style="width:0;height:1.5pt" o:hralign="center" o:hrstd="t" o:hr="t"/>
        </w:pict>
      </w:r>
    </w:p>
    <w:bookmarkEnd w:id="150"/>
    <w:bookmarkEnd w:id="151"/>
    <w:bookmarkStart w:id="155" w:name="X42f69945b56833cca239d45dc5864a7be6f74d7"/>
    <w:p>
      <w:pPr>
        <w:pStyle w:val="Heading2"/>
      </w:pPr>
      <w:r>
        <w:t xml:space="preserve">4.7 Kết quả trường hợp biên SIDS — Các nền kinh tế đảo nhỏ đang phát triển (P8)</w:t>
      </w:r>
    </w:p>
    <w:bookmarkStart w:id="152" w:name="đặc-điểm-mẫu-sids"/>
    <w:p>
      <w:pPr>
        <w:pStyle w:val="Heading3"/>
      </w:pPr>
      <w:r>
        <w:t xml:space="preserve">4.7.1 Đặc điểm mẫu SIDS</w:t>
      </w:r>
    </w:p>
    <w:p>
      <w:pPr>
        <w:pStyle w:val="FirstParagraph"/>
      </w:pPr>
      <w:r>
        <w:t xml:space="preserve">Phân tích P8 tập trung vào bảy quốc gia Pacific SIDS (Pacific Small Island Developing States — Nhóm VI) với tổng</w:t>
      </w:r>
      <w:r>
        <w:t xml:space="preserve"> </w:t>
      </w:r>
      <m:oMath>
        <m:r>
          <m:t>N</m:t>
        </m:r>
        <m:r>
          <m:rPr>
            <m:sty m:val="p"/>
          </m:rPr>
          <m:t>=</m:t>
        </m:r>
        <m:r>
          <m:t>959</m:t>
        </m:r>
      </m:oMath>
      <w:r>
        <w:t xml:space="preserve"> </w:t>
      </w:r>
      <w:r>
        <w:t xml:space="preserve">doanh nghiệp, trong đó chỉ</w:t>
      </w:r>
      <w:r>
        <w:t xml:space="preserve"> </w:t>
      </w:r>
      <m:oMath>
        <m:sSub>
          <m:e>
            <m:r>
              <m:t>N</m:t>
            </m:r>
          </m:e>
          <m:sub>
            <m:r>
              <m:rPr>
                <m:nor/>
                <m:sty m:val="p"/>
              </m:rPr>
              <m:t>exporters</m:t>
            </m:r>
          </m:sub>
        </m:sSub>
        <m:r>
          <m:rPr>
            <m:sty m:val="p"/>
          </m:rPr>
          <m:t>=</m:t>
        </m:r>
        <m:r>
          <m:t>132</m:t>
        </m:r>
      </m:oMath>
      <w:r>
        <w:t xml:space="preserve"> </w:t>
      </w:r>
      <w:r>
        <w:t xml:space="preserve">(chiếm 13,8% mẫu). Tỷ lệ doanh thu xuất khẩu trung bình rất thấp: mean FSTS = 0,048 (4,8%).</w:t>
      </w:r>
    </w:p>
    <w:bookmarkEnd w:id="152"/>
    <w:bookmarkStart w:id="153" w:name="X305be4308b12f06c15c4aa0bf75053d865f81d7"/>
    <w:p>
      <w:pPr>
        <w:pStyle w:val="Heading3"/>
      </w:pPr>
      <w:r>
        <w:t xml:space="preserve">4.7.2 Hiệu ứng âm đơn điệu —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r>
            <m:rPr>
              <m:sty m:val="p"/>
            </m:rPr>
            <m:t>,</m:t>
          </m:r>
          <m:r>
            <m:t> </m:t>
          </m:r>
          <m:r>
            <m:t>S</m:t>
          </m:r>
          <m:r>
            <m:t>E</m:t>
          </m:r>
          <m:r>
            <m:rPr>
              <m:sty m:val="p"/>
            </m:rPr>
            <m:t>=</m:t>
          </m:r>
          <m:r>
            <m:t>0</m:t>
          </m:r>
          <m:r>
            <m:rPr>
              <m:sty m:val="p"/>
            </m:rPr>
            <m:t>,</m:t>
          </m:r>
          <m:r>
            <m:t>386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w:t>
      </w:r>
      <w:r>
        <w:t xml:space="preserve">— quan hệ âm đơn điệu. Trong mẫu chỉ gồm doanh nghiệp xuất khẩu (exporters-only, N = 26 — rất nhỏ), hệ số vẫn âm nhưng không đạt ý nghĩa thống kê (thiếu công suất):</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176</m:t>
          </m:r>
          <m:r>
            <m:rPr>
              <m:sty m:val="p"/>
            </m:rPr>
            <m:t>,</m:t>
          </m:r>
          <m:r>
            <m:t> </m:t>
          </m:r>
          <m:r>
            <m:t>p</m:t>
          </m:r>
          <m:r>
            <m:rPr>
              <m:sty m:val="p"/>
            </m:rPr>
            <m:t>=</m:t>
          </m:r>
          <m:r>
            <m:rPr>
              <m:sty m:val="p"/>
            </m:rPr>
            <m:t>,</m:t>
          </m:r>
          <m:r>
            <m:t>130</m:t>
          </m:r>
          <m:r>
            <m:t> </m:t>
          </m:r>
          <m:d>
            <m:dPr>
              <m:begChr m:val="("/>
              <m:endChr m:val=")"/>
              <m:sepChr m:val=""/>
              <m:grow/>
            </m:dPr>
            <m:e>
              <m:r>
                <m:rPr>
                  <m:nor/>
                  <m:sty m:val="p"/>
                </m:rPr>
                <m:t>NS</m:t>
              </m:r>
            </m:e>
          </m:d>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 không có turning point trong phạm vi dữ liệu.</w:t>
      </w:r>
    </w:p>
    <w:bookmarkEnd w:id="153"/>
    <w:bookmarkStart w:id="154" w:name="X1eacd79ea5935ba958f558c7fa8a022614fd635"/>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w:t>
      </w:r>
      <w:r>
        <w:t xml:space="preserve">— gánh nặng quốc tế hóa bắt buộc — một construct lý thuyết mới chưa có trong literature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 lần đầu tiên được ghi nhận và đặt tên trong literature internationalization–firm performance cho khu vực Thái Bình Dương.</w:t>
      </w:r>
    </w:p>
    <w:p>
      <w:r>
        <w:pict>
          <v:rect style="width:0;height:1.5pt" o:hralign="center" o:hrstd="t" o:hr="t"/>
        </w:pict>
      </w:r>
    </w:p>
    <w:bookmarkEnd w:id="154"/>
    <w:bookmarkEnd w:id="155"/>
    <w:bookmarkStart w:id="156"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t>p</m:t>
            </m:r>
            <m:r>
              <m:t>h</m:t>
            </m:r>
            <m:r>
              <m:t>â</m:t>
            </m:r>
            <m:r>
              <m:t>n</m:t>
            </m:r>
            <m:r>
              <m:t>t</m:t>
            </m:r>
            <m:r>
              <m:t>í</m:t>
            </m:r>
            <m:r>
              <m:t>c</m:t>
            </m:r>
            <m:r>
              <m:t>h</m:t>
            </m:r>
          </m:sub>
        </m:sSub>
        <m:r>
          <m:rPr>
            <m:sty m:val="p"/>
          </m:rPr>
          <m:t>=</m:t>
        </m:r>
        <m:r>
          <m:t>8.941</m:t>
        </m:r>
      </m:oMath>
      <w:r>
        <w:t xml:space="preserve">; 2022 BEE,</w:t>
      </w:r>
      <w:r>
        <w:t xml:space="preserve"> </w:t>
      </w:r>
      <m:oMath>
        <m:sSub>
          <m:e>
            <m:r>
              <m:t>N</m:t>
            </m:r>
          </m:e>
          <m:sub>
            <m:r>
              <m:t>p</m:t>
            </m:r>
            <m:r>
              <m:t>h</m:t>
            </m:r>
            <m:r>
              <m:t>â</m:t>
            </m:r>
            <m:r>
              <m:t>n</m:t>
            </m:r>
            <m:r>
              <m:t>t</m:t>
            </m:r>
            <m:r>
              <m:t>í</m:t>
            </m:r>
            <m:r>
              <m:t>c</m:t>
            </m:r>
            <m:r>
              <m:t>h</m:t>
            </m:r>
          </m:sub>
        </m:sSub>
        <m:r>
          <m:rPr>
            <m:sty m:val="p"/>
          </m:rPr>
          <m:t>=</m:t>
        </m:r>
        <m:r>
          <m:t>9.300</m:t>
        </m:r>
      </m:oMath>
      <w:r>
        <w:t xml:space="preserve">; 2025 BREADY,</w:t>
      </w:r>
      <w:r>
        <w:t xml:space="preserve"> </w:t>
      </w:r>
      <m:oMath>
        <m:sSub>
          <m:e>
            <m:r>
              <m:t>N</m:t>
            </m:r>
          </m:e>
          <m:sub>
            <m:r>
              <m:t>p</m:t>
            </m:r>
            <m:r>
              <m:t>h</m:t>
            </m:r>
            <m:r>
              <m:t>â</m:t>
            </m:r>
            <m:r>
              <m:t>n</m:t>
            </m:r>
            <m:r>
              <m:t>t</m:t>
            </m:r>
            <m:r>
              <m:t>í</m:t>
            </m:r>
            <m:r>
              <m:t>c</m:t>
            </m:r>
            <m:r>
              <m:t>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I-P đã thay đổi căn bản giữa 2014 và 2025.</w:t>
      </w:r>
    </w:p>
    <w:p>
      <w:pPr>
        <w:pStyle w:val="BodyText"/>
      </w:pPr>
      <w:r>
        <w:rPr>
          <w:bCs/>
          <w:b/>
        </w:rPr>
        <w:t xml:space="preserve">Bảng 4.3.</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cũng thuộc chế độ thu nhập trung bình cao (Nhóm III ICRV), nơi điểm uốn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Tier-1 (trang web) chung cho cả ba đợt, WBES BREADY cung cấp thêm chỉ báo Tier-2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Tier-2 với cường độ xuất khẩu lại âm và có ý nghĩa thống kê:</w:t>
      </w:r>
      <w:r>
        <w:t xml:space="preserve"> </w:t>
      </w:r>
      <m:oMath>
        <m:r>
          <m:rPr>
            <m:nor/>
            <m:sty m:val="p"/>
          </m:rPr>
          <m:t>FSTS</m:t>
        </m:r>
        <m:r>
          <m:rPr>
            <m:sty m:val="p"/>
          </m:rPr>
          <m:t>×</m:t>
        </m:r>
        <m:sSub>
          <m:e>
            <m:r>
              <m:rPr>
                <m:nor/>
                <m:sty m:val="p"/>
              </m:rPr>
              <m:t>DAI</m:t>
            </m:r>
          </m:e>
          <m:sub>
            <m:r>
              <m:t>T</m:t>
            </m:r>
            <m:r>
              <m:t>i</m:t>
            </m:r>
            <m:r>
              <m:t>e</m:t>
            </m:r>
            <m:r>
              <m:t>r</m:t>
            </m:r>
            <m:r>
              <m:rPr>
                <m:sty m:val="p"/>
              </m:rPr>
              <m:t>−</m:t>
            </m:r>
            <m:r>
              <m:t>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p>
      <w:r>
        <w:pict>
          <v:rect style="width:0;height:1.5pt" o:hralign="center" o:hrstd="t" o:hr="t"/>
        </w:pict>
      </w:r>
    </w:p>
    <w:bookmarkEnd w:id="156"/>
    <w:bookmarkStart w:id="157" w:name="tổng-hợp-kết-quả-theo-hệ-giả-thuyết"/>
    <w:p>
      <w:pPr>
        <w:pStyle w:val="Heading2"/>
      </w:pPr>
      <w:r>
        <w:t xml:space="preserve">4.9 Tổng hợp kết quả theo hệ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P7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uốn đường cong xác nhận tại Việt Nam nhưng NS tại toàn mẫu P7 (49 nền kinh tế)</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DAI có level effect phổ quát (β=+0,155***) và cả hai curvature interactions có ý nghĩa trong P7 (49 nền kinh tế); DAI×ICRV p=.012 —</w:t>
            </w:r>
            <w:r>
              <w:t xml:space="preserve"> </w:t>
            </w:r>
            <w:r>
              <w:t xml:space="preserve">“</w:t>
            </w:r>
            <w:r>
              <w:t xml:space="preserve">digital shield</w:t>
            </w:r>
            <w:r>
              <w:t xml:space="preserve">”</w:t>
            </w:r>
            <w:r>
              <w:t xml:space="preserve"> </w:t>
            </w:r>
            <w:r>
              <w:t xml:space="preserve">mạnh nhất khi thể chế yếu; null tại Việt Nam (Tier-1 only) là kết quả tương thích do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Kết quả hỗn hợp — báo cáo trong P7 với top manager nữ β = +0,185***</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ICRV → TP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 SIDS boundary condition)</w:t>
            </w:r>
          </w:p>
        </w:tc>
        <w:tc>
          <w:tcPr/>
          <w:p>
            <w:pPr>
              <w:pStyle w:val="Compact"/>
              <w:jc w:val="left"/>
            </w:pPr>
            <w:r>
              <w:t xml:space="preserve">Quan hệ âm đơn điệu tại SIDS</w:t>
            </w:r>
          </w:p>
        </w:tc>
        <w:tc>
          <w:tcPr/>
          <w:p>
            <w:pPr>
              <w:pStyle w:val="Compact"/>
              <w:jc w:val="left"/>
            </w:pPr>
            <w:r>
              <w:t xml:space="preserve">Xác nhận:</w:t>
            </w:r>
            <w:r>
              <w:t xml:space="preserve"> </w:t>
            </w:r>
            <m:oMath>
              <m:r>
                <m:t>β</m:t>
              </m:r>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(M1, country+year FE) đến</w:t>
            </w:r>
            <w:r>
              <w:t xml:space="preserve"> </w:t>
            </w:r>
            <m:oMath>
              <m:r>
                <m:rPr>
                  <m:sty m:val="p"/>
                </m:rPr>
                <m:t>−</m:t>
              </m:r>
              <m:r>
                <m:t>3</m:t>
              </m:r>
              <m:r>
                <m:rPr>
                  <m:sty m:val="p"/>
                </m:rPr>
                <m:t>,</m:t>
              </m:r>
              <m:sSup>
                <m:e>
                  <m:r>
                    <m:t>351</m:t>
                  </m:r>
                </m:e>
                <m:sup>
                  <m:r>
                    <m:rPr>
                      <m:sty m:val="p"/>
                    </m:rPr>
                    <m:t>*</m:t>
                  </m:r>
                  <m:r>
                    <m:rPr>
                      <m:sty m:val="p"/>
                    </m:rPr>
                    <m:t>*</m:t>
                  </m:r>
                  <m:r>
                    <m:rPr>
                      <m:sty m:val="p"/>
                    </m:rPr>
                    <m:t>*</m:t>
                  </m:r>
                </m:sup>
              </m:sSup>
            </m:oMath>
            <w:r>
              <w:t xml:space="preserve"> </w:t>
            </w:r>
            <w:r>
              <w:t xml:space="preserve">(year-FE); exporters-only NS do mẫu nhỏ (N=26)</w:t>
            </w:r>
          </w:p>
        </w:tc>
      </w:tr>
      <w:tr>
        <w:tc>
          <w:tcPr/>
          <w:p>
            <w:pPr>
              <w:pStyle w:val="Compact"/>
              <w:jc w:val="left"/>
            </w:pPr>
            <w:r>
              <w:t xml:space="preserve">H1c (Tan biến ngưỡng —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 40,7% (2022) →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Tier-2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r>
        <w:pict>
          <v:rect style="width:0;height:1.5pt" o:hralign="center" o:hrstd="t" o:hr="t"/>
        </w:pict>
      </w:r>
    </w:p>
    <w:bookmarkEnd w:id="157"/>
    <w:bookmarkStart w:id="158"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158"/>
    <w:bookmarkStart w:id="159" w:name="chương-5-kết-luận-và-đề-xuất"/>
    <w:p>
      <w:pPr>
        <w:pStyle w:val="Heading1"/>
      </w:pPr>
      <w:r>
        <w:t xml:space="preserve">CHƯƠNG 5: KẾT LUẬN VÀ ĐỀ XUẤT</w:t>
      </w:r>
    </w:p>
    <w:bookmarkEnd w:id="159"/>
    <w:p>
      <w:r>
        <w:pict>
          <v:rect style="width:0;height:1.5pt" o:hralign="center" o:hrstd="t" o:hr="t"/>
        </w:pict>
      </w:r>
    </w:p>
    <w:bookmarkStart w:id="160"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160"/>
    <w:bookmarkStart w:id="167" w:name="Xff8cef3ed320f9cf6f3fba4ff558bfed3af19c6"/>
    <w:p>
      <w:pPr>
        <w:pStyle w:val="Heading2"/>
      </w:pPr>
      <w:r>
        <w:t xml:space="preserve">5.1 Bàn luận kết quả theo khung lý thuyết CDCM</w:t>
      </w:r>
    </w:p>
    <w:bookmarkStart w:id="161" w:name="X87949b622680195c8f5649c31ec800d0d4afb82"/>
    <w:p>
      <w:pPr>
        <w:pStyle w:val="Heading3"/>
      </w:pPr>
      <w:r>
        <w:t xml:space="preserve">5.1.1 ICRV Gradient —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 Institutional Context Regime Variation)</w:t>
      </w:r>
      <w:r>
        <w:t xml:space="preserve">: cùng một mức độ quốc tế hóa (FSTS) mang lại hiệu quả rất khác nhau tùy thuộc vào chế độ thể chế mà doanh nghiệp hoạt động. Bằng chứng từ hai nguồn độc lập — phân tích meta-analytic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(P7,</w:t>
      </w:r>
      <w:r>
        <w:t xml:space="preserve"> </w:t>
      </w:r>
      <m:oMath>
        <m:r>
          <m:t>N</m:t>
        </m:r>
        <m:r>
          <m:rPr>
            <m:sty m:val="p"/>
          </m:rPr>
          <m:t>=</m:t>
        </m:r>
        <m:r>
          <m:t>84.910</m:t>
        </m:r>
      </m:oMath>
      <w:r>
        <w:t xml:space="preserve"> </w:t>
      </w:r>
      <w:r>
        <w:t xml:space="preserve">quan sát từ 49 nền kinh tế) — đều chỉ đến cùng một kết luận: điểm uốn (turning point) của quan hệ I–P</w:t>
      </w:r>
      <w:r>
        <w:t xml:space="preserve"> </w:t>
      </w:r>
      <w:r>
        <w:rPr>
          <w:bCs/>
          <w:b/>
        </w:rPr>
        <w:t xml:space="preserve">giảm dần</w:t>
      </w:r>
      <w:r>
        <w:t xml:space="preserve"> </w:t>
      </w:r>
      <w:r>
        <w:t xml:space="preserve">từ SIDS/Emerging (~55% FSTS) xuống Lower-middle transition, Upper-middle, Advanced Resource, và Advanced Innovation (~28% FSTS). Hay nói cách khác, nền kinh tế thể chế mạnh hơn đạt đỉnh hiệu quả xuất khẩu tại mức FSTS thấp hơn — doanh nghiệp không cần quốc tế hóa sâu để khai thác lợi thế cạnh tranh khi thể chế hỗ trợ đã vận hành tốt.</w:t>
      </w:r>
    </w:p>
    <w:p>
      <w:pPr>
        <w:pStyle w:val="BodyText"/>
      </w:pPr>
      <w:r>
        <w:t xml:space="preserve">Kết quả này xác nhận H5 và tầng thể chế của khung lý thuyết CDCM theo một cách thuyết phục nhất: không phải chỉ một moderator đơn lẻ mà là</w:t>
      </w:r>
      <w:r>
        <w:t xml:space="preserve"> </w:t>
      </w:r>
      <w:r>
        <w:rPr>
          <w:bCs/>
          <w:b/>
        </w:rPr>
        <w:t xml:space="preserve">cả một chế độ thể chế</w:t>
      </w:r>
      <w:r>
        <w:t xml:space="preserve"> </w:t>
      </w:r>
      <w:r>
        <w:t xml:space="preserve">— được vận hành hóa thành sáu sub-regime ICRV —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49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w:t>
      </w:r>
    </w:p>
    <w:bookmarkEnd w:id="161"/>
    <w:bookmarkStart w:id="162" w:name="tci-là-năng-lực-nền-tảng-xác-nhận-h2"/>
    <w:p>
      <w:pPr>
        <w:pStyle w:val="Heading3"/>
      </w:pPr>
      <w:r>
        <w:t xml:space="preserve">5.1.2 TCI là Năng Lực Nền Tảng —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~41% tăng năng suất cho mỗi đơn vị độ lệch chuẩn TCI). Tuy nhiên, TCI chỉ</w:t>
      </w:r>
      <w:r>
        <w:t xml:space="preserve"> </w:t>
      </w:r>
      <w:r>
        <w:rPr>
          <w:bCs/>
          <w:b/>
        </w:rPr>
        <w:t xml:space="preserve">điều tiết hình dạng đường cong I–P</w:t>
      </w:r>
      <w:r>
        <w:t xml:space="preserve"> </w:t>
      </w:r>
      <w:r>
        <w:t xml:space="preserve">tại bối cảnh quốc gia cụ thể (P3 Việt Nam — môi trường chuyển đổi với phân mảnh thể chế tạo điều kiện cho TCI reshaping hiệu ứng), không phổ quát trên toàn mẫu 49 nền kinh tế (P7: tương tác FSTS×TCI và FSTS²×TCI đều NS).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 được đo bằng việc tiếp cận công nghệ nước ngoài, chi tiêu R&amp;D, đổi mới sản phẩm và chứng nhận chất lượng —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 khả năng hấp thu và tích hợp tri thức từ thị trường nước ngoài — giúp doanh nghiệp học hỏi hiệu quả hơn trong quá trình quốc tế hóa, nhất quán với learning loop của Uppsala model (Johanson &amp; Vahlne, 1977).</w:t>
      </w:r>
    </w:p>
    <w:bookmarkEnd w:id="162"/>
    <w:bookmarkStart w:id="163" w:name="X27755afda27725d75d6cee82c01fb99e8279a05"/>
    <w:p>
      <w:pPr>
        <w:pStyle w:val="Heading3"/>
      </w:pPr>
      <w:r>
        <w:t xml:space="preserve">5.1.3 DAI là Nguồn Lực Tình Huống — Hỗ trợ một phần H3</w:t>
      </w:r>
    </w:p>
    <w:p>
      <w:pPr>
        <w:pStyle w:val="FirstParagraph"/>
      </w:pPr>
      <w:r>
        <w:t xml:space="preserve">Kết quả về Digital Adoption Index (DAI) phức tạp hơn và có nhiều sắc thái hơn so với TCI. Trên toàn mẫu P7 (49 nền kinh tế), DAI có hiệu ứng nâng mặt bằng năng suất dương và có ý nghĩa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 khoảng 17% lợi thế năng suất cho doanh nghiệp có website. Quan trọng hơn, cả hai tương tác điều tiết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Kết quả tương tác DAI×ICRV (</w:t>
      </w:r>
      <m:oMath>
        <m:r>
          <m:t>p</m:t>
        </m:r>
        <m:r>
          <m:rPr>
            <m:sty m:val="p"/>
          </m:rPr>
          <m:t>=</m:t>
        </m:r>
        <m:r>
          <m:rPr>
            <m:sty m:val="p"/>
          </m:rPr>
          <m:t>,</m:t>
        </m:r>
        <m:r>
          <m:t>012</m:t>
        </m:r>
      </m:oMath>
      <w:r>
        <w:t xml:space="preserve">) xác nhận DAI phát huy hiệu quả mạnh hơn tại các bối cảnh thể chế yếu hơn — nhất quán với lập luận CDCM rằng DAI bù đắp cho sự vắng mặt của hạ tầng thể chế (Nhóm IV–V), thay vì chỉ khuếch đại lợi thế đã có tại Nhóm I. Tại Singapore (P4, DAI Tier-1+2), DAI phát huy rõ nhất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selection bias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 không phải</w:t>
      </w:r>
      <w:r>
        <w:t xml:space="preserve"> </w:t>
      </w:r>
      <w:r>
        <w:t xml:space="preserve">“</w:t>
      </w:r>
      <w:r>
        <w:t xml:space="preserve">dynamic digital capability</w:t>
      </w:r>
      <w:r>
        <w:t xml:space="preserve">”</w:t>
      </w:r>
      <w:r>
        <w:t xml:space="preserve"> </w:t>
      </w:r>
      <w:r>
        <w:t xml:space="preserve">theo nghĩa của dynamic capabilities theory (Teece et al., 1997) vì dữ liệu WBES không có đủ thang đo để đo lường tính động của năng lực số.</w:t>
      </w:r>
    </w:p>
    <w:p>
      <w:pPr>
        <w:pStyle w:val="BodyText"/>
      </w:pPr>
      <w:r>
        <w:t xml:space="preserve">Một giải thích bổ sung từ Institutional Theory: ở các bối cảnh ICRV thấp với nhiều</w:t>
      </w:r>
      <w:r>
        <w:t xml:space="preserve"> </w:t>
      </w:r>
      <w:r>
        <w:t xml:space="preserve">“</w:t>
      </w:r>
      <w:r>
        <w:t xml:space="preserve">institutional voids</w:t>
      </w:r>
      <w:r>
        <w:t xml:space="preserve">”</w:t>
      </w:r>
      <w:r>
        <w:t xml:space="preserve"> </w:t>
      </w:r>
      <w:r>
        <w:t xml:space="preserve">(Khanna &amp; Palepu, 2010), các doanh nghiệp xuất khẩu phụ thuộc vào DAI nhiều hơn như một cơ chế bù đắp cho thiếu hụt hạ tầng thể chế. Bằng chứng: DAI×ICRV (p=.012) trong P7 cho thấy DAI</w:t>
      </w:r>
      <w:r>
        <w:t xml:space="preserve"> </w:t>
      </w:r>
      <w:r>
        <w:rPr>
          <w:bCs/>
          <w:b/>
        </w:rPr>
        <w:t xml:space="preserve">mạnh hơn</w:t>
      </w:r>
      <w:r>
        <w:t xml:space="preserve"> </w:t>
      </w:r>
      <w:r>
        <w:t xml:space="preserve">tại thể chế yếu —</w:t>
      </w:r>
      <w:r>
        <w:t xml:space="preserve"> </w:t>
      </w:r>
      <w:r>
        <w:t xml:space="preserve">“</w:t>
      </w:r>
      <w:r>
        <w:t xml:space="preserve">digital shield effect</w:t>
      </w:r>
      <w:r>
        <w:t xml:space="preserve">”</w:t>
      </w:r>
      <w:r>
        <w:t xml:space="preserve"> </w:t>
      </w:r>
      <w:r>
        <w:t xml:space="preserve">phát huy mạnh nhất khi nền tảng thể chế còn thiếu hụt, không phải khi thể chế đã hoàn thiện.</w:t>
      </w:r>
    </w:p>
    <w:bookmarkEnd w:id="163"/>
    <w:bookmarkStart w:id="164" w:name="X9c0cd9664cda47af8ea782aa1697b3fd1384e63"/>
    <w:p>
      <w:pPr>
        <w:pStyle w:val="Heading3"/>
      </w:pPr>
      <w:r>
        <w:t xml:space="preserve">5.1.4 Đặc Điểm Nhà Quản Trị là Moderator Cá Nhân — Hỗ trợ có điều kiện H4</w:t>
      </w:r>
    </w:p>
    <w:p>
      <w:pPr>
        <w:pStyle w:val="FirstParagraph"/>
      </w:pPr>
      <w:r>
        <w:t xml:space="preserve">Kết quả về H4 từ P7 cho thấy đặc điểm nhà quản trị cấp cao có tác động điều tiết không đồng nhất. Giới tính nữ của nhà quản trị (</w:t>
      </w:r>
      <m:oMath>
        <m:acc>
          <m:accPr>
            <m:chr m:val="̂"/>
          </m:accPr>
          <m:e>
            <m:r>
              <m:t>β</m:t>
            </m:r>
          </m:e>
        </m:acc>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nhất quán cho thấy hiệu ứng tích cực lên hiệu quả I–P trong toàn mẫu — doanh nghiệp có top manager nữ đạt hiệu quả cao hơn từ quốc tế hóa, phù hợp với Upper Echelons Theory (Hambrick &amp; Mason, 1984) rằng đặc điểm cấp lãnh đạo định hình cách thức tổ chức nhận diện và khai thác cơ hội quốc tế.</w:t>
      </w:r>
    </w:p>
    <w:p>
      <w:pPr>
        <w:pStyle w:val="BodyText"/>
      </w:pPr>
      <w:r>
        <w:t xml:space="preserve">Cơ chế lý thuyết có thể qua hai kênh: thứ nhất,</w:t>
      </w:r>
      <w:r>
        <w:t xml:space="preserve"> </w:t>
      </w:r>
      <w:r>
        <w:rPr>
          <w:bCs/>
          <w:b/>
        </w:rPr>
        <w:t xml:space="preserve">đa dạng nhận thức</w:t>
      </w:r>
      <w:r>
        <w:t xml:space="preserve"> </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pooled toàn mẫu (P7) và cần kiểm định riêng biệt theo từng bối cảnh ICRV để hiểu đầy đủ điều kiện biên của moderator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 một hạn chế đo lường trong WBES cần được khắc phục trong nghiên cứu tương lai.</w:t>
      </w:r>
    </w:p>
    <w:bookmarkEnd w:id="164"/>
    <w:bookmarkStart w:id="165" w:name="Xfdc4f05762204c1e9501761a1ebcb843f9171c3"/>
    <w:p>
      <w:pPr>
        <w:pStyle w:val="Heading3"/>
      </w:pPr>
      <w:r>
        <w:t xml:space="preserve">5.1.5 FIP là Điều Kiện Biên Cực Đoan — H1b cho SIDS</w:t>
      </w:r>
    </w:p>
    <w:p>
      <w:pPr>
        <w:pStyle w:val="FirstParagraph"/>
      </w:pPr>
      <w:r>
        <w:t xml:space="preserve">Gánh nặng quốc tế hóa bắt buộc (Forced Internationalization Penalty —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M1 country+year FE, mạnh hơn trong exporters-only)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turning point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literature I–P.</w:t>
      </w:r>
    </w:p>
    <w:p>
      <w:r>
        <w:pict>
          <v:rect style="width:0;height:1.5pt" o:hralign="center" o:hrstd="t" o:hr="t"/>
        </w:pict>
      </w:r>
    </w:p>
    <w:bookmarkEnd w:id="165"/>
    <w:bookmarkStart w:id="166"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Tier-2 thay thế Tier-1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166"/>
    <w:bookmarkEnd w:id="167"/>
    <w:bookmarkStart w:id="171" w:name="so-sánh-với-nghiên-cứu-trước-đây"/>
    <w:p>
      <w:pPr>
        <w:pStyle w:val="Heading2"/>
      </w:pPr>
      <w:r>
        <w:t xml:space="preserve">5.2 So sánh với nghiên cứu trước đây</w:t>
      </w:r>
    </w:p>
    <w:bookmarkStart w:id="168" w:name="nhất-quán-với-baseline-icbef-2024"/>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(nghiên cứu thành phần P1–P2 của luận án). Sự hội tụ này là đáng kể vì P6 mở rộng pool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literature — vấn đề chủ yếu là</w:t>
      </w:r>
      <w:r>
        <w:t xml:space="preserve"> </w:t>
      </w:r>
      <w:r>
        <w:rPr>
          <w:bCs/>
          <w:b/>
        </w:rPr>
        <w:t xml:space="preserve">đo lường bên trong nghiên cứu</w:t>
      </w:r>
      <w:r>
        <w:t xml:space="preserve">, không phải sự bất đồng căn bản giữa các nghiên cứu.</w:t>
      </w:r>
    </w:p>
    <w:bookmarkEnd w:id="168"/>
    <w:bookmarkStart w:id="169"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turning point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turning point</w:t>
      </w:r>
      <w:r>
        <w:t xml:space="preserve"> </w:t>
      </w:r>
      <w:r>
        <w:rPr>
          <w:bCs/>
          <w:b/>
        </w:rPr>
        <w:t xml:space="preserve">không cố định</w:t>
      </w:r>
      <w:r>
        <w:t xml:space="preserve"> </w:t>
      </w:r>
      <w:r>
        <w:t xml:space="preserve">mà phụ thuộc vào bối cảnh ICRV: từ TP ≈ 88,6% (Singapore — Advanced Innovation; lưu ý điểm uốn này không định vị tin cậy do CI vượt ngưỡng khả thi, xem §4.3) đến TP ≈ 39,7% (Việt Nam pooled — Lower-mid Transition), với Trung Quốc ở mức trung gian (TP ≈ 48,78%). Không có một turning point phổ quát cho tất cả bối cảnh.</w:t>
      </w:r>
    </w:p>
    <w:p>
      <w:pPr>
        <w:pStyle w:val="BodyText"/>
      </w:pPr>
      <w:r>
        <w:rPr>
          <w:bCs/>
          <w:b/>
        </w:rPr>
        <w:t xml:space="preserve">Thứ hai</w:t>
      </w:r>
      <w:r>
        <w:t xml:space="preserve">, luận án xác định trường hợp biên FIP tại SIDS — không phải là S-curve hay inverted-U mà là quan hệ âm đơn điệu —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49 nền kinh tế châu Á và Thái Bình Dương — bối cảnh underrepresented trong literature Lu và Beamish.</w:t>
      </w:r>
    </w:p>
    <w:bookmarkEnd w:id="169"/>
    <w:bookmarkStart w:id="170" w:name="X7d417abcca377c053c807a61872538ebbcf35bb"/>
    <w:p>
      <w:pPr>
        <w:pStyle w:val="Heading3"/>
      </w:pPr>
      <w:r>
        <w:t xml:space="preserve">5.2.3 Mở rộng Marano et al. (2016) — ICRV thay thế binary institutional quality</w:t>
      </w:r>
    </w:p>
    <w:p>
      <w:pPr>
        <w:pStyle w:val="FirstParagraph"/>
      </w:pPr>
      <w:r>
        <w:t xml:space="preserve">Marano et al. (2016) là meta-analysis quan trọng nhất trong literature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w:t>
      </w:r>
      <w:r>
        <w:t xml:space="preserve"> </w:t>
      </w:r>
      <w:r>
        <w:t xml:space="preserve">“</w:t>
      </w:r>
      <w:r>
        <w:t xml:space="preserve">emerging</w:t>
      </w:r>
      <w:r>
        <w:t xml:space="preserve">”</w:t>
      </w:r>
      <w:r>
        <w:t xml:space="preserve"> </w:t>
      </w:r>
      <w:r>
        <w:t xml:space="preserve">(phân biệt Upper-middle Trung Quốc với Lower-middle transition Việt Nam với Emerging Campuchia và SIDS) và nhóm</w:t>
      </w:r>
      <w:r>
        <w:t xml:space="preserve"> </w:t>
      </w:r>
      <w:r>
        <w:t xml:space="preserve">“</w:t>
      </w:r>
      <w:r>
        <w:t xml:space="preserve">advanced</w:t>
      </w:r>
      <w:r>
        <w:t xml:space="preserve">”</w:t>
      </w:r>
      <w:r>
        <w:t xml:space="preserve"> </w:t>
      </w:r>
      <w:r>
        <w:t xml:space="preserve">(phân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 một cải tiến phương pháp so với random-effects meta-analysis đơn tầng của Marano et al. (2016).</w:t>
      </w:r>
    </w:p>
    <w:p>
      <w:r>
        <w:pict>
          <v:rect style="width:0;height:1.5pt" o:hralign="center" o:hrstd="t" o:hr="t"/>
        </w:pict>
      </w:r>
    </w:p>
    <w:bookmarkEnd w:id="170"/>
    <w:bookmarkEnd w:id="171"/>
    <w:bookmarkStart w:id="175" w:name="đóng-góp-lý-thuyết-1"/>
    <w:p>
      <w:pPr>
        <w:pStyle w:val="Heading2"/>
      </w:pPr>
      <w:r>
        <w:t xml:space="preserve">5.3 Đóng góp lý thuyết</w:t>
      </w:r>
    </w:p>
    <w:bookmarkStart w:id="172" w:name="cdcm-làm-rõ-dai-là-nguồn-lực-tình-huống"/>
    <w:p>
      <w:pPr>
        <w:pStyle w:val="Heading3"/>
      </w:pPr>
      <w:r>
        <w:t xml:space="preserve">5.3.1 CDCM —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(β=+0.155, p&lt;.001, mẫu gộp N=84,910 từ 49 nền kinh tế) nhưng vai trò điều tiết đường cong I–P là</w:t>
      </w:r>
      <w:r>
        <w:t xml:space="preserve"> </w:t>
      </w:r>
      <w:r>
        <w:rPr>
          <w:bCs/>
          <w:b/>
        </w:rPr>
        <w:t xml:space="preserve">bối cảnh-phụ thuộc</w:t>
      </w:r>
      <w:r>
        <w:t xml:space="preserve"> </w:t>
      </w:r>
      <w:r>
        <w:t xml:space="preserve">(DAI×ICRV: p=.012) gợi ý rằng DAI không phải là foundational capability (như TCI) mà là</w:t>
      </w:r>
      <w:r>
        <w:t xml:space="preserve"> </w:t>
      </w:r>
      <w:r>
        <w:rPr>
          <w:bCs/>
          <w:b/>
        </w:rPr>
        <w:t xml:space="preserve">situational resource</w:t>
      </w:r>
      <w:r>
        <w:t xml:space="preserve"> </w:t>
      </w:r>
      <w:r>
        <w:t xml:space="preserve">— tài nguyên có vai trò thay đổi theo bối cảnh thể chế. Quan trọng: DAI×ICRV (p=.012) cho thấy hiệu ứng điều tiết của DAI</w:t>
      </w:r>
      <w:r>
        <w:t xml:space="preserve"> </w:t>
      </w:r>
      <w:r>
        <w:rPr>
          <w:bCs/>
          <w:b/>
        </w:rPr>
        <w:t xml:space="preserve">mạnh hơn</w:t>
      </w:r>
      <w:r>
        <w:t xml:space="preserve"> </w:t>
      </w:r>
      <w:r>
        <w:t xml:space="preserve">tại các nền kinh tế thể chế yếu hơn (Emerging, SIDS) —</w:t>
      </w:r>
      <w:r>
        <w:t xml:space="preserve"> </w:t>
      </w:r>
      <w:r>
        <w:t xml:space="preserve">“</w:t>
      </w:r>
      <w:r>
        <w:t xml:space="preserve">digital shield</w:t>
      </w:r>
      <w:r>
        <w:t xml:space="preserve">”</w:t>
      </w:r>
      <w:r>
        <w:t xml:space="preserve"> </w:t>
      </w:r>
      <w:r>
        <w:t xml:space="preserve">bù đắp cho thiếu hụt thể chế.</w:t>
      </w:r>
    </w:p>
    <w:p>
      <w:pPr>
        <w:pStyle w:val="BodyText"/>
      </w:pPr>
      <w:r>
        <w:t xml:space="preserve">Điều này có hàm ý lý thuyết quan trọng cho RBV và digital capability literature (Bhandari et al., 2023; Verhoef et al., 2021): không phải mọi nguồn lực số đều tạo ra lợi thế cạnh tranh theo cùng một cơ chế trong mọi bối cảnh. Giá trị của DAI là</w:t>
      </w:r>
      <w:r>
        <w:t xml:space="preserve"> </w:t>
      </w:r>
      <w:r>
        <w:rPr>
          <w:bCs/>
          <w:b/>
        </w:rPr>
        <w:t xml:space="preserve">complementary asset</w:t>
      </w:r>
      <w:r>
        <w:t xml:space="preserve"> </w:t>
      </w:r>
      <w:r>
        <w:t xml:space="preserve">(Teece, 1986) với bối cảnh thể chế —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172"/>
    <w:bookmarkStart w:id="173" w:name="X2d492fa0307aa4991837f2d5dc38e247101178c"/>
    <w:p>
      <w:pPr>
        <w:pStyle w:val="Heading3"/>
      </w:pPr>
      <w:r>
        <w:t xml:space="preserve">5.3.2 FIP —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w:t>
      </w:r>
      <w:r>
        <w:t xml:space="preserve">— một construct lý thuyết mới chưa được định danh trong literature kinh doanh quốc tế — như một hiện tượng lý thuyết độc lập, khác biệt về bản chất với</w:t>
      </w:r>
      <w:r>
        <w:t xml:space="preserve"> </w:t>
      </w:r>
      <w:r>
        <w:t xml:space="preserve">“</w:t>
      </w:r>
      <w:r>
        <w:t xml:space="preserve">phase 1 downward slope</w:t>
      </w:r>
      <w:r>
        <w:t xml:space="preserve">”</w:t>
      </w:r>
      <w:r>
        <w:t xml:space="preserve"> </w:t>
      </w:r>
      <w:r>
        <w:t xml:space="preserve">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w:t>
      </w:r>
      <w:r>
        <w:t xml:space="preserve"> </w:t>
      </w:r>
      <w:r>
        <w:t xml:space="preserve">“</w:t>
      </w:r>
      <w:r>
        <w:t xml:space="preserve">more internationalization</w:t>
      </w:r>
      <w:r>
        <w:t xml:space="preserve">”</w:t>
      </w:r>
      <w:r>
        <w:t xml:space="preserve"> </w:t>
      </w:r>
      <w:r>
        <w:t xml:space="preserve">luôn là</w:t>
      </w:r>
      <w:r>
        <w:t xml:space="preserve"> </w:t>
      </w:r>
      <w:r>
        <w:t xml:space="preserve">“</w:t>
      </w:r>
      <w:r>
        <w:t xml:space="preserve">worse performance</w:t>
      </w:r>
      <w:r>
        <w:t xml:space="preserve">”</w:t>
      </w:r>
      <w:r>
        <w:t xml:space="preserv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w:t>
      </w:r>
      <w:r>
        <w:t xml:space="preserve"> </w:t>
      </w:r>
      <w:r>
        <w:t xml:space="preserve">“</w:t>
      </w:r>
      <w:r>
        <w:t xml:space="preserve">trap</w:t>
      </w:r>
      <w:r>
        <w:t xml:space="preserve">”</w:t>
      </w:r>
      <w:r>
        <w:t xml:space="preserve"> </w:t>
      </w:r>
      <w:r>
        <w:t xml:space="preserve">— bẫy quốc tế hóa bắt buộc — mà không có turning point để thoát khỏi.</w:t>
      </w:r>
    </w:p>
    <w:bookmarkEnd w:id="173"/>
    <w:bookmarkStart w:id="174" w:name="Xc32e0c91761841c5d26867e9ff33e10da8db64c"/>
    <w:p>
      <w:pPr>
        <w:pStyle w:val="Heading3"/>
      </w:pPr>
      <w:r>
        <w:t xml:space="preserve">5.3.3 ICRV 6-Regime — Phân loại thể chế đặc thù cho khu vực châu Á —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 Thái Bình Dương, thay thế cho các phân loại binary (developed/emerging) hoặc continuous (WGI scores) trong literature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(Lower-middle transition, đang trong quá trình cải cách) với Campuchia (Emerging, institutional voids cao). ICRV không chỉ là taxonomy mô tả mà còn là taxonomy</w:t>
      </w:r>
      <w:r>
        <w:t xml:space="preserve"> </w:t>
      </w:r>
      <w:r>
        <w:rPr>
          <w:bCs/>
          <w:b/>
        </w:rPr>
        <w:t xml:space="preserve">dự đoán</w:t>
      </w:r>
      <w:r>
        <w:t xml:space="preserve">: turning point I–P</w:t>
      </w:r>
      <w:r>
        <w:t xml:space="preserve"> </w:t>
      </w:r>
      <w:r>
        <w:rPr>
          <w:bCs/>
          <w:b/>
        </w:rPr>
        <w:t xml:space="preserve">giảm</w:t>
      </w:r>
      <w:r>
        <w:t xml:space="preserve"> </w:t>
      </w:r>
      <w:r>
        <w:t xml:space="preserve">đơn điệu theo chiều từ SIDS/Emerging (~55%) xuống Advanced Innovation (~28%) — thể chế càng mạnh, doanh nghiệp đạt đỉnh hiệu quả ở mức quốc tế hóa thấp hơn — xác nhận giá trị dự đoán của phân loại.</w:t>
      </w:r>
    </w:p>
    <w:p>
      <w:r>
        <w:pict>
          <v:rect style="width:0;height:1.5pt" o:hralign="center" o:hrstd="t" o:hr="t"/>
        </w:pict>
      </w:r>
    </w:p>
    <w:bookmarkEnd w:id="174"/>
    <w:bookmarkEnd w:id="175"/>
    <w:bookmarkStart w:id="179" w:name="đề-xuất-chính-sách-và-quản-trị"/>
    <w:p>
      <w:pPr>
        <w:pStyle w:val="Heading2"/>
      </w:pPr>
      <w:r>
        <w:t xml:space="preserve">5.4 Đề xuất chính sách và quản trị</w:t>
      </w:r>
    </w:p>
    <w:bookmarkStart w:id="176" w:name="Xbc6d621fc32e0aca77269dff0917fe138aa2fc5"/>
    <w:p>
      <w:pPr>
        <w:pStyle w:val="Heading3"/>
      </w:pPr>
      <w:r>
        <w:t xml:space="preserve">5.4.1 Đề xuất cho nhà hoạch định chính sách —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 từ đó dịch chuyển đường I–P lên trên và có thể mở rộng turning point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 điều này có nghĩa là cải cách thể chế không chỉ có lợi về mặt kinh doanh nội địa mà còn mở rộng không gian lợi ích từ xuất khẩu.</w:t>
      </w:r>
    </w:p>
    <w:p>
      <w:pPr>
        <w:pStyle w:val="BodyText"/>
      </w:pPr>
      <w:r>
        <w:t xml:space="preserve">Đối với Việt Nam cụ thể: turning point dịch chuyển từ 46,2% (2009) xuống 39,3% (2015) là tín hiệu đáng lo ngại. Nếu turning point tiếp tục dịch trái, điều đó hàm ý rằng lợi ích từ xuất khẩu đạt đỉnh sớm hơn và suy giảm nhanh hơn —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176"/>
    <w:bookmarkStart w:id="177" w:name="Xb72945ffcd7baeba99eebb1118ccccd8ec07fb7"/>
    <w:p>
      <w:pPr>
        <w:pStyle w:val="Heading3"/>
      </w:pPr>
      <w:r>
        <w:t xml:space="preserve">5.4.2 Đề xuất cho nhà quản trị doanh nghiệp — Turning Point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6"/>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6"/>
        </w:numPr>
      </w:pPr>
      <w:r>
        <w:rPr>
          <w:bCs/>
          <w:b/>
        </w:rPr>
        <w:t xml:space="preserve">Doanh nghiệp Trung Quốc (Nhóm III)</w:t>
      </w:r>
      <w:r>
        <w:t xml:space="preserve">: turning point TP ≈ 48,78% ổn định qua thập kỷ 2012–2024, gợi ý rằng chiến lược xuất khẩu tối ưu là duy trì tỷ lệ FSTS trong khoảng 40–50% — kết hợp giữa thị trường nội địa khổng lồ và hoạt động xuất khẩu có chọn lọc.</w:t>
      </w:r>
    </w:p>
    <w:p>
      <w:pPr>
        <w:numPr>
          <w:ilvl w:val="0"/>
          <w:numId w:val="1016"/>
        </w:numPr>
      </w:pPr>
      <w:r>
        <w:rPr>
          <w:bCs/>
          <w:b/>
        </w:rPr>
        <w:t xml:space="preserve">Doanh nghiệp Việt Nam (Nhóm IV)</w:t>
      </w:r>
      <w:r>
        <w:t xml:space="preserve">: turning point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6"/>
        </w:numPr>
      </w:pPr>
      <w:r>
        <w:rPr>
          <w:bCs/>
          <w:b/>
        </w:rPr>
        <w:t xml:space="preserve">Doanh nghiệp SIDS (Nhóm VI)</w:t>
      </w:r>
      <w:r>
        <w:t xml:space="preserve">: kết quả FIP là cảnh báo nghiêm túc —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177"/>
    <w:bookmarkStart w:id="178" w:name="X3f7c356bbecb0845bc3ba35928bc46323a69176"/>
    <w:p>
      <w:pPr>
        <w:pStyle w:val="Heading3"/>
      </w:pPr>
      <w:r>
        <w:t xml:space="preserve">5.4.3 Đề xuất đặc biệt cho SIDS — Tránh Bẫy Quốc Tế Hóa Bắt Buộc</w:t>
      </w:r>
    </w:p>
    <w:p>
      <w:pPr>
        <w:pStyle w:val="FirstParagraph"/>
      </w:pPr>
      <w:r>
        <w:t xml:space="preserve">Phát hiện FIP tại bảy quốc gia Pacific SIDS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w:t>
      </w:r>
      <w:r>
        <w:t xml:space="preserve"> </w:t>
      </w:r>
      <w:r>
        <w:t xml:space="preserve">“</w:t>
      </w:r>
      <w:r>
        <w:t xml:space="preserve">bẫy quốc tế hóa bắt buộc</w:t>
      </w:r>
      <w:r>
        <w:t xml:space="preserve">”</w:t>
      </w:r>
      <w:r>
        <w:t xml:space="preserve"> </w:t>
      </w:r>
      <w:r>
        <w:t xml:space="preserve">bằng cách đảm bảo rằng các can thiệp chính sách xây dựng năng lực trước khi thúc đẩy mở rộng thị trường.</w:t>
      </w:r>
    </w:p>
    <w:bookmarkEnd w:id="178"/>
    <w:bookmarkEnd w:id="179"/>
    <w:bookmarkStart w:id="184" w:name="hạn-chế-và-hướng-nghiên-cứu-tương-lai"/>
    <w:p>
      <w:pPr>
        <w:pStyle w:val="Heading2"/>
      </w:pPr>
      <w:r>
        <w:t xml:space="preserve">5.5 Hạn chế và hướng nghiên cứu tương lai</w:t>
      </w:r>
    </w:p>
    <w:bookmarkStart w:id="180"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w:t>
      </w:r>
      <w:r>
        <w:t xml:space="preserve"> </w:t>
      </w:r>
      <w:r>
        <w:t xml:space="preserve">“</w:t>
      </w:r>
      <w:r>
        <w:t xml:space="preserve">dynamic</w:t>
      </w:r>
      <w:r>
        <w:t xml:space="preserve">”</w:t>
      </w:r>
      <w:r>
        <w:t xml:space="preserve"> </w:t>
      </w:r>
      <w:r>
        <w:t xml:space="preserve">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180"/>
    <w:bookmarkStart w:id="181" w:name="X0fb0169567c230dc5c1d35515099b26124d99e1"/>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N = 237, SIDS exporters-only N = 26)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181"/>
    <w:bookmarkStart w:id="182" w:name="hạn-chế-về-nhân-quả"/>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182"/>
    <w:bookmarkStart w:id="183" w:name="hướng-nghiên-cứu-tương-lai"/>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 kinh nghiệm, giới tính) trong từng bối cảnh ICRV riêng biệt, đặc biệt trong bối cảnh Emerging và SIDS nơi tầng năng lực và thể chế yếu hơn — liệu đặc điểm nhà quản trị có thể bù đắp một phần cho những thiếu hụt đó không?</w:t>
      </w:r>
    </w:p>
    <w:p>
      <w:r>
        <w:pict>
          <v:rect style="width:0;height:1.5pt" o:hralign="center" o:hrstd="t" o:hr="t"/>
        </w:pict>
      </w:r>
    </w:p>
    <w:bookmarkEnd w:id="183"/>
    <w:bookmarkEnd w:id="184"/>
    <w:bookmarkStart w:id="189" w:name="kết-luận"/>
    <w:p>
      <w:pPr>
        <w:pStyle w:val="Heading2"/>
      </w:pPr>
      <w:r>
        <w:t xml:space="preserve">5.6 Kết luận</w:t>
      </w:r>
    </w:p>
    <w:bookmarkStart w:id="185" w:name="tổng-kết-chín-nghiên-cứu"/>
    <w:p>
      <w:pPr>
        <w:pStyle w:val="Heading3"/>
      </w:pPr>
      <w:r>
        <w:t xml:space="preserve">5.6.1 Tổng kết chín nghiên cứu</w:t>
      </w:r>
    </w:p>
    <w:p>
      <w:pPr>
        <w:pStyle w:val="FirstParagraph"/>
      </w:pPr>
      <w:r>
        <w:t xml:space="preserve">Luận án này được xây dựng trên chín nghiên cứu bổ sung cho nhau, kết hợp bằng chứng từ meta-analysis và phân tích thực nghiệm sơ cấp:</w:t>
      </w:r>
    </w:p>
    <w:p>
      <w:pPr>
        <w:numPr>
          <w:ilvl w:val="0"/>
          <w:numId w:val="1017"/>
        </w:numPr>
      </w:pPr>
      <w:r>
        <w:rPr>
          <w:bCs/>
          <w:b/>
        </w:rPr>
        <w:t xml:space="preserve">P1 và P2</w:t>
      </w:r>
      <w:r>
        <w:t xml:space="preserve"> </w:t>
      </w:r>
      <w:r>
        <w:t xml:space="preserve">(đã công bố tại ICBEF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17"/>
        </w:numPr>
      </w:pPr>
      <w:r>
        <w:rPr>
          <w:bCs/>
          <w:b/>
        </w:rPr>
        <w:t xml:space="preserve">P3</w:t>
      </w:r>
      <w:r>
        <w:t xml:space="preserve">: phân tích Việt Nam (Lower-mid Transition), xác nhận inverted-U với TP = 39,3–46,2%, TCI là moderator dương có ý nghĩa.</w:t>
      </w:r>
    </w:p>
    <w:p>
      <w:pPr>
        <w:numPr>
          <w:ilvl w:val="0"/>
          <w:numId w:val="1017"/>
        </w:numPr>
      </w:pPr>
      <w:r>
        <w:rPr>
          <w:bCs/>
          <w:b/>
        </w:rPr>
        <w:t xml:space="preserve">P4</w:t>
      </w:r>
      <w:r>
        <w:t xml:space="preserve">: phân tích Singapore (Advanced Innovation), xác nhận inverted-U với TP ≈ 88,6% (rộng CI), DAI khuếch đại tại mức FSTS cao.</w:t>
      </w:r>
    </w:p>
    <w:p>
      <w:pPr>
        <w:numPr>
          <w:ilvl w:val="0"/>
          <w:numId w:val="1017"/>
        </w:numPr>
      </w:pPr>
      <w:r>
        <w:rPr>
          <w:bCs/>
          <w:b/>
        </w:rPr>
        <w:t xml:space="preserve">P5</w:t>
      </w:r>
      <w:r>
        <w:t xml:space="preserve">: phân tích Trung Quốc 2012–2024 (Upper-middle), xác nhận inverted-U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7"/>
        </w:numPr>
      </w:pPr>
      <w:r>
        <w:rPr>
          <w:bCs/>
          <w:b/>
        </w:rPr>
        <w:t xml:space="preserve">P6</w:t>
      </w:r>
      <w:r>
        <w:t xml:space="preserve">: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moderation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7"/>
        </w:numPr>
      </w:pPr>
      <w:r>
        <w:rPr>
          <w:bCs/>
          <w:b/>
        </w:rPr>
        <w:t xml:space="preserve">P7</w:t>
      </w:r>
      <w:r>
        <w:t xml:space="preserve">: kiểm định toàn mẫu châu Á và Thái Bình Dương</w:t>
      </w:r>
      <w:r>
        <w:t xml:space="preserve"> </w:t>
      </w:r>
      <m:oMath>
        <m:r>
          <m:t>N</m:t>
        </m:r>
        <m:r>
          <m:rPr>
            <m:sty m:val="p"/>
          </m:rPr>
          <m:t>=</m:t>
        </m:r>
        <m:r>
          <m:t>84.910</m:t>
        </m:r>
      </m:oMath>
      <w:r>
        <w:t xml:space="preserve"> </w:t>
      </w:r>
      <w:r>
        <w:t xml:space="preserve">(M2) /</w:t>
      </w:r>
      <w:r>
        <w:t xml:space="preserve"> </w:t>
      </w:r>
      <m:oMath>
        <m:r>
          <m:t>N</m:t>
        </m:r>
        <m:r>
          <m:rPr>
            <m:sty m:val="p"/>
          </m:rPr>
          <m:t>=</m:t>
        </m:r>
        <m:r>
          <m:t>38.342</m:t>
        </m:r>
      </m:oMath>
      <w:r>
        <w:t xml:space="preserve"> </w:t>
      </w:r>
      <w:r>
        <w:t xml:space="preserve">(M3–M5 với controls đầy đủ), TP = 36,4–40,0% (M2–M5; M11 đầy đủ: TP = 34,6%,</w:t>
      </w:r>
      <w:r>
        <w:t xml:space="preserve"> </w:t>
      </w:r>
      <m:oMath>
        <m:sSub>
          <m:e>
            <m:r>
              <m:t>p</m:t>
            </m:r>
          </m:e>
          <m:sub>
            <m:r>
              <m:rPr>
                <m:nor/>
                <m:sty m:val="p"/>
              </m:rPr>
              <m:t>LM</m:t>
            </m:r>
          </m:sub>
        </m:sSub>
        <m:r>
          <m:rPr>
            <m:sty m:val="p"/>
          </m:rPr>
          <m:t>=</m:t>
        </m:r>
        <m:r>
          <m:rPr>
            <m:sty m:val="p"/>
          </m:rPr>
          <m:t>,</m:t>
        </m:r>
        <m:r>
          <m:t>002</m:t>
        </m:r>
      </m:oMath>
      <w:r>
        <w:t xml:space="preserve">), gradient ICRV xác nhận mạnh mẽ, TCI nâng mặt bằng năng suất phổ quát, DAI điều tiết đường cong có ý nghĩa trên toàn mẫu và mạnh hơn tại thể chế yếu hơn (DAI×ICRV</w:t>
      </w:r>
      <w:r>
        <w:t xml:space="preserve"> </w:t>
      </w:r>
      <m:oMath>
        <m:r>
          <m:t>p</m:t>
        </m:r>
        <m:r>
          <m:rPr>
            <m:sty m:val="p"/>
          </m:rPr>
          <m:t>=</m:t>
        </m:r>
        <m:r>
          <m:rPr>
            <m:sty m:val="p"/>
          </m:rPr>
          <m:t>,</m:t>
        </m:r>
        <m:r>
          <m:t>012</m:t>
        </m:r>
      </m:oMath>
      <w:r>
        <w:t xml:space="preserve">).</w:t>
      </w:r>
    </w:p>
    <w:p>
      <w:pPr>
        <w:numPr>
          <w:ilvl w:val="0"/>
          <w:numId w:val="1017"/>
        </w:numPr>
      </w:pPr>
      <w:r>
        <w:rPr>
          <w:bCs/>
          <w:b/>
        </w:rPr>
        <w:t xml:space="preserve">P8</w:t>
      </w:r>
      <w:r>
        <w:t xml:space="preserve">: phân tích bảy nền kinh tế đảo nhỏ đang phát triển Thái Bình Dương (Pacific SIDS),</w:t>
      </w:r>
      <w:r>
        <w:t xml:space="preserve"> </w:t>
      </w:r>
      <m:oMath>
        <m:r>
          <m:t>N</m:t>
        </m:r>
        <m:r>
          <m:rPr>
            <m:sty m:val="p"/>
          </m:rPr>
          <m:t>=</m:t>
        </m:r>
        <m:r>
          <m:t>959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1</m:t>
        </m:r>
        <m:r>
          <m:rPr>
            <m:sty m:val="p"/>
          </m:rPr>
          <m:t>,</m:t>
        </m:r>
        <m:sSup>
          <m:e>
            <m:r>
              <m:t>339</m:t>
            </m:r>
          </m:e>
          <m:sup>
            <m:r>
              <m:rPr>
                <m:sty m:val="p"/>
              </m:rPr>
              <m:t>*</m:t>
            </m:r>
            <m:r>
              <m:rPr>
                <m:sty m:val="p"/>
              </m:rPr>
              <m:t>*</m:t>
            </m:r>
            <m:r>
              <m:rPr>
                <m:sty m:val="p"/>
              </m:rPr>
              <m:t>*</m:t>
            </m:r>
          </m:sup>
        </m:sSup>
      </m:oMath>
      <w:r>
        <w:t xml:space="preserve">, FIP xác nhận — quan hệ âm đơn điệu không có turning point.</w:t>
      </w:r>
    </w:p>
    <w:p>
      <w:pPr>
        <w:numPr>
          <w:ilvl w:val="0"/>
          <w:numId w:val="1017"/>
        </w:numPr>
      </w:pPr>
      <w:r>
        <w:rPr>
          <w:bCs/>
          <w:b/>
        </w:rPr>
        <w:t xml:space="preserve">P9</w:t>
      </w:r>
      <w:r>
        <w:t xml:space="preserve">: phân tích Ấn Độ qua ba đợt WBES 2014–2025 (~29.000 doanh nghiệp), kiểm định độ bền ngưỡng I–P qua thập kỷ chuyển đổi thể chế. Phát hiện sự</w:t>
      </w:r>
      <w:r>
        <w:t xml:space="preserve"> </w:t>
      </w:r>
      <w:r>
        <w:rPr>
          <w:iCs/>
          <w:i/>
        </w:rPr>
        <w:t xml:space="preserve">tan biến</w:t>
      </w:r>
      <w:r>
        <w:t xml:space="preserve"> </w:t>
      </w:r>
      <w:r>
        <w:t xml:space="preserve">điểm uốn chữ U ngược: TP = 61,8% (2014) → 40,7% (2022) → mất ý nghĩa độ cong (2025: β₂ = −0,16, p = ,42), kèm tương tác DAI Tier-2 (UPI) âm — bằng chứng đầu tiên rằng chuyển đổi thể chế cực mạnh có thể hòa tan (chứ không chỉ dịch chuyển) ngưỡng. Đích MIR/IJOEM; kế thừa công trình tiền đề Do &amp; Phan (2025, IntechOpen).</w:t>
      </w:r>
    </w:p>
    <w:bookmarkEnd w:id="185"/>
    <w:bookmarkStart w:id="186"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84.910 doanh nghiệp tại 49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với turning point là hàm số giảm dần của chất lượng thể chế theo ICRV — thể chế càng mạnh, turning point càng sớm (FSTS thấp hơn).</w:t>
      </w:r>
    </w:p>
    <w:bookmarkEnd w:id="186"/>
    <w:bookmarkStart w:id="187"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meta-analytic literature về I–P bằng cách phân tách cấu trúc dị biệt và xác định ICRV như moderator có ý nghĩa; (ii) literature về digital capability bằng cách làm rõ DAI là situational resource chứ không phải foundational capability; và (iii) literature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 không áp dụng máy móc bài học từ Singapore hay Nhật Bản vào bối cảnh Việt Nam hay SIDS, mà nhận ra sự phụ thuộc bối cảnh như là nguyên lý căn bản trong hoạch định chiến lược quốc tế hóa.</w:t>
      </w:r>
    </w:p>
    <w:bookmarkEnd w:id="187"/>
    <w:bookmarkStart w:id="188"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chín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 rằng quan hệ I–P là quan hệ có điều kiện theo thể chế, không phải quan hệ phổ quát — là đóng góp cốt lõi mà luận án mang lại cho khoa học quản trị kinh doanh quốc tế.</w:t>
      </w:r>
    </w:p>
    <w:p>
      <w:r>
        <w:pict>
          <v:rect style="width:0;height:1.5pt" o:hralign="center" o:hrstd="t" o:hr="t"/>
        </w:pict>
      </w:r>
    </w:p>
    <w:p>
      <w:r>
        <w:br w:type="page"/>
      </w:r>
    </w:p>
    <w:bookmarkEnd w:id="188"/>
    <w:bookmarkEnd w:id="189"/>
    <w:bookmarkStart w:id="223"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w:t>
      </w:r>
      <w:r>
        <w:t xml:space="preserve"> </w:t>
      </w:r>
      <w:r>
        <w:t xml:space="preserve">“</w:t>
      </w:r>
      <w:r>
        <w:t xml:space="preserve">World Bank Enterprise Surveys (2025)</w:t>
      </w:r>
      <w:r>
        <w:t xml:space="preserve">”</w:t>
      </w:r>
      <w:r>
        <w:t xml:space="preserve"> </w:t>
      </w:r>
      <w:r>
        <w:t xml:space="preserve">theo APA 7th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§1.1 và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§1 (SIDS development lag) và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§5 (Agarwal + Barattieri), P8 §1 (Mahler et al. 2026b), CD2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 RESOLVED Audit Warning 1 v2.4</w:t>
      </w:r>
      <w:r>
        <w:t xml:space="preserve">: Lin &amp; Beamish (2005) →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190" w:name="X1ce219aaccc3c8d52177b991e903b9a90c924a4"/>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bookmarkEnd w:id="190"/>
    <w:bookmarkStart w:id="191" w:name="X094bc8b13169a81669f6b7abcf887888d4186ca"/>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 RESOLVED v2.5 — Audit Warning 1</w:t>
      </w:r>
      <w:r>
        <w:t xml:space="preserve">: Lin &amp; Beamish (2005) → Lu &amp; Beamish (2004) replacement đã hoàn tất trong file 14 v3.8 (commit e2f8415, 07/05/2026): 4 occurrences trong §1.1, §2.6, Bảng 2.6.1 đã updated. Lu &amp; Beamish (2004) AMJ S-curve DOI 10.2307/20159604 đã có sẵn Section B từ v2.1.</w:t>
      </w:r>
    </w:p>
    <w:bookmarkEnd w:id="191"/>
    <w:bookmarkStart w:id="192"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192"/>
    <w:bookmarkStart w:id="193" w:name="Xb02f9563701139be84b359c2d25884190ee9110"/>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r>
        <w:t xml:space="preserve"> </w:t>
      </w: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bookmarkEnd w:id="193"/>
    <w:bookmarkStart w:id="194" w:name="X5943e13ebd761ed89df86a9d940a6ae7a0dd948"/>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bookmarkEnd w:id="194"/>
    <w:bookmarkStart w:id="195"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195"/>
    <w:bookmarkStart w:id="196"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196"/>
    <w:bookmarkStart w:id="197" w:name="h.-firm-performance-đa-chiều"/>
    <w:p>
      <w:pPr>
        <w:pStyle w:val="Heading2"/>
      </w:pPr>
      <w:r>
        <w:t xml:space="preserve">H. Firm performance đa chiều</w:t>
      </w:r>
    </w:p>
    <w:p>
      <w:pPr>
        <w:pStyle w:val="FirstParagraph"/>
      </w:pPr>
      <w:r>
        <w:t xml:space="preserve">(Giữ nguyên từ v2.1.)</w:t>
      </w:r>
    </w:p>
    <w:bookmarkEnd w:id="197"/>
    <w:bookmarkStart w:id="198"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198"/>
    <w:bookmarkStart w:id="200" w:name="X7621949d30e744d6874048fecb1435cd5e216fd"/>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bookmarkStart w:id="199" w:name="X2fb57ded0f7cbc8f956c4aa51a273056f808ba8"/>
    <w:p>
      <w:pPr>
        <w:pStyle w:val="Heading3"/>
      </w:pPr>
      <w:r>
        <w:t xml:space="preserve">Bổ sung v3.2 — Phương pháp hợp nhất dữ liệu đa quốc gia (Phụ lục A)</w:t>
      </w:r>
    </w:p>
    <w:p>
      <w:pPr>
        <w:pStyle w:val="FirstParagraph"/>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bookmarkEnd w:id="199"/>
    <w:bookmarkEnd w:id="200"/>
    <w:bookmarkStart w:id="201" w:name="X671f5c1355043217bd04f1f91c41f74e5ebb142"/>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§1.3 phạm vi không gian (47 nước châu Á phân loại theo income group) +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 mid-stream design/R&amp;D dựa trên 3 trụ cột Resilience + Environmental Sustainability + Inclusiveness. Cited §1.1 lớp 6 update +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 18% 2000-2023.)</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§8.31; ước lượng 2023-2024. NCS verify trên trang IFC trước final. Cited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201"/>
    <w:bookmarkStart w:id="202" w:name="Xde200f04073635a38db4cac94b8061369cfcb08"/>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bookmarkEnd w:id="202"/>
    <w:bookmarkStart w:id="203" w:name="X7241ee869b897bec300afe2239fcffb546e80e2"/>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203"/>
    <w:bookmarkStart w:id="204" w:name="X1905c160c4cd52294e7a67a5792aaeb2433790b"/>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204"/>
    <w:bookmarkStart w:id="205" w:name="X2132ca8004af576b93c55ebf0ffe37a44f46a17"/>
    <w:p>
      <w:pPr>
        <w:pStyle w:val="Heading2"/>
      </w:pPr>
      <w:r>
        <w:t xml:space="preserve">O. Văn bản pháp lý Việt Nam (cited trong CĐ1 §7.3.3)</w:t>
      </w:r>
    </w:p>
    <w:p>
      <w:pPr>
        <w:pStyle w:val="FirstParagraph"/>
      </w:pPr>
      <w:r>
        <w:t xml:space="preserve">(Giữ nguyên từ v2.0 — 7 văn bản pháp lý + 8 hiệp định FTA.)</w:t>
      </w:r>
    </w:p>
    <w:bookmarkEnd w:id="205"/>
    <w:bookmarkStart w:id="206" w:name="X8c3cce854d69d4cec5e0e5c79c65fd3ecacba09"/>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 107 datasets; per-capita income growth in LICs 2020–2025 below historical average; poorest quintile lost most ground since COVID-19 disruption.)</w:t>
      </w:r>
    </w:p>
    <w:p>
      <w:r>
        <w:pict>
          <v:rect style="width:0;height:1.5pt" o:hralign="center" o:hrstd="t" o:hr="t"/>
        </w:pict>
      </w:r>
    </w:p>
    <w:bookmarkEnd w:id="206"/>
    <w:bookmarkStart w:id="207"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 107 datasets ·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207"/>
    <w:bookmarkStart w:id="208"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208"/>
    <w:bookmarkStart w:id="209"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r>
        <w:t xml:space="preserve"> </w:t>
      </w: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r>
        <w:t xml:space="preserve"> </w:t>
      </w: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209"/>
    <w:bookmarkStart w:id="210"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§1 Introduction — structural developmental constraints cho Pacific SIDS FIP mechanism.)</w:t>
      </w:r>
    </w:p>
    <w:p>
      <w:r>
        <w:pict>
          <v:rect style="width:0;height:1.5pt" o:hralign="center" o:hrstd="t" o:hr="t"/>
        </w:pict>
      </w:r>
    </w:p>
    <w:bookmarkEnd w:id="210"/>
    <w:bookmarkStart w:id="214" w:name="hướng-dẫn-sử-dụng-cập-nhật-v2.5"/>
    <w:p>
      <w:pPr>
        <w:pStyle w:val="Heading2"/>
      </w:pPr>
      <w:r>
        <w:t xml:space="preserve">Hướng dẫn sử dụng (cập nhật v2.5)</w:t>
      </w:r>
    </w:p>
    <w:bookmarkStart w:id="211" w:name="trong-bản-thảo-luận-án"/>
    <w:p>
      <w:pPr>
        <w:pStyle w:val="Heading3"/>
      </w:pPr>
      <w:r>
        <w:t xml:space="preserve">Trong bản thảo luận án</w:t>
      </w:r>
    </w:p>
    <w:p>
      <w:pPr>
        <w:numPr>
          <w:ilvl w:val="0"/>
          <w:numId w:val="1018"/>
        </w:numPr>
        <w:pStyle w:val="Compact"/>
      </w:pPr>
      <w:r>
        <w:t xml:space="preserve">Dùng in-text citation theo author–date.</w:t>
      </w:r>
    </w:p>
    <w:p>
      <w:pPr>
        <w:numPr>
          <w:ilvl w:val="0"/>
          <w:numId w:val="1018"/>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18"/>
        </w:numPr>
        <w:pStyle w:val="Compact"/>
      </w:pPr>
      <w:r>
        <w:t xml:space="preserve">Trích dẫn công trình của tác giả luận án: dùng suffix năm chuẩn APA 7 —</w:t>
      </w:r>
      <w:r>
        <w:t xml:space="preserve"> </w:t>
      </w:r>
      <w:r>
        <w:t xml:space="preserve">“</w:t>
      </w:r>
      <w:r>
        <w:t xml:space="preserve">Do và Phan (2026a)</w:t>
      </w:r>
      <w:r>
        <w:t xml:space="preserve">”</w:t>
      </w:r>
      <w:r>
        <w:t xml:space="preserve">,</w:t>
      </w:r>
      <w:r>
        <w:t xml:space="preserve"> </w:t>
      </w:r>
      <w:r>
        <w:t xml:space="preserve">“</w:t>
      </w:r>
      <w:r>
        <w:t xml:space="preserve">Do và Phan (2026g)</w:t>
      </w:r>
      <w:r>
        <w:t xml:space="preserve">”</w:t>
      </w:r>
      <w:r>
        <w:t xml:space="preserve">, v.v. (P1=2026a, P2=2026g, P3=2026e, P5=2026f, P6=2026c, P7=2026d, P8=2026b; P4=Mar et al., 2026).</w:t>
      </w:r>
    </w:p>
    <w:p>
      <w:pPr>
        <w:numPr>
          <w:ilvl w:val="0"/>
          <w:numId w:val="1018"/>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18"/>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18"/>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18"/>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18"/>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18"/>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18"/>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18"/>
        </w:numPr>
        <w:pStyle w:val="Compact"/>
      </w:pPr>
      <w:r>
        <w:rPr>
          <w:bCs/>
          <w:b/>
        </w:rPr>
        <w:t xml:space="preserve">Trích dẫn Section P — Data360 Atlas (v2.6)</w:t>
      </w:r>
      <w:r>
        <w:t xml:space="preserve">:</w:t>
      </w:r>
    </w:p>
    <w:p>
      <w:pPr>
        <w:numPr>
          <w:ilvl w:val="1"/>
          <w:numId w:val="1019"/>
        </w:numPr>
        <w:pStyle w:val="Compact"/>
      </w:pPr>
      <w:r>
        <w:t xml:space="preserve">Internet access story:</w:t>
      </w:r>
      <w:r>
        <w:t xml:space="preserve"> </w:t>
      </w:r>
      <w:r>
        <w:t xml:space="preserve">“</w:t>
      </w:r>
      <w:r>
        <w:t xml:space="preserve">Pirlea &amp; Corso (2026)</w:t>
      </w:r>
      <w:r>
        <w:t xml:space="preserve">”</w:t>
      </w:r>
    </w:p>
    <w:p>
      <w:pPr>
        <w:numPr>
          <w:ilvl w:val="1"/>
          <w:numId w:val="1019"/>
        </w:numPr>
        <w:pStyle w:val="Compact"/>
      </w:pPr>
      <w:r>
        <w:t xml:space="preserve">AI inequality story:</w:t>
      </w:r>
      <w:r>
        <w:t xml:space="preserve"> </w:t>
      </w:r>
      <w:r>
        <w:t xml:space="preserve">“</w:t>
      </w:r>
      <w:r>
        <w:t xml:space="preserve">Mahler, Wang &amp; Weber (2026)</w:t>
      </w:r>
      <w:r>
        <w:t xml:space="preserve">”</w:t>
      </w:r>
    </w:p>
    <w:p>
      <w:pPr>
        <w:numPr>
          <w:ilvl w:val="1"/>
          <w:numId w:val="1019"/>
        </w:numPr>
        <w:pStyle w:val="Compact"/>
      </w:pPr>
      <w:r>
        <w:t xml:space="preserve">Atlas overview/statistics:</w:t>
      </w:r>
      <w:r>
        <w:t xml:space="preserve"> </w:t>
      </w:r>
      <w:r>
        <w:t xml:space="preserve">“</w:t>
      </w:r>
      <w:r>
        <w:t xml:space="preserve">Pirlea et al. (2026 — Atlas)</w:t>
      </w:r>
      <w:r>
        <w:t xml:space="preserve">”</w:t>
      </w:r>
    </w:p>
    <w:p>
      <w:pPr>
        <w:numPr>
          <w:ilvl w:val="1"/>
          <w:numId w:val="1019"/>
        </w:numPr>
        <w:pStyle w:val="Compact"/>
      </w:pPr>
      <w:r>
        <w:t xml:space="preserve">Commodity markets blog:</w:t>
      </w:r>
      <w:r>
        <w:t xml:space="preserve"> </w:t>
      </w:r>
      <w:r>
        <w:t xml:space="preserve">“</w:t>
      </w:r>
      <w:r>
        <w:t xml:space="preserve">Agnolucci, Kenworthy &amp; Kose (2026)</w:t>
      </w:r>
      <w:r>
        <w:t xml:space="preserve">”</w:t>
      </w:r>
    </w:p>
    <w:p>
      <w:pPr>
        <w:numPr>
          <w:ilvl w:val="1"/>
          <w:numId w:val="1019"/>
        </w:numPr>
        <w:pStyle w:val="Compact"/>
      </w:pPr>
      <w:r>
        <w:t xml:space="preserve">AI financial supervision G20:</w:t>
      </w:r>
      <w:r>
        <w:t xml:space="preserve"> </w:t>
      </w:r>
      <w:r>
        <w:t xml:space="preserve">“</w:t>
      </w:r>
      <w:r>
        <w:t xml:space="preserve">Boeddu et al. (2025)</w:t>
      </w:r>
      <w:r>
        <w:t xml:space="preserve">”</w:t>
      </w:r>
    </w:p>
    <w:p>
      <w:pPr>
        <w:numPr>
          <w:ilvl w:val="0"/>
          <w:numId w:val="1018"/>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18"/>
        </w:numPr>
        <w:pStyle w:val="Compact"/>
      </w:pPr>
      <w:r>
        <w:rPr>
          <w:bCs/>
          <w:b/>
        </w:rPr>
        <w:t xml:space="preserve">Trích dẫn Section Q — Singapore ecosystem (v2.7)</w:t>
      </w:r>
      <w:r>
        <w:t xml:space="preserve">:</w:t>
      </w:r>
    </w:p>
    <w:p>
      <w:pPr>
        <w:numPr>
          <w:ilvl w:val="1"/>
          <w:numId w:val="1020"/>
        </w:numPr>
        <w:pStyle w:val="Compact"/>
      </w:pPr>
      <w:r>
        <w:t xml:space="preserve">SWITCH 2025:</w:t>
      </w:r>
      <w:r>
        <w:t xml:space="preserve"> </w:t>
      </w:r>
      <w:r>
        <w:t xml:space="preserve">“</w:t>
      </w:r>
      <w:r>
        <w:t xml:space="preserve">Enterprise Singapore (2025)</w:t>
      </w:r>
      <w:r>
        <w:t xml:space="preserve">”</w:t>
      </w:r>
    </w:p>
    <w:p>
      <w:pPr>
        <w:numPr>
          <w:ilvl w:val="1"/>
          <w:numId w:val="1020"/>
        </w:numPr>
        <w:pStyle w:val="Compact"/>
      </w:pPr>
      <w:r>
        <w:t xml:space="preserve">Digital government rankings:</w:t>
      </w:r>
      <w:r>
        <w:t xml:space="preserve"> </w:t>
      </w:r>
      <w:r>
        <w:t xml:space="preserve">“</w:t>
      </w:r>
      <w:r>
        <w:t xml:space="preserve">GovTech Singapore (2024)</w:t>
      </w:r>
      <w:r>
        <w:t xml:space="preserve">”</w:t>
      </w:r>
    </w:p>
    <w:p>
      <w:pPr>
        <w:numPr>
          <w:ilvl w:val="1"/>
          <w:numId w:val="1020"/>
        </w:numPr>
        <w:pStyle w:val="Compact"/>
      </w:pPr>
      <w:r>
        <w:t xml:space="preserve">ATxSG summit:</w:t>
      </w:r>
      <w:r>
        <w:t xml:space="preserve"> </w:t>
      </w:r>
      <w:r>
        <w:t xml:space="preserve">“</w:t>
      </w:r>
      <w:r>
        <w:t xml:space="preserve">IMDA (2025)</w:t>
      </w:r>
      <w:r>
        <w:t xml:space="preserve">”</w:t>
      </w:r>
    </w:p>
    <w:p>
      <w:pPr>
        <w:numPr>
          <w:ilvl w:val="1"/>
          <w:numId w:val="1020"/>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18"/>
        </w:numPr>
        <w:pStyle w:val="Compact"/>
      </w:pPr>
      <w:r>
        <w:rPr>
          <w:bCs/>
          <w:b/>
        </w:rPr>
        <w:t xml:space="preserve">Trích dẫn Section T — WB Working Papers 2015/2026 (v2.9)</w:t>
      </w:r>
      <w:r>
        <w:t xml:space="preserve">:</w:t>
      </w:r>
    </w:p>
    <w:p>
      <w:pPr>
        <w:numPr>
          <w:ilvl w:val="1"/>
          <w:numId w:val="1021"/>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21"/>
        </w:numPr>
        <w:pStyle w:val="Compact"/>
      </w:pPr>
      <w:r>
        <w:t xml:space="preserve">Vietnam trade liberalization → productivity:</w:t>
      </w:r>
      <w:r>
        <w:t xml:space="preserve"> </w:t>
      </w:r>
      <w:r>
        <w:t xml:space="preserve">“</w:t>
      </w:r>
      <w:r>
        <w:t xml:space="preserve">Barattieri, Mattoo, &amp; Signoret (2026)</w:t>
      </w:r>
      <w:r>
        <w:t xml:space="preserve">”</w:t>
      </w:r>
      <w:r>
        <w:t xml:space="preserve"> </w:t>
      </w:r>
      <w:r>
        <w:t xml:space="preserve">[WPS11354]</w:t>
      </w:r>
    </w:p>
    <w:p>
      <w:pPr>
        <w:numPr>
          <w:ilvl w:val="1"/>
          <w:numId w:val="1021"/>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21"/>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21"/>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211"/>
    <w:bookmarkStart w:id="212" w:name="khi-nộp-bản-cuối"/>
    <w:p>
      <w:pPr>
        <w:pStyle w:val="Heading3"/>
      </w:pPr>
      <w:r>
        <w:t xml:space="preserve">Khi nộp bản cuối</w:t>
      </w:r>
    </w:p>
    <w:p>
      <w:pPr>
        <w:numPr>
          <w:ilvl w:val="0"/>
          <w:numId w:val="1022"/>
        </w:numPr>
        <w:pStyle w:val="Compact"/>
      </w:pPr>
      <w:r>
        <w:t xml:space="preserve">Xác minh DOI trên Crossref hoặc trang publisher cho các entry không quen thuộc.</w:t>
      </w:r>
    </w:p>
    <w:p>
      <w:pPr>
        <w:numPr>
          <w:ilvl w:val="0"/>
          <w:numId w:val="1022"/>
        </w:numPr>
        <w:pStyle w:val="Compact"/>
      </w:pPr>
      <w:r>
        <w:t xml:space="preserve">Kiểm tra nhất quán italic và punctuation theo APA 7th.</w:t>
      </w:r>
    </w:p>
    <w:p>
      <w:pPr>
        <w:numPr>
          <w:ilvl w:val="0"/>
          <w:numId w:val="1022"/>
        </w:numPr>
        <w:pStyle w:val="Compact"/>
      </w:pPr>
      <w:r>
        <w:t xml:space="preserve">Yang et al. (2025) JBR: hiện chưa verify được volume/pages — cần kiểm tra Crossref hoặc loại bỏ.</w:t>
      </w:r>
    </w:p>
    <w:p>
      <w:pPr>
        <w:numPr>
          <w:ilvl w:val="0"/>
          <w:numId w:val="1022"/>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22"/>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22"/>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212"/>
    <w:bookmarkStart w:id="213" w:name="audit-warnings-status-cập-nhật-v2.5"/>
    <w:p>
      <w:pPr>
        <w:pStyle w:val="Heading3"/>
      </w:pPr>
      <w:r>
        <w:t xml:space="preserve">Audit warnings status (cập nhật v2.5)</w:t>
      </w:r>
    </w:p>
    <w:p>
      <w:pPr>
        <w:pStyle w:val="FirstParagraph"/>
      </w:pPr>
      <w:r>
        <w:rPr>
          <w:bCs/>
          <w:b/>
        </w:rPr>
        <w:t xml:space="preserve">✓ 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213"/>
    <w:bookmarkEnd w:id="214"/>
    <w:bookmarkStart w:id="215"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215"/>
    <w:bookmarkStart w:id="216"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r>
        <w:t xml:space="preserve"> </w:t>
      </w:r>
      <w:r>
        <w:t xml:space="preserve">Phan, A. T., Do, T. H., &amp; Phan, M. T. (2020).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r>
        <w:t xml:space="preserve"> </w:t>
      </w: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216"/>
    <w:bookmarkStart w:id="217"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bookmarkEnd w:id="217"/>
    <w:bookmarkStart w:id="218"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218"/>
    <w:bookmarkStart w:id="222"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219" w:name="X041759103c7c799db9799d6bd71834307a428c8"/>
    <w:p>
      <w:pPr>
        <w:pStyle w:val="Heading3"/>
      </w:pPr>
      <w:r>
        <w:t xml:space="preserve">Công trình của tác giả luận án — Cập nhật Section M</w:t>
      </w:r>
    </w:p>
    <w:bookmarkEnd w:id="219"/>
    <w:bookmarkStart w:id="220"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220"/>
    <w:bookmarkStart w:id="221"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r>
        <w:t xml:space="preserve"> </w:t>
      </w: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r>
        <w:br w:type="page"/>
      </w:r>
    </w:p>
    <w:bookmarkEnd w:id="221"/>
    <w:bookmarkEnd w:id="222"/>
    <w:bookmarkEnd w:id="223"/>
    <w:bookmarkStart w:id="234" w:name="Xff640a2fe7b5357a1c83c06fced6026c707611d"/>
    <w:p>
      <w:pPr>
        <w:pStyle w:val="Heading1"/>
      </w:pPr>
      <w:r>
        <w:t xml:space="preserve">PHỤ LỤC A —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224"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(§3.3) ở cấp độ</w:t>
      </w:r>
      <w:r>
        <w:t xml:space="preserve"> </w:t>
      </w:r>
      <w:r>
        <w:rPr>
          <w:bCs/>
          <w:b/>
        </w:rPr>
        <w:t xml:space="preserve">thao tác chi tiết</w:t>
      </w:r>
      <w:r>
        <w:t xml:space="preserve"> </w:t>
      </w:r>
      <w:r>
        <w:t xml:space="preserve">(operational detail):</w:t>
      </w:r>
      <w:r>
        <w:t xml:space="preserve"> </w:t>
      </w:r>
      <w:r>
        <w:t xml:space="preserve">trong khi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224"/>
    <w:bookmarkStart w:id="225"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bookmarkEnd w:id="225"/>
    <w:bookmarkStart w:id="226"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(pool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bảng panel, Informal Sector,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49 nền</w:t>
            </w:r>
            <w:r>
              <w:t xml:space="preserve"> </w:t>
            </w:r>
            <w:r>
              <w:t xml:space="preserve">Á–Thái Bình Dương</w:t>
            </w:r>
          </w:p>
        </w:tc>
        <w:tc>
          <w:tcPr/>
          <w:p>
            <w:pPr>
              <w:pStyle w:val="Compact"/>
              <w:jc w:val="left"/>
            </w:pPr>
            <w:r>
              <w:t xml:space="preserve">Pool phân loại =</w:t>
            </w:r>
            <w:r>
              <w:t xml:space="preserve"> </w:t>
            </w:r>
            <w:r>
              <w:rPr>
                <w:bCs/>
                <w:b/>
              </w:rPr>
              <w:t xml:space="preserve">96.415</w:t>
            </w:r>
            <w:r>
              <w:t xml:space="preserve"> </w:t>
            </w:r>
            <w:r>
              <w:t xml:space="preserve">DN (52 nền) → khung 49 nền =</w:t>
            </w:r>
            <w:r>
              <w:t xml:space="preserve"> </w:t>
            </w:r>
            <w:r>
              <w:rPr>
                <w:bCs/>
                <w:b/>
              </w:rPr>
              <w:t xml:space="preserve">91.864</w:t>
            </w:r>
            <w:r>
              <w:t xml:space="preserve"> </w:t>
            </w:r>
            <w:r>
              <w:t xml:space="preserve">DN</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w:t>
            </w:r>
            <w:r>
              <w:t xml:space="preserve"> </w:t>
            </w:r>
            <w:r>
              <w:rPr>
                <w:bCs/>
                <w:b/>
              </w:rPr>
              <w:t xml:space="preserve">91.982</w:t>
            </w:r>
            <w:r>
              <w:t xml:space="preserve">; N hồi quy M2 =</w:t>
            </w:r>
            <w:r>
              <w:t xml:space="preserve"> </w:t>
            </w:r>
            <w:r>
              <w:rPr>
                <w:bCs/>
                <w:b/>
              </w:rPr>
              <w:t xml:space="preserve">84.910</w:t>
            </w:r>
            <w:r>
              <w:t xml:space="preserve">; mô hình đầy đủ M5 =</w:t>
            </w:r>
            <w:r>
              <w:t xml:space="preserve"> </w:t>
            </w:r>
            <w:r>
              <w:rPr>
                <w:bCs/>
                <w:b/>
              </w:rPr>
              <w:t xml:space="preserve">38.342</w:t>
            </w:r>
          </w:p>
        </w:tc>
      </w:tr>
    </w:tbl>
    <w:p>
      <w:pPr>
        <w:pStyle w:val="BodyText"/>
      </w:pPr>
      <w:r>
        <w:rPr>
          <w:iCs/>
          <w:i/>
        </w:rPr>
        <w:t xml:space="preserve">Nguồn số chính thức: tệp pool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17 đợt khảo sát 2003–2025.</w:t>
      </w:r>
    </w:p>
    <w:p>
      <w:pPr>
        <w:pStyle w:val="BodyText"/>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G["91.982 DN · 49 nền&lt;br/&gt;— MẪU PHÂN TÍCH"]</w:t>
      </w:r>
      <w:r>
        <w:br/>
      </w:r>
      <w:r>
        <w:rPr>
          <w:rStyle w:val="VerbatimChar"/>
        </w:rPr>
        <w:t xml:space="preserve">    G --&gt;|"S6 · listwise tập biến trọng tâm"| H["84.910 — N hồi quy M2"]</w:t>
      </w:r>
      <w:r>
        <w:br/>
      </w:r>
      <w:r>
        <w:rPr>
          <w:rStyle w:val="VerbatimChar"/>
        </w:rPr>
        <w:t xml:space="preserve">    H --&gt;|"+ đầy đủ biến kiểm soát"| I["38.342 — M5 (two-way FE)"]</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105 sóng chuẩn ≥2006 của 49 nền, 80.523 doanh nghiệp–năm)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 đã khóa</w:t>
      </w:r>
      <w:r>
        <w:t xml:space="preserve"> </w:t>
      </w:r>
      <w:r>
        <w:t xml:space="preserve">của luận án</w:t>
      </w:r>
      <w:r>
        <w:t xml:space="preserve"> </w:t>
      </w:r>
      <w:r>
        <w:t xml:space="preserve">(96.415 / 91.982 / 84.910) được báo cáo từ tệp pool gốc và là con số được trích dẫn trong</w:t>
      </w:r>
      <w:r>
        <w:t xml:space="preserve"> </w:t>
      </w:r>
      <w:r>
        <w:t xml:space="preserve">Chương 3–4. Sai khác giữa hai lớp được công bố minh bạch để hội đồng kiểm chứng.</w:t>
      </w:r>
    </w:p>
    <w:bookmarkEnd w:id="226"/>
    <w:bookmarkStart w:id="227"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module cốt lõi bất biến của bộ công cụ WBES</w:t>
      </w:r>
      <w:r>
        <w:t xml:space="preserve"> </w:t>
      </w:r>
      <w:r>
        <w:t xml:space="preserve">toàn cầu (World Bank, 2019). Các biến trọng tâm và quy tắc xây dựng:</w:t>
      </w:r>
    </w:p>
    <w:p>
      <w:pPr>
        <w:numPr>
          <w:ilvl w:val="0"/>
          <w:numId w:val="1023"/>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23"/>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23"/>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§2.1.3 và Coltman et al. (2008).</w:t>
      </w:r>
    </w:p>
    <w:p>
      <w:pPr>
        <w:numPr>
          <w:ilvl w:val="0"/>
          <w:numId w:val="1023"/>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227"/>
    <w:bookmarkStart w:id="228" w:name="X416f14599a376c8f9173525fa72cdada272c4e0"/>
    <w:p>
      <w:pPr>
        <w:pStyle w:val="Heading2"/>
      </w:pPr>
      <w:r>
        <w:t xml:space="preserve">A.5 Xử lý tính so sánh tiền tệ — vấn đề và giải pháp</w:t>
      </w:r>
    </w:p>
    <w:p>
      <w:pPr>
        <w:pStyle w:val="FirstParagraph"/>
      </w:pPr>
      <w:r>
        <w:t xml:space="preserve">Một mối đe dọa hiệu lực (validity threat) đặc thù của pool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24"/>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24"/>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gradient điểm uốn</w:t>
      </w:r>
      <w:r>
        <w:t xml:space="preserve"> </w:t>
      </w:r>
      <w:r>
        <w:t xml:space="preserve">— những</w:t>
      </w:r>
      <w:r>
        <w:t xml:space="preserve"> </w:t>
      </w:r>
      <w:r>
        <w:t xml:space="preserve">đại lượng bất biến với đơn vị tiền tệ (xem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228"/>
    <w:bookmarkStart w:id="229" w:name="Xcda44a616a0294a63022c370d6fafff6af411dd"/>
    <w:p>
      <w:pPr>
        <w:pStyle w:val="Heading2"/>
      </w:pPr>
      <w:r>
        <w:t xml:space="preserve">A.6 Chiến lược hợp nhất kinh tế lượng (pooled repeated cross-sections)</w:t>
      </w:r>
    </w:p>
    <w:p>
      <w:pPr>
        <w:pStyle w:val="FirstParagraph"/>
      </w:pPr>
      <w:r>
        <w:t xml:space="preserve">Vì dữ liệu là lát cắt ngang lặp lại chứ không phải panel, ước lượng tuân theo khung</w:t>
      </w:r>
      <w:r>
        <w:t xml:space="preserve"> </w:t>
      </w:r>
      <w:r>
        <w:rPr>
          <w:bCs/>
          <w:b/>
        </w:rPr>
        <w:t xml:space="preserve">pooled</w:t>
      </w:r>
      <w:r>
        <w:rPr>
          <w:bCs/>
          <w:b/>
        </w:rPr>
        <w:t xml:space="preserve"> </w:t>
      </w:r>
      <w:r>
        <w:rPr>
          <w:bCs/>
          <w:b/>
        </w:rPr>
        <w:t xml:space="preserve">cross-section với hiệu ứng cố định</w:t>
      </w:r>
      <w:r>
        <w:t xml:space="preserve"> </w:t>
      </w:r>
      <w:r>
        <w:t xml:space="preserve">thay vì mô hình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229"/>
    <w:bookmarkStart w:id="230"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 ICRV) dựa trên tổ hợp các Chỉ số Quản trị Toàn cầu (Worldwide Governance</w:t>
      </w:r>
      <w:r>
        <w:t xml:space="preserve"> </w:t>
      </w:r>
      <w:r>
        <w:t xml:space="preserve">Indicators —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49 nền kinh tế châu Á và Thái Bình Dương</w:t>
      </w:r>
      <w:r>
        <w:t xml:space="preserve">, loại ba nền ngoài</w:t>
      </w:r>
      <w:r>
        <w:t xml:space="preserve"> </w:t>
      </w:r>
      <w:r>
        <w:t xml:space="preserve">khu vực (Comoros, Cyprus, Türkiye) khỏi mẫu phân tích chính trong khi vẫn giữ chúng ở pool</w:t>
      </w:r>
      <w:r>
        <w:t xml:space="preserve"> </w:t>
      </w:r>
      <w:r>
        <w:t xml:space="preserve">phân loại 52 nền cho mục đích robustness (riêng Comoros được dùng trong kiểm định độ vững</w:t>
      </w:r>
      <w:r>
        <w:t xml:space="preserve"> </w:t>
      </w:r>
      <w:r>
        <w:t xml:space="preserve">mở rộng của P8).</w:t>
      </w:r>
    </w:p>
    <w:bookmarkEnd w:id="230"/>
    <w:bookmarkStart w:id="231"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231"/>
    <w:bookmarkStart w:id="232"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232"/>
    <w:bookmarkStart w:id="233"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proxy cho hiệu quả, không phải</w:t>
      </w:r>
      <w:r>
        <w:t xml:space="preserve"> </w:t>
      </w:r>
      <w:r>
        <w:t xml:space="preserve">TFPR trực tiếp; (iii) đo lường DAI bị giới hạn ở proxy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&amp; dữ liệu:</w:t>
      </w:r>
      <w:r>
        <w:rPr>
          <w:iCs/>
          <w:i/>
        </w:rPr>
        <w:t xml:space="preserve"> </w:t>
      </w:r>
      <w:r>
        <w:rPr>
          <w:rStyle w:val="VerbatimChar"/>
          <w:iCs/>
          <w:i/>
        </w:rPr>
        <w:t xml:space="preserve">scripts/build_pooled_dataset.py</w:t>
      </w:r>
      <w:r>
        <w:rPr>
          <w:iCs/>
          <w:i/>
        </w:rPr>
        <w:t xml:space="preserve">,</w:t>
      </w:r>
      <w:r>
        <w:rPr>
          <w:iCs/>
          <w:i/>
        </w:rPr>
        <w:t xml:space="preserve"> </w:t>
      </w:r>
      <w:r>
        <w:rPr>
          <w:rStyle w:val="VerbatimChar"/>
          <w:iCs/>
          <w:i/>
        </w:rPr>
        <w:t xml:space="preserve">scripts/wbes_canon.py</w:t>
      </w:r>
      <w:r>
        <w:rPr>
          <w:iCs/>
          <w:i/>
        </w:rPr>
        <w:t xml:space="preserve">,</w:t>
      </w:r>
      <w:r>
        <w:rPr>
          <w:iCs/>
          <w:i/>
        </w:rPr>
        <w:t xml:space="preserve"> </w:t>
      </w:r>
      <w:r>
        <w:rPr>
          <w:rStyle w:val="VerbatimChar"/>
          <w:iCs/>
          <w:i/>
        </w:rPr>
        <w:t xml:space="preserve">scripts/cd1_descriptives_pipeline.py</w:t>
      </w:r>
      <w:r>
        <w:rPr>
          <w:iCs/>
          <w:i/>
        </w:rPr>
        <w:t xml:space="preserve">;</w:t>
      </w:r>
      <w:r>
        <w:rPr>
          <w:iCs/>
          <w:i/>
        </w:rPr>
        <w:t xml:space="preserve"> </w:t>
      </w:r>
      <w:r>
        <w:rPr>
          <w:rStyle w:val="VerbatimChar"/>
          <w:iCs/>
          <w:i/>
        </w:rPr>
        <w:t xml:space="preserve">data_wbes/analysis/pooled_dataflow.csv</w:t>
      </w:r>
      <w:r>
        <w:rPr>
          <w:iCs/>
          <w:i/>
        </w:rPr>
        <w:t xml:space="preserve">,</w:t>
      </w:r>
      <w:r>
        <w:rPr>
          <w:iCs/>
          <w:i/>
        </w:rPr>
        <w:t xml:space="preserve"> </w:t>
      </w:r>
      <w:r>
        <w:rPr>
          <w:rStyle w:val="VerbatimChar"/>
          <w:iCs/>
          <w:i/>
        </w:rPr>
        <w:t xml:space="preserve">DATA_UPDATE_MANIFEST.md</w:t>
      </w:r>
      <w:r>
        <w:rPr>
          <w:iCs/>
          <w:i/>
        </w:rPr>
        <w:t xml:space="preserve">,</w:t>
      </w:r>
      <w:r>
        <w:rPr>
          <w:iCs/>
          <w:i/>
        </w:rPr>
        <w:t xml:space="preserve"> </w:t>
      </w:r>
      <w:r>
        <w:rPr>
          <w:rStyle w:val="VerbatimChar"/>
          <w:iCs/>
          <w:i/>
        </w:rPr>
        <w:t xml:space="preserve">CANONICAL_RECONCILIATION.md</w:t>
      </w:r>
      <w:r>
        <w:rPr>
          <w:iCs/>
          <w:i/>
        </w:rPr>
        <w:t xml:space="preserve">.</w:t>
      </w:r>
    </w:p>
    <w:p>
      <w:r>
        <w:br w:type="page"/>
      </w:r>
    </w:p>
    <w:bookmarkEnd w:id="233"/>
    <w:bookmarkEnd w:id="23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5" Target="media/rId65.png" /><Relationship Type="http://schemas.openxmlformats.org/officeDocument/2006/relationships/image" Id="rId146" Target="media/rId14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2026-06-12T02:17:24Z</dcterms:created>
  <dcterms:modified xsi:type="dcterms:W3CDTF">2026-06-12T02:17:24Z</dcterms:modified>
</cp:coreProperties>
</file>

<file path=docProps/custom.xml><?xml version="1.0" encoding="utf-8"?>
<Properties xmlns="http://schemas.openxmlformats.org/officeDocument/2006/custom-properties" xmlns:vt="http://schemas.openxmlformats.org/officeDocument/2006/docPropsVTypes"/>
</file>