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d939fb7ebc3b693e204d9b25995438b635da76f"/>
    <w:p>
      <w:pPr>
        <w:pStyle w:val="Heading1"/>
      </w:pPr>
      <w:r>
        <w:t xml:space="preserve">Đa Quốc Gia Châu Á, Thể Chế và Hiệu Quả Doanh Nghiệp: Vai Trò Điều Tiết của Năng Lực Công Nghệ, Áp Dụng Số và Chế Độ Thể Chế</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liệu mối quan hệ quốc tế hoá-hiệu quả doanh nghiệp có giữ vững trên một tập hợp các nền kinh tế châu Á và Thái Bình Dương đa dạng về thể chế hay không, đồng thời xác định các điều kiện giúp doanh nghiệp chuyển hoá cường độ xuất khẩu thành hiệu quả sản xuất.</w:t>
      </w:r>
    </w:p>
    <w:p>
      <w:pPr>
        <w:pStyle w:val="BodyText"/>
      </w:pPr>
      <w:r>
        <w:rPr>
          <w:bCs/>
          <w:b/>
        </w:rPr>
        <w:t xml:space="preserve">Thiết kế / phương pháp luận / cách tiếp cận.</w:t>
      </w:r>
      <w:r>
        <w:t xml:space="preserve"> </w:t>
      </w:r>
      <w:r>
        <w:t xml:space="preserve">Sử dụng vi dữ liệu từ 91.982 doanh nghiệp tại 49 nền kinh tế và 102 đợt khảo sát quốc gia-năm thuộc Khảo sát Doanh nghiệp của Ngân hàng Thế giới (World Bank Enterprise Survey, WBES) giai đoạn 2003-2025, bao trùm cả sáu nhóm chế độ theo khung Biến thiên Chế độ Thể chế (Institutional Context Regime Variation, ICRV), nghiên cứu ước lượng một chuỗi mô hình phân cấp ordinary least squares (OLS) với sai số chuẩn vững HC1 và các đặc tả tương tác ba chiều.</w:t>
      </w:r>
    </w:p>
    <w:p>
      <w:pPr>
        <w:pStyle w:val="BodyText"/>
      </w:pPr>
      <w:r>
        <w:rPr>
          <w:bCs/>
          <w:b/>
        </w:rPr>
        <w:t xml:space="preserve">Kết quả nghiên cứu.</w:t>
      </w:r>
      <w:r>
        <w:t xml:space="preserve"> </w:t>
      </w:r>
      <w:r>
        <w:t xml:space="preserve">Ba phát hiện xuất hiện. Thứ nhất, mối quan hệ I-P có dạng chữ U ngược vững chắc với điểm ngưỡng ở khoảng 36% doanh thu xuất khẩu trên tổng doanh thu (kiểm định Lind-Mehlum p &lt; ,001; xác nhận trong mô hình điều tiết ba chiều đầy đủ với điểm ngưỡng 34,6%, p = ,002). Thứ hai, Chỉ số Áp dụng Số (Digital Adoption Index, DAI) vừa nâng mức hiệu quả vừa tái định hình đường cong I-P một cách đáng kể, tạo ra lợi suất nhánh lên bị nén ở cường độ xuất khẩu thấp và suy giảm hiệu suất giảm bớt ở cường độ xuất khẩu cao. Thứ ba, chế độ thể chế ICRV điều tiết cả độ dốc lẫn độ cong một cách hệ thống, với lợi suất số trên đơn vị mạnh hơn trong môi trường thể chế yếu hơn. Chỉ số Năng lực Công nghệ (Technological Capability Index, TCI) nâng mức hiệu quả nhưng không tái tạo đường cong; kinh nghiệm nhà quản trị và nhà quản trị nữ cải thiện hiệu quả.</w:t>
      </w:r>
    </w:p>
    <w:p>
      <w:pPr>
        <w:pStyle w:val="BodyText"/>
      </w:pPr>
      <w:r>
        <w:rPr>
          <w:bCs/>
          <w:b/>
        </w:rPr>
        <w:t xml:space="preserve">Tính mới / đóng góp.</w:t>
      </w:r>
      <w:r>
        <w:t xml:space="preserve"> </w:t>
      </w:r>
      <w:r>
        <w:t xml:space="preserve">Nghiên cứu cung cấp một giải pháp súc tích cho sự không đồng nhất kéo dài trong các phát hiện I-P ở châu Á: quan hệ luôn có dạng chữ U ngược, nhưng chất lượng thể chế và năng lực số cùng nhau xác định vị trí điểm ngưỡng. Pool 49 nền kinh tế là quy mô lớn nhất của một kiểm định I-P dựa trên WBES ở châu Á và Thái Bình Dương từ trước đến nay, thiết lập điểm chuẩn để hiệu chỉnh các kết quả cụ thể của Việt Nam, Singapore, Trung Quốc.</w:t>
      </w:r>
    </w:p>
    <w:p>
      <w:pPr>
        <w:pStyle w:val="BodyText"/>
      </w:pPr>
      <w:r>
        <w:rPr>
          <w:bCs/>
          <w:b/>
        </w:rPr>
        <w:t xml:space="preserve">Từ khoá:</w:t>
      </w:r>
      <w:r>
        <w:t xml:space="preserve"> </w:t>
      </w:r>
      <w:r>
        <w:t xml:space="preserve">quốc tế hoá-hiệu quả doanh nghiệp; chữ U ngược; chế độ thể chế; năng lực số; châu Á-Thái Bình Dương; Khảo sát Doanh nghiệp của Ngân hàng Thế giới.</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49 nền kinh tế châu Á và Thái Bình Dương với điểm ngưỡng khoảng 36%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49 nền kinh tế.</w:t>
      </w:r>
    </w:p>
    <w:p>
      <w:pPr>
        <w:numPr>
          <w:ilvl w:val="0"/>
          <w:numId w:val="1001"/>
        </w:numPr>
        <w:pStyle w:val="Compact"/>
      </w:pPr>
      <w:r>
        <w:t xml:space="preserve">ICRV điều tiết cả độ dốc lẫn độ cong I–P; tương tác DAI×ICRV (p = ,012) cho thấy DAI mang lại lợi nhuận mạnh hơn ở môi trường thể chế yếu hơn.</w:t>
      </w:r>
    </w:p>
    <w:p>
      <w:pPr>
        <w:numPr>
          <w:ilvl w:val="0"/>
          <w:numId w:val="1001"/>
        </w:numPr>
        <w:pStyle w:val="Compact"/>
      </w:pPr>
      <w:r>
        <w:t xml:space="preserve">Điểm ngưỡng TP dao động từ ~28% (Nhóm I, Advanced Innovation) đến ~55% (Nhóm V–VI, Frontier/SIDS).</w:t>
      </w:r>
    </w:p>
    <w:p>
      <w:r>
        <w:pict>
          <v:rect style="width:0;height:1.5pt" o:hralign="center" o:hrstd="t" o:hr="t"/>
        </w:pict>
      </w:r>
    </w:p>
    <w:bookmarkEnd w:id="21"/>
    <w:bookmarkStart w:id="22" w:name="X8291021638e5c0ee7b47a0aaabc4b853f1da348"/>
    <w:p>
      <w:pPr>
        <w:pStyle w:val="Heading2"/>
      </w:pPr>
      <w:r>
        <w:t xml:space="preserve">1. Giới Thiệu</w:t>
      </w:r>
    </w:p>
    <w:p>
      <w:pPr>
        <w:pStyle w:val="FirstParagraph"/>
      </w:pPr>
      <w:r>
        <w:t xml:space="preserve">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khu vực chiếm hơn một nửa xuất khẩu hàng hóa toàn cầu (UNCTAD, 2023),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Giải thích thông thường viện đến bối cảnh như một nhân tố điều tiết (Marano et al., 2016; Kirca et al., 2012), nhưng các kiểm định thực nghiệm đồng thời trên các nền kinh tế châu Á đa dạng về thể chế vẫn còn hiếm.</w:t>
      </w:r>
    </w:p>
    <w:p>
      <w:pPr>
        <w:pStyle w:val="BodyText"/>
      </w:pPr>
      <w:r>
        <w:t xml:space="preserve">Bài viết này giải quyết khoảng trống đó. Chúng tôi gộp 91.982 quan sát doanh nghiệp từ 49 nền kinh tế châu Á và Thái Bình Dương giai đoạn 2003–2025, được chuẩn hóa từ WBES. Mẫu bao trùm cả sáu nhóm chế độ ICRV, từ các nền kinh tế tiên tiến dựa trên đổi mới sáng tạo (Singapore, Hàn Quốc, Đài Loan, Hồng Kông, Israel, Síp) đến các Quốc đảo Nhỏ đang Phát triển Thái Bình Dương (Vanuatu, Quần đảo Solomon, Fiji, Tonga, Samoa, Kiribati, Papua New Guinea, Timor-Leste) và các nền kinh tế tài nguyên tiên tiến Vùng Vịnh (Bahrain, Kuwait, Qatar, Brunei, Saudi Arabia, Oman), được phân loại theo khung ICRV là nền tảng xuyên suốt chương trình luận án tiến sĩ mà nghiên cứu này là một phần.</w:t>
      </w:r>
    </w:p>
    <w:p>
      <w:pPr>
        <w:pStyle w:val="BodyText"/>
      </w:pPr>
      <w:r>
        <w:t xml:space="preserve">Đóng góp của chúng tôi gồm ba điểm. Thứ nhất, chúng tôi cung cấp kiểm định lớn nhất dựa trên WBES về giả thuyết I–P hình chữ U ngược tại châu Á, xác nhận điểm ngưỡng ở khoảng 36% cường độ doanh số nước ngoài trên tất cả các đặc tả (N = 84.910–29.840), vững ngay cả trong mô hình điều tiết ba chiều đầy đủ (M11: TP = 34,6%, LM p = ,002). Thứ hai, chúng tôi ghi nhận DAI là nhân tố điều tiết năng lực chính định hình lại đường cong I–P, tạo ra các hiệu ứng nén đường cong có ý nghĩa thống kê (FSTS×DAI p &lt; ,001) xuất hiện ngay cả khi chưa kiểm soát đặc điểm nhà quản lý. TCI nâng cao mức hiệu quả doanh nghiệp nhưng không tái tạo đáng tin cậy nhánh lên trong mẫu này. Thứ ba, chúng tôi ghi nhận chế độ thể chế (nhóm ICRV) điều tiết có hệ thống cả độ dốc lẫn độ cong của hàm I–P, với các tương tác DAI×ICRV (p = ,012) cho thấy năng lực số mang lại lợi nhuận hiệu quả trên mỗi đơn vị mạnh hơn trong môi trường thể chế yếu hơn.</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29" w:name="Xfa688218e28e701d32bf8234b2f10651ad79e1f"/>
    <w:p>
      <w:pPr>
        <w:pStyle w:val="Heading2"/>
      </w:pPr>
      <w:r>
        <w:t xml:space="preserve">2. Khung Lý Thuyết và Giả Thuyết</w:t>
      </w:r>
    </w:p>
    <w:bookmarkStart w:id="23" w:name="Xf0b9c758a18c174edf2c063806c0fe85dea612d"/>
    <w:p>
      <w:pPr>
        <w:pStyle w:val="Heading3"/>
      </w:pPr>
      <w:r>
        <w:t xml:space="preserve">2.1 Nền Tảng Lý Thuyết</w:t>
      </w:r>
    </w:p>
    <w:p>
      <w:pPr>
        <w:pStyle w:val="FirstParagraph"/>
      </w:pPr>
      <w:r>
        <w:t xml:space="preserve">Chúng tôi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RBV) (Barney, 1991; Wernerfelt, 1984) định vị các năng lực cấp doanh nghiệp, công nghệ, số và quản lý,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w:t>
      </w:r>
    </w:p>
    <w:bookmarkEnd w:id="23"/>
    <w:bookmarkStart w:id="24" w:name="X2b61a2c0e5256203853e9c5c7735124bc22af0b"/>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(~88,6%),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1357cdf98c5bb0f71cc7d1b83c2965e638ffe33"/>
    <w:p>
      <w:pPr>
        <w:pStyle w:val="Heading3"/>
      </w:pPr>
      <w:r>
        <w:t xml:space="preserve">2.3 Năng Lực Công Nghệ như một Nhân Tố Khuếch Đại Đường Cong (H2)</w:t>
      </w:r>
    </w:p>
    <w:p>
      <w:pPr>
        <w:pStyle w:val="FirstParagraph"/>
      </w:pPr>
      <w:r>
        <w:t xml:space="preserve">Năng lực công nghệ, được đo bằng chỉ số tổng hợp gồm chứng nhận chất lượng, áp dụng công nghệ nước ngoài, đổi mới quy trình và R&amp;D,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5910d99037b244b4822bfa563b9e627a3df0793"/>
    <w:p>
      <w:pPr>
        <w:pStyle w:val="Heading3"/>
      </w:pPr>
      <w:r>
        <w:t xml:space="preserve">2.4 Áp Dụng Số như một Nhân Tố Nâng Cao Mức Độ (H3)</w:t>
      </w:r>
    </w:p>
    <w:p>
      <w:pPr>
        <w:pStyle w:val="FirstParagraph"/>
      </w:pPr>
      <w:r>
        <w:t xml:space="preserve">Áp dụng số, đo bằng sự hiện diện website (Tầng 1) và tỷ phần thanh toán điện tử (Tầng 2), liên quan đến giảm chi phí giao tiếp và giao dịch (Verhoef et al., 2021). Trong Mô hình Năng lực Số Phụ thuộc Bối cảnh (Context-Contingent Digital Capability Model —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tương quan với áp dụng số,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X0885e8cb441548567aa26560bfa772dfc707e48"/>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e8806808f6bc97c98ffb475935bfe7b93d7ba0c"/>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Đổi mới tiên tiến: Singapore, Hàn Quốc, Đài Loan, Israel, Síp) đến Nhóm VI (SIDS,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p>
      <w:r>
        <w:pict>
          <v:rect style="width:0;height:1.5pt" o:hralign="center" o:hrstd="t" o:hr="t"/>
        </w:pict>
      </w:r>
    </w:p>
    <w:bookmarkEnd w:id="28"/>
    <w:bookmarkEnd w:id="29"/>
    <w:bookmarkStart w:id="34" w:name="X04a517dd5a14ea73a401e4e8e76b17647fe8cfb"/>
    <w:p>
      <w:pPr>
        <w:pStyle w:val="Heading2"/>
      </w:pPr>
      <w:r>
        <w:t xml:space="preserve">3. Dữ Liệu và Phương Pháp</w:t>
      </w:r>
    </w:p>
    <w:bookmarkStart w:id="30" w:name="X84ced60e62ea90934832891098abf01a4d917e5"/>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Chúng tôi sử dụng vi dữ liệu từ 49 nền kinh tế châu Á và Thái Bình Dương qua 102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(Armenia, Bahrain, Síp, Iraq, Israel, Jordan, Kuwait, Lebanon, Oman, Qatar, Saudi Arabia, Yemen) và Thái Bình Dương/SIDS (Fiji, Kiribati, Papua New Guinea, Samoa, Quần đảo Solomon, Tonga, Vanuatu).</w:t>
      </w:r>
    </w:p>
    <w:p>
      <w:pPr>
        <w:pStyle w:val="BodyText"/>
      </w:pPr>
      <w:r>
        <w:t xml:space="preserve">Bộ dữ liệu phân tích cuối cùng chứa 91.982 quan sát doanh nghiệp (trước khi áp dụng yêu cầu kết quả và FSTS không thiếu). Dữ liệu hiện có của Oman (năm 2003) có từ trước các biến năng lực số sử dụng trong M6–M11; nó đóng góp cho M2 nhưng bị loại khỏi M3+ do thiếu biến kiểm soát.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chọn file lớn nhất theo cặp (quốc gia, năm) khi tồn tại nhiều bản tải lên.</w:t>
      </w:r>
    </w:p>
    <w:bookmarkEnd w:id="30"/>
    <w:bookmarkStart w:id="31" w:name="X4adda76bac506973b30600af8334eb2d936b64d"/>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1"/>
    <w:bookmarkStart w:id="32" w:name="X7bb3fee78b87f48d0c2473c5ced53c572ee4cbc"/>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2"/>
    <w:bookmarkStart w:id="33" w:name="Xae8378676e5b2087f2c831a0063b0189cd3c5f5"/>
    <w:p>
      <w:pPr>
        <w:pStyle w:val="Heading3"/>
      </w:pPr>
      <w:r>
        <w:t xml:space="preserve">3.4 Quy Mô Mẫu</w:t>
      </w:r>
    </w:p>
    <w:p>
      <w:pPr>
        <w:pStyle w:val="FirstParagraph"/>
      </w:pPr>
      <w:r>
        <w:t xml:space="preserve">Mẫu phân tích cho M2 (kết quả + FSTS không thiếu) là N = 84.910. Thêm biến kiểm soát giảm mẫu xuống N = 38.342 (M3); mô hình FE quốc gia-năm M5 sử dụng cùng mẫu. Các mô hình điều tiết TCI (M6, M7) sử dụng N ≈ 38.051; thêm DAI (M8) N ≈ 37.940; mô hình nhà quản lý (M9) N ≈ 35.568; điều tiết ICRV (M10) N ≈ 31.928; ba chiều đầy đủ (M11) N ≈ 29.840.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3"/>
    <w:bookmarkEnd w:id="34"/>
    <w:bookmarkStart w:id="42" w:name="Xc1528237297c4ce8999628372a6b48494fd6214"/>
    <w:p>
      <w:pPr>
        <w:pStyle w:val="Heading2"/>
      </w:pPr>
      <w:r>
        <w:t xml:space="preserve">4. Kết Quả</w:t>
      </w:r>
    </w:p>
    <w:bookmarkStart w:id="35" w:name="X270692b7fb857c24731b5eb1b9637ba60d98ddf"/>
    <w:p>
      <w:pPr>
        <w:pStyle w:val="Heading3"/>
      </w:pPr>
      <w:r>
        <w:t xml:space="preserve">4.1 Thống Kê Mô Tả và Tương Quan</w:t>
      </w:r>
    </w:p>
    <w:p>
      <w:pPr>
        <w:pStyle w:val="FirstParagraph"/>
      </w:pPr>
      <w:r>
        <w:t xml:space="preserve">Mẫu phân tích đầy đủ bao trùm 49 nền kinh tế và 102 đợt khảo sát quốc gia-năm. FSTS trung bình qua các doanh nghiệp là khoảng 12% (trung vị ≈ 0), phản ánh thực tế rằng hầu hết các doanh nghiệp WBES định hướng nội địa; các doanh nghiệp xuất khẩu (FSTS &gt; 0) chiếm khoảng 18% mẫu. Năng suất lao động dao động từ ln(LP) ≈ 10 (Tajikistan, Timor-Leste) đến ln(LP) ≈ 20 (Việt Nam, Indonesia,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5"/>
    <w:bookmarkStart w:id="36" w:name="Xafda91cb974abd90eed7de818c67b363cb2aa12"/>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+1,316 (p &lt; ,001) và β₂ = −1,810 (p &lt; ,001), nhất quán với hình chữ U ngược. Theo Haans, Pieters và He (2016), cả bốn điều kiện chính thức cho hình chữ U ngược thực sự đều thỏa mãn trong M2: (C1) β₁ = +1,316 (p &lt; ,001), xác nhận nhánh lên dương tính; (C2) β₂ = −1,810 (p &lt; ,001), xác nhận độ lõm; (C3) điểm ngưỡng TP* ≈ 36,4% nằm trong phạm vi quan sát FSTS [0%, 100%]; và (C4) hiệu ứng biên của quốc tế hóa là dương tính tại ranh giới dữ liệu thấp hơn (FSTS ≈ 0%, độ dốc ≈ +1,32) và âm tính tại ranh giới trên (FSTS ≈ 100%, độ dốc ≈ −2,30), với các dấu ngược chiều được xác nhận bởi kiểm định u Lind–Mehlum (2010) (p chung &lt; ,001). Hình chữ U ngược vẫn có ý nghĩa khi thêm biến kiểm soát (M3: TP = 33,8%, LM p &lt; ,001) và khi FE quốc gia-năm hấp thụ toàn bộ không đồng nhất quốc gia không quan sát được biến thiên theo thời gian (M5: TP = 40,0%, LM p &lt; ,001, adjR² = ,677). Sự nhất quán của điểm ngưỡng qua M2, M3 và M5, dao động từ 33,8% đến 40,0%,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34,6%, LM p = ,002),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49 nền kinh tế châu Á và Thái Bình Dương, với điểm ngưỡng khoảng 36% cường độ doanh số nước ngoài.</w:t>
      </w:r>
    </w:p>
    <w:bookmarkEnd w:id="36"/>
    <w:bookmarkStart w:id="37" w:name="X53c589b4d33e29a73a0daf35256d2e91a862d65"/>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+0,321, p &lt; ,001) nâng adjR² từ ,015 lên ,024. Mô hình tương tác M7 thêm FSTS×TCI và FSTS²×TCI. Kết quả cho thấy:</w:t>
      </w:r>
    </w:p>
    <w:p>
      <w:pPr>
        <w:numPr>
          <w:ilvl w:val="0"/>
          <w:numId w:val="1002"/>
        </w:numPr>
        <w:pStyle w:val="Compact"/>
      </w:pPr>
      <w:r>
        <w:t xml:space="preserve">Tác động chính TCI: β = +0,344 (p &lt; ,001) — TCI cao hơn nâng cao hiệu quả cơ sở</w:t>
      </w:r>
    </w:p>
    <w:p>
      <w:pPr>
        <w:numPr>
          <w:ilvl w:val="0"/>
          <w:numId w:val="1002"/>
        </w:numPr>
        <w:pStyle w:val="Compact"/>
      </w:pPr>
      <w:r>
        <w:t xml:space="preserve">FSTS×TCI: β = −0,144 (NS), tương tác nhánh lên không có ý nghĩa thống kê</w:t>
      </w:r>
    </w:p>
    <w:p>
      <w:pPr>
        <w:numPr>
          <w:ilvl w:val="0"/>
          <w:numId w:val="1002"/>
        </w:numPr>
        <w:pStyle w:val="Compact"/>
      </w:pPr>
      <w:r>
        <w:t xml:space="preserve">FSTS²×TCI: β = −0,137 (NS trong M7; vẫn NS trong M8, p = ,129)</w:t>
      </w:r>
    </w:p>
    <w:p>
      <w:pPr>
        <w:pStyle w:val="FirstParagraph"/>
      </w:pPr>
      <w:r>
        <w:t xml:space="preserve">Kiểm định F chung cho hai số hạng tương tác TCI không có ý nghĩa thống kê qua M7–M9. Hình chữ U ngược vẫn được xác nhận trong M7 (TP = 33,9%, LM p &lt; ,001). Tăng một độ lệch chuẩn TCI nâng năng suất lao động lên exp(0,344) − 1 ≈ 41% tại mức FSTS trung bình,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49 nền kinh tế đa dạng về thể chế, làm suy giảm các mẫu từng quốc gia được ghi chép trong P3/P5.</w:t>
      </w:r>
    </w:p>
    <w:bookmarkEnd w:id="37"/>
    <w:bookmarkStart w:id="38" w:name="X8e61cb906979617b5dc32b886e41f775d7b1ed7"/>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+0,155, p &lt; ,001), nhất quán với phần bù hiệu quả khoảng 17% cho các doanh nghiệp hoạt động số (exp(0,155) − 1 ≈ 17%). Đáng chú ý là cả hai số hạng tương tác DAI đều có ý nghĩa thống kê trong M8: FSTS×DAI = −0,614 (p &lt; ,001, ***) và FSTS²×DAI = +0,766 (p = ,001, **). Mẫu tương tác, FSTS×DAI âm tính và FSTS²×DAI dương tính,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−0,780 (p &lt; ,001, ***) và FSTS²×DAI = +0,994 (p &lt; ,001, ***). Hình chữ U ngược được duy trì trong cả hai đặc tả (M8: TP = 33,8%; M9: TP = 36,1%).</w:t>
      </w:r>
    </w:p>
    <w:p>
      <w:pPr>
        <w:pStyle w:val="BodyText"/>
      </w:pPr>
      <w:r>
        <w:rPr>
          <w:bCs/>
          <w:b/>
        </w:rPr>
        <w:t xml:space="preserve">H3 được ủng hộ.</w:t>
      </w:r>
      <w:r>
        <w:t xml:space="preserve"> </w:t>
      </w:r>
      <w:r>
        <w:t xml:space="preserve">DAI nâng cao hiệu quả doanh nghiệp khoảng 16% và định hình lại đáng kể đường cong I–P, nén nhánh lên và giảm nhẹ suy giảm hiệu quả ở mức FSTS cao, ngay cả trước khi kiểm soát đặc điểm nhà quản lý. Đây là phát hiện điều tiết năng lực chính của nghiên cứu.</w:t>
      </w:r>
    </w:p>
    <w:bookmarkEnd w:id="38"/>
    <w:bookmarkStart w:id="39" w:name="X62e6337d2353a0d2bc94272c24cf2aa1a69f676"/>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+0,007, p = ,026) và nhà quản lý nữ cấp cao (β = +0,185, p &lt; ,001) đều nâng cao hiệu quả doanh nghiệp độc lập với FSTS trong M9. Hiệu ứng kinh nghiệm ngụ ý khoảng 0,7% năng suất lao động cao hơn trên mỗi năm kinh nghiệm ngành bổ sung; hiệu ứng nhà quản lý nữ cấp cao ngụ ý khoảng 20% phần bù hiệu quả (exp(0,185) − 1 ≈ 20%). Tương tác FSTS×kinh_nghiệm_nhà_quản_lý không có ý nghĩa thống kê trong M9 (β = −0,012, p = ,133), nhưng đạt p = ,053 trong M11 (β = −0,019, †), gợi ý rằng trong đặc tả đầy đủ, các nhà quản lý có kinh nghiệm hơn điều hướng tốt hơn các thách thức phối hợp FSTS cao (tương tác âm tính = suy giảm hiệu quả nhỏ hơn trên điểm ngưỡng).</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hiện diện ở mức ranh giới trong M11 nhưng vắng mặt trong M9; chúng tôi giải thích đây là phát hiện thứ cấp cần tái hiện.</w:t>
      </w:r>
    </w:p>
    <w:bookmarkEnd w:id="39"/>
    <w:bookmarkStart w:id="40" w:name="X7a24195941cbfd40f0a617f76e0750201220859"/>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+0,763, p &lt; ,001) cho thấy, khi kiểm soát TCI, DAI và đặc điểm doanh nghiệp, mỗi bậc tiến lên thang đo ICRV (từ Nhóm I đến Nhóm VI, tức từ thể chế mạnh hơn đến yếu hơn) tương quan với mức năng suất lao động cao hơn khoảng 115% (exp(0,763) − 1 ≈ 115%).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+1,762, p &lt; ,001) và FSTS²×ICRV (β = −2,746, p &lt; ,001). Điều này cho thấy độ dốc lên của đường cong I–P dốc hơn ở các nền kinh tế thể chế yếu hơn (nhóm ICRV cao hơn), nhưng độ dốc xuống cũng vậy, có nghĩa là đỉnh của hình chữ U ngược xảy ra ở mức cường độ xuất khẩu thấp hơn trong các nền kinh tế thể chế mạnh hơn (số ICRV thấp hơn) và rõ ràng hơn trong các nền kinh tế thể chế yếu hơn. Phân tách theo nhóm ICRV: với các nền kinh tế Nhóm I (Advanced Innovation, Đổi mới tiên tiến), điểm ngưỡng ước tính là khoảng 28%; với Nhóm V–VI (Frontier/SIDS, Tiên phong/Quốc đảo Nhỏ), điểm ngưỡng ước tính là khoảng 55%. Mẫu này nhất quán với các doanh nghiệp trong các nền kinh tế thể chế tiên tiến thu hồi chi phí quốc tế hóa ở mức cường độ xuất khẩu thấp hơn, trong khi các doanh nghiệp trong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có hệ thống cả độ dốc lẫn độ cong của hàm I–P, với thể chế mạnh hơn tương quan với đỉnh hiệu quả sớm hơn (mức FSTS thấp hơn).</w:t>
      </w:r>
    </w:p>
    <w:bookmarkEnd w:id="40"/>
    <w:bookmarkStart w:id="41" w:name="Xf02a6301555d1cf183f39fea0af0e1c0f2e5346"/>
    <w:p>
      <w:pPr>
        <w:pStyle w:val="Heading3"/>
      </w:pPr>
      <w:r>
        <w:t xml:space="preserve">4.7 Điều Tiết Ba Chiều Đầy Đủ (H7-P7)</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34,6%, LM p = ,002), thiết lập rằng hình chữ U ngược giữ vững ngay cả trong đặc tả đòi hỏi nhất. Tương tác DAI×ICRV (β = +0,060, p = ,012, *) có ý nghĩa thống kê, nhất quán với dự đoán CDCM rằng năng lực số cung cấp hiệu ứng hiệu quả mạnh hơn trên mỗi đơn vị trong môi trường thể chế yếu hơn. Số hạng ba chiều FSTS×DAI×ICRV (β = −0,001,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,067 trong M11 (so với ,049 trong M10) cho thấy sự cải thiện độ phù hợp có ý nghĩa từ việc thêm cấu trúc điều tiết ba chiều.</w:t>
      </w:r>
    </w:p>
    <w:p>
      <w:pPr>
        <w:pStyle w:val="BodyText"/>
      </w:pPr>
      <w:r>
        <w:rPr>
          <w:bCs/>
          <w:b/>
        </w:rPr>
        <w:t xml:space="preserve">H7-P7 (tương tác ba chiều) không được xác nhận; hình chữ U ngược M11 được xác nhận.</w:t>
      </w:r>
      <w:r>
        <w:t xml:space="preserve"> </w:t>
      </w:r>
      <w:r>
        <w:t xml:space="preserve">Tương tác chính DAI×ICRV có ý nghĩa thống kê (p = ,012), ủng hộ các hiệu ứng số phụ thuộc chế độ. Sự tái tạo đường cong FSTS ba chiều qua DAI×ICRV không đạt ý nghĩa thống kê, chiều đo lường DAI hạn chế của WBES (chỉ Tầng 1–2) có thể cản trở việc phát hiện tương tác CDCM dự đoán đầy đủ.</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52a456ff741b3aa636123e3e3d4e965f1904974"/>
    <w:p>
      <w:pPr>
        <w:pStyle w:val="Heading3"/>
      </w:pPr>
      <w:r>
        <w:t xml:space="preserve">5.1 Giải Quyết Tính Không Đồng Nhất Qua Các Nghiên Cứu</w:t>
      </w:r>
    </w:p>
    <w:p>
      <w:pPr>
        <w:pStyle w:val="FirstParagraph"/>
      </w:pPr>
      <w:r>
        <w:t xml:space="preserve">Phát hiện trung tâm, hình chữ U ngược với điểm ngưỡng khoảng 36% cường độ doanh số nước ngoài, vững trên 49 nền kinh tế và sáu nhóm ICRV,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36%;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bản thân điểm ngưỡng biến động từ khoảng 28% (Nhóm I) đến 55% (Nhóm V–VI), vì vậy các nghiên cứu tại các nền kinh tế tiên tiến về thể chế có khả năng tìm thấy các hiệu ứng đỉnh sớm hơn so với các nghiên cứu tại các nền kinh tế tiên phong.</w:t>
      </w:r>
    </w:p>
    <w:bookmarkEnd w:id="43"/>
    <w:bookmarkStart w:id="44" w:name="Xd51eb374dfcd7d71a0b4c49daadfb7b6168cd93"/>
    <w:p>
      <w:pPr>
        <w:pStyle w:val="Heading3"/>
      </w:pPr>
      <w:r>
        <w:t xml:space="preserve">5.2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49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4"/>
    <w:bookmarkStart w:id="45" w:name="X97d3aad815c0c774f5983afb9841b2729632868"/>
    <w:p>
      <w:pPr>
        <w:pStyle w:val="Heading3"/>
      </w:pPr>
      <w:r>
        <w:t xml:space="preserve">5.3 Áp Dụng Số và Tính Bổ Sung Thể Chế</w:t>
      </w:r>
    </w:p>
    <w:p>
      <w:pPr>
        <w:pStyle w:val="FirstParagraph"/>
      </w:pPr>
      <w:r>
        <w:t xml:space="preserve">Việc tái tạo đường cong bổ sung năng lực tìm thấy cho DAI trong M9, và tương tác DAI×ICRV có ý nghĩa thống kê (β = +0,060, p = ,012) trong M11,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5"/>
    <w:bookmarkStart w:id="46" w:name="X6b31c401d1ad2511815510eb77b10f681f43f65"/>
    <w:p>
      <w:pPr>
        <w:pStyle w:val="Heading3"/>
      </w:pPr>
      <w:r>
        <w:t xml:space="preserve">5.4 Tính Không Đồng Nhất Quản Lý</w:t>
      </w:r>
    </w:p>
    <w:p>
      <w:pPr>
        <w:pStyle w:val="FirstParagraph"/>
      </w:pPr>
      <w:r>
        <w:t xml:space="preserve">Phần bù hiệu quả nhất quán và có ý nghĩa thống kê cho các nhà quản lý nữ cấp cao (khoảng 17–20%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một trong những nền kinh tế Nhóm IV ICRV lớn nhất trong mẫu, với tỷ lệ tham gia lực lượng lao động nữ-trên-nam là 88,61% (World Bank Prosperity Data360, 2025),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6"/>
    <w:bookmarkStart w:id="47" w:name="X1db92cff7de439f7ce5498ad6566fddb73002b1"/>
    <w:p>
      <w:pPr>
        <w:pStyle w:val="Heading3"/>
      </w:pPr>
      <w:r>
        <w:t xml:space="preserve">5.5 Hạn Chế</w:t>
      </w:r>
    </w:p>
    <w:p>
      <w:pPr>
        <w:pStyle w:val="FirstParagraph"/>
      </w:pPr>
      <w:r>
        <w:t xml:space="preserve">Ba ràng buộc suy luận giới hạn các phát hiện này. Thứ nhất, WBES là thiết kế mặt cắt ngang: thuật ngữ "hiệu quả" 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hiện bao trùm tất cả 49 nền kinh tế được ánh xạ ICRV qua sáu nhóm chế độ; tuy nhiên, đợt có sẵn của Oman (2003) có từ trước các biến năng lực số, giới hạn đóng góp của nó chỉ cho các mô hình cơ sở. Các đợt WBES tương lai của Oman sẽ làm sắc nét các ước tính Nhóm II.</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Chúng tôi nhận thấy rằng mối quan hệ I–P hình chữ U ngược giữ vững một cách vững chắc trên mẫu WBES 49 nền kinh tế, 102 đợt, với điểm ngưỡng khoảng 36% cường độ doanh số nước ngoài. Ba kết luận liên quan đến chính sách. Thứ nhất, đối với các doanh nghiệp trong giai đoạn lên (FSTS &lt; 36%), tăng cường quốc tế hóa giúp tăng năng suất; ưu tiên là loại bỏ các rào cản mở rộng xuất khẩu. Đối với các doanh nghiệp vượt qua điểm ngưỡng, ràng buộc không phải là tiếp cận thị trường mà là năng lực phối hợp. Thứ hai, xây dựng năng lực công nghệ nâng cao mức hiệu quả ở tất cả các mức FSTS mà không tái tạo đáng tin cậy đường cong; chính sách nên nhắm vào xây dựng năng lực như một đòn bẩy hiệu quả cơ sở hơn là can thiệp dịch chuyển đường cong. Thứ ba, áp dụng số vừa là nhân tố nâng cao hiệu quả phổ quát vừa là nhân tố tái tạo đường cong chính: DAI nén lợi nhuận nhánh lên và giảm nhẹ suy giảm hiệu quả nhánh xuống, với lợi nhuận mạnh hơn trong môi trường thể chế yếu hơn (DAI×ICRV, p = ,012).</w:t>
      </w:r>
    </w:p>
    <w:p>
      <w:pPr>
        <w:pStyle w:val="BodyText"/>
      </w:pPr>
      <w:r>
        <w:t xml:space="preserve">Bối cảnh chính sách ngắn hạn tăng thêm sự cấp bách cho các phát hiện này. Dữ liệu giám sát vĩ mô của Ngân hàng Thế giới (2026b) đối với Việt Nam, nền kinh tế Nhóm IV ICRV lớn nhất trong mẫu, cho thấy PMI sản xuất giảm xuống 45,3 (thu hẹp) vào tháng 3/2026 khi đơn đặt hàng xuất khẩu mới sụp đổ sau khi mở cuộc điều tra của đại diện thương mại Mỹ; nhập khẩu hàng hóa đã tăng 27,8% so với cùng kỳ năm trước trong cùng tháng, một phần do gián đoạn chuỗi cung ứng năng lượng từ xung đột eo biển Hormuz. Những điều kiện này chính xác là những điều kiện mà phía phải của hình chữ U ngược trở nên quan trọng: các doanh nghiệp bị đẩy trên mức FSTS tối ưu của họ bởi các cam kết xuất khẩu trước đó đối mặt với áp lực phối hợp và chi phí đầu vào khuếch đại. Kết quả điều tiết ICRV, rằng các doanh nghiệp Nhóm IV phải đối mặt với hình phạt nhánh xuống dốc hơn, ngụ ý rằng các nhà xuất khẩu Việt Nam hiện tại trên điểm ngưỡng FSTS 36% là những doanh nghiệp bị phơi bày nhiều nhất trước các cú sốc vĩ mô. Các chính sách thúc đẩy áp dụng năng lực số (DAI) có thể đệm đỡ sự suy giảm này bằng cách nén nhánh xuống, nhất quán với các ước lượng M8/M9 của chúng tôi.</w:t>
      </w:r>
    </w:p>
    <w:p>
      <w:pPr>
        <w:pStyle w:val="BodyText"/>
      </w:pPr>
      <w:r>
        <w:t xml:space="preserve">Nghiên cứu tương lai nên tận dụng các chiều bảng đang phát triển của WBES để thiết lập quan hệ nhân quả, và kết hợp các thước đo năng lực số Tầng 3–4 (áp dụng AI, điện toán đám mây, tham gia nền tảng) khi các mục này trở nên có sẵn trong các đợt WBES 2025+.</w:t>
      </w:r>
    </w:p>
    <w:p>
      <w:r>
        <w:pict>
          <v:rect style="width:0;height:1.5pt" o:hralign="center" o:hrstd="t" o:hr="t"/>
        </w:pict>
      </w:r>
    </w:p>
    <w:bookmarkEnd w:id="49"/>
    <w:bookmarkStart w:id="74"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29.840, AdjR² = ,067, TP = 34,6%, LM p = ,002): DAI×ICRV = +0,060*, ba chiều FSTS×DAI×ICRV = −0,001 (NS), mgr_experience = +0,009**, FSTS×mgr = −0,019†, mgr_female = +0,187***, female_owner = +0,128**.</w:t>
      </w:r>
    </w:p>
    <w:p>
      <w:r>
        <w:pict>
          <v:rect style="width:0;height:1.5pt" o:hralign="center" o:hrstd="t" o:hr="t"/>
        </w:pict>
      </w:r>
    </w:p>
    <w:bookmarkEnd w:id="75"/>
    <w:bookmarkStart w:id="78"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w:t>
      </w:r>
      <w:r>
        <w:rPr>
          <w:iCs/>
          <w:i/>
        </w:rPr>
        <w:t xml:space="preserve"> </w:t>
      </w:r>
      <w:hyperlink r:id="rId76">
        <w:r>
          <w:rPr>
            <w:rStyle w:val="Hyperlink"/>
            <w:iCs/>
            <w:i/>
          </w:rPr>
          <w:t xml:space="preserve">patu@ctu.edu.vn</w:t>
        </w:r>
      </w:hyperlink>
      <w:r>
        <w:rPr>
          <w:iCs/>
          <w:i/>
        </w:rPr>
        <w:t xml:space="preserve">, ORCID: 0000-0003-0667-3137</w:t>
      </w:r>
      <w:r>
        <w:t xml:space="preserve"> </w:t>
      </w:r>
      <w:r>
        <w:rPr>
          <w:iCs/>
          <w:i/>
        </w:rPr>
        <w:t xml:space="preserve">Tác giả thứ nhất: Đỗ Thùy Hương, Trường Đại học Kỹ thuật - Công nghệ Vĩnh Long,</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2026-05-21T06:56:14Z</dcterms:created>
  <dcterms:modified xsi:type="dcterms:W3CDTF">2026-05-21T06:56:14Z</dcterms:modified>
</cp:coreProperties>
</file>

<file path=docProps/custom.xml><?xml version="1.0" encoding="utf-8"?>
<Properties xmlns="http://schemas.openxmlformats.org/officeDocument/2006/custom-properties" xmlns:vt="http://schemas.openxmlformats.org/officeDocument/2006/docPropsVTypes"/>
</file>