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conventional inverted-U relationship between internationalisation intensity and firm performance holds in Pacific Small Island Developing States (SIDS), a context in which three structural prerequisites of the inverted-U logic, a viable domestic market, manageable trade costs, and functional institutional support, are simultaneously absent.</w:t>
      </w:r>
    </w:p>
    <w:p>
      <w:pPr>
        <w:pStyle w:val="BodyText"/>
      </w:pPr>
      <w:r>
        <w:rPr>
          <w:bCs/>
          <w:b/>
        </w:rPr>
        <w:t xml:space="preserve">Design/methodology/approach.</w:t>
      </w:r>
      <w:r>
        <w:t xml:space="preserve"> </w:t>
      </w:r>
      <w:r>
        <w:t xml:space="preserve">We introduce and theoretically define the Forced Internationalisation Penalty (FIP) as a boundary condition of the inverted-U paradigm and test it using World Bank Enterprise Survey data from 1,469 firms across nine Pacific SIDS economies covering 2009-2025, with country-and-year fixed-effects specifications and HC1 robust standard errors. The FIP construct is distinguished from phase-1 costs in three-stage internationalisation theory, Liability of Foreignness, and necessity entrepreneurship.</w:t>
      </w:r>
    </w:p>
    <w:p>
      <w:pPr>
        <w:pStyle w:val="BodyText"/>
      </w:pPr>
      <w:r>
        <w:rPr>
          <w:bCs/>
          <w:b/>
        </w:rPr>
        <w:t xml:space="preserve">Findings.</w:t>
      </w:r>
      <w:r>
        <w:t xml:space="preserve"> </w:t>
      </w:r>
      <w:r>
        <w:t xml:space="preserve">Internationalisation intensity is robustly and negatively associated with labour productivity (β = -0.404, p = .032 with country-and-year fixed effects; β = -1.236, p &lt; .001 without country fixed effects), with no significant quadratic curvature. Technological capability and digital adoption, both significant moderators in mainland Asian contexts, are null in the SIDS environment, consistent with the FIP mechanism: when structural prerequisites are absent, firm-level capabilities cannot redirect the I-P relationship toward positive territory.</w:t>
      </w:r>
    </w:p>
    <w:p>
      <w:pPr>
        <w:pStyle w:val="BodyText"/>
      </w:pPr>
      <w:r>
        <w:rPr>
          <w:bCs/>
          <w:b/>
        </w:rPr>
        <w:t xml:space="preserve">Originality/value.</w:t>
      </w:r>
      <w:r>
        <w:t xml:space="preserve"> </w:t>
      </w:r>
      <w:r>
        <w:t xml:space="preserve">The findings reframe the inverted-U paradigm as conditional rather than universal, identify boundary conditions for institutional-moderation theory, and shift the theoretical conversation from institutional moderation of the I-P relationship to institutional determination of its sign. The paper provides the most comprehensive firm-level I-P analysis of Pacific SIDS to date and carries direct policy implications under the Antigua and Barbuda Agenda for SIDS.</w:t>
      </w:r>
    </w:p>
    <w:p>
      <w:pPr>
        <w:pStyle w:val="BodyText"/>
      </w:pPr>
      <w:r>
        <w:rPr>
          <w:bCs/>
          <w:b/>
        </w:rPr>
        <w:t xml:space="preserve">Keywords:</w:t>
      </w:r>
      <w:r>
        <w:t xml:space="preserve"> </w:t>
      </w:r>
      <w:r>
        <w:t xml:space="preserve">internationalisation-performance; forced internationalisation penalty; Pacific Small Island Developing States; survival-based internationalisation; boundary conditions; institutional voids.</w:t>
      </w:r>
    </w:p>
    <w:p>
      <w:pPr>
        <w:pStyle w:val="BodyText"/>
      </w:pPr>
      <w:r>
        <w:rPr>
          <w:bCs/>
          <w:b/>
        </w:rPr>
        <w:t xml:space="preserve">JEL Classification:</w:t>
      </w:r>
      <w:r>
        <w:t xml:space="preserve"> </w:t>
      </w:r>
      <w:r>
        <w:t xml:space="preserve">F23; O19; L25; D22; O53.</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2026-05-21T06:56:14Z</dcterms:created>
  <dcterms:modified xsi:type="dcterms:W3CDTF">2026-05-21T06:56:14Z</dcterms:modified>
</cp:coreProperties>
</file>

<file path=docProps/custom.xml><?xml version="1.0" encoding="utf-8"?>
<Properties xmlns="http://schemas.openxmlformats.org/officeDocument/2006/custom-properties" xmlns:vt="http://schemas.openxmlformats.org/officeDocument/2006/docPropsVTypes"/>
</file>