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f24ec467481d62a742d363f12c684976d74bdf7"/>
    <w:p>
      <w:pPr>
        <w:pStyle w:val="Heading1"/>
      </w:pPr>
      <w:r>
        <w:t xml:space="preserve">Internationalization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internationalisation-performance (I-P) relationship holds across a large and institutionally diverse set of Asian and Pacific economies and identifies the conditions under which firms convert export intensity into productive performance.</w:t>
      </w:r>
    </w:p>
    <w:p>
      <w:pPr>
        <w:pStyle w:val="BodyText"/>
      </w:pPr>
      <w:r>
        <w:rPr>
          <w:bCs/>
          <w:b/>
        </w:rPr>
        <w:t xml:space="preserve">Design/methodology/approach.</w:t>
      </w:r>
      <w:r>
        <w:t xml:space="preserve"> </w:t>
      </w:r>
      <w:r>
        <w:t xml:space="preserve">Using microdata from 91,982 firms across 49 economies and 102 country-year waves of the World Bank Enterprise Survey (2003-2025), spanning all six Institutional Capability and Resource Vulnerability (ICRV) regime groups, we estimate a hierarchical sequence of ordinary least squares (OLS) models with HC1 robust standard errors and three-way interaction specifications.</w:t>
      </w:r>
    </w:p>
    <w:p>
      <w:pPr>
        <w:pStyle w:val="BodyText"/>
      </w:pPr>
      <w:r>
        <w:rPr>
          <w:bCs/>
          <w:b/>
        </w:rPr>
        <w:t xml:space="preserve">Findings.</w:t>
      </w:r>
      <w:r>
        <w:t xml:space="preserve"> </w:t>
      </w:r>
      <w:r>
        <w:t xml:space="preserve">Three results emerge. First, the I-P relationship is robustly inverted-U with a turning point at approximately 36% of foreign sales to total sales (Lind-Mehlum test p &lt; .001; confirmed in the full three-way moderation model at turning point 34.6%, p = .002). Second, digital adoption (DAI) both raises the performance level and significantly reshapes the I-P curve, generating compressed ascending-limb returns at low export intensity and attenuated performance decline at high export intensity. Third, institutional regime (ICRV) systematically moderates both slope and curvature, with stronger per-unit digital returns in weaker institutional environments. Technological capability raises the performance level without reliably reshaping the curve; managerial experience and female top management improve performance.</w:t>
      </w:r>
    </w:p>
    <w:p>
      <w:pPr>
        <w:pStyle w:val="BodyText"/>
      </w:pPr>
      <w:r>
        <w:rPr>
          <w:bCs/>
          <w:b/>
        </w:rPr>
        <w:t xml:space="preserve">Originality/value.</w:t>
      </w:r>
      <w:r>
        <w:t xml:space="preserve"> </w:t>
      </w:r>
      <w:r>
        <w:t xml:space="preserve">The study offers a parsimonious resolution to the long-standing heterogeneity in Asian I-P findings: the relationship is universally inverted-U, but regime quality and digital capability jointly determine where the turning point falls. The 49-economy pool is the largest WBES-based I-P test in Asia and the Pacific to date, establishing a benchmark against which country-specific results (Vietnam, Singapore, China) can be calibrated.</w:t>
      </w:r>
    </w:p>
    <w:p>
      <w:pPr>
        <w:pStyle w:val="BodyText"/>
      </w:pPr>
      <w:r>
        <w:rPr>
          <w:bCs/>
          <w:b/>
        </w:rPr>
        <w:t xml:space="preserve">Keywords:</w:t>
      </w:r>
      <w:r>
        <w:t xml:space="preserve"> </w:t>
      </w:r>
      <w:r>
        <w:t xml:space="preserve">internationalisation-performance; inverted-U; institutional regime; digital capability; Asia-Pacific; World Bank Enterprise Surveys.</w:t>
      </w:r>
    </w:p>
    <w:p>
      <w:pPr>
        <w:pStyle w:val="BodyText"/>
      </w:pPr>
      <w:r>
        <w:rPr>
          <w:bCs/>
          <w:b/>
        </w:rPr>
        <w:t xml:space="preserve">JEL Classification:</w:t>
      </w:r>
      <w:r>
        <w:t xml:space="preserve"> </w:t>
      </w:r>
      <w:r>
        <w:t xml:space="preserve">F23; O33; D22; L25; O53.</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explanation invokes context as a moderator (Marano et al., 2016; Kirca et al., 2012), but empirical tests simultaneously across institutionally diverse Asian economies remain rare.</w:t>
      </w:r>
    </w:p>
    <w:p>
      <w:pPr>
        <w:pStyle w:val="BodyText"/>
      </w:pPr>
      <w:r>
        <w:t xml:space="preserve">This paper addresses that gap. We pool 91,982 firm-observations from 49 Asian and Pacific economies spanning 2003–2025, harmonised from the World Bank Enterprise Survey (WBES). Our sample spans all six ICRV regime groups,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36% foreign sales intensity across all specifications (N = 84,910–29,840), robust even in the full three-way moderation model (M11: TP=34.6%, LM p=.002). Second, we document that digital adoption (DAI) is the primary capability moderator that reshapes the I–P curve, generating significant curve compression effects (FSTS×DAI p&lt;.001) that emerge even without controlling for manager characteristics. Technological capability (TCI) raises the performance level but does not reliably reshape the ascending limb across this sample. Third, we document that institutional regime (ICRV group) systematically moderates both the slope and curvature of the I–P function, with DAI×ICRV interactions (p=.012) indicating that digital capabilities deliver stronger per-unit performance returns in weaker institutional environments.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X7306ee6cc650c2a8c74023d786fd3b6ffa0ad4b"/>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2"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Following Haans, Pieters, and He (2016), all four formal conditions for a genuine inverted-U are satisfied in M2: (C1) β₁ = +1.316 (p &lt; .001), confirming a positive ascending limb; (C2) β₂ = −1.810 (p &lt; .001), confirming concavity; (C3) the turning point TP* ≈ 36.4% lies well within the observed FSTS range [0%, 100%]; and (C4) the marginal effect of internationalization is positive at the lower data boundary (FSTS ≈ 0%, slope ≈ +1.32) and negative at the upper boundary (FSTS ≈ 100%, slope ≈ −2.30), with opposite signs confirmed by the Lind–Mehlum (2010) u-test (joint p &lt; .001). The inverted-U remains significant when controls are added (M3: TP = 33.8%, LM p &lt; .001) and when country-year fixed effects absorb all unobserved time-varying country heterogeneity (M5: TP = 40.0%, LM p &lt; .001, adjR² = .677). The consistency of the turning point across M2, M3, and M5, ranging from 33.8% to 40.0%,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higher TCI raises baseline performance</w:t>
      </w:r>
    </w:p>
    <w:p>
      <w:pPr>
        <w:numPr>
          <w:ilvl w:val="0"/>
          <w:numId w:val="1001"/>
        </w:numPr>
        <w:pStyle w:val="Compact"/>
      </w:pPr>
      <w:r>
        <w:t xml:space="preserve">FSTS×TCI: β = −0.144 (NS),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49-economy sample, attenuating individual-country patterns documented in P3/P5.</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+0.155, p &lt; .001), consistent with approximately a 17% performance premium for digitally active firms (exp(0.155) − 1 ≈ 17%). Strikingly, both DAI interaction terms are statistically significant in M8: FSTS×DAI = −0.614 (p &lt; .001, ***) and FSTS²×DAI = +0.766 (p = .001, **). The interaction pattern, negative FSTS×DAI and positive FSTS²×DAI,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 ***) and FSTS²×DAI = +0.994 (p &lt; .001, ***).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compressing the ascending limb and attenuating the performance decline at high FSTS, even before controlling for managerial characteristics. This is the primary capability-moderating finding of the study.</w:t>
      </w:r>
    </w:p>
    <w:bookmarkEnd w:id="38"/>
    <w:bookmarkStart w:id="39"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reaches p = .053 in M11 (β = −0.019,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 controlling for TCI, DAI, and firm characteristics, each step up the ICRV scale (from Group I to VI, i.e., from stronger to weaker institutions) is associated with approximately a 115% higher labour productivity level (exp(0.763) − 1 ≈ 115%).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+1.762, p &lt; .001) and FSTS²×ICRV (β = −2.746, p &lt; .001). These indicate that the ascending slope of the I–P curve is steeper in weaker-institution economies (higher ICRV group), but so is the descending slope,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internationalization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40"/>
    <w:bookmarkStart w:id="41" w:name="Xa51c5497f5122fc9a49f126906c933c8949a1b3"/>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statistically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.012), supporting regime-contingent digital effects. The three-way FSTS curve-reshaping via DAI×ICRV does not reach statistical significance, the WBES DAI measure's limited dimensionality (Tier 1–2 only) likely constrains detection of the full CDCM-predicted interaction.</w:t>
      </w:r>
    </w:p>
    <w:p>
      <w:r>
        <w:pict>
          <v:rect style="width:0;height:1.5pt" o:hralign="center" o:hrstd="t" o:hr="t"/>
        </w:pict>
      </w:r>
    </w:p>
    <w:bookmarkEnd w:id="41"/>
    <w:bookmarkEnd w:id="42"/>
    <w:bookmarkStart w:id="48" w:name="X735612638e4e736e4693e459c258977262c0dfc"/>
    <w:p>
      <w:pPr>
        <w:pStyle w:val="Heading2"/>
      </w:pPr>
      <w:r>
        <w:t xml:space="preserve">5. Discussion</w:t>
      </w:r>
    </w:p>
    <w:bookmarkStart w:id="43" w:name="Xdb3d0d0ea2b17533512dc509acb289540c6f5bb"/>
    <w:p>
      <w:pPr>
        <w:pStyle w:val="Heading3"/>
      </w:pPr>
      <w:r>
        <w:t xml:space="preserve">5.1 Resolution of Cross-Study Heterogeneity</w:t>
      </w:r>
    </w:p>
    <w:p>
      <w:pPr>
        <w:pStyle w:val="FirstParagraph"/>
      </w:pPr>
      <w:r>
        <w:t xml:space="preserve">The central finding, an inverted-U with a turning point at approximately 36% foreign sales intensity, robust across 49 economies and six ICRV groups,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3"/>
    <w:bookmarkStart w:id="44"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49-economy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4"/>
    <w:bookmarkStart w:id="45" w:name="X6dd7d6eceb2ff81026d810222fc30c1f86e05e5"/>
    <w:p>
      <w:pPr>
        <w:pStyle w:val="Heading3"/>
      </w:pPr>
      <w:r>
        <w:t xml:space="preserve">5.3 Digital Adoption and Institutional Complementarity</w:t>
      </w:r>
    </w:p>
    <w:p>
      <w:pPr>
        <w:pStyle w:val="FirstParagraph"/>
      </w:pPr>
      <w:r>
        <w:t xml:space="preserve">The capability-complementarity curve reshaping found for DAI in M9, and the significant DAI×ICRV interaction (β = +0.060, p = .012) in M11,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5"/>
    <w:bookmarkStart w:id="46" w:name="X84f38018b3434e120970b4f2e30dde187cbc62e"/>
    <w:p>
      <w:pPr>
        <w:pStyle w:val="Heading3"/>
      </w:pPr>
      <w:r>
        <w:t xml:space="preserve">5.4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female managers improve absolute performance but do not help firms navigate internationalization more efficiently.</w:t>
      </w:r>
    </w:p>
    <w:p>
      <w:pPr>
        <w:pStyle w:val="BodyText"/>
      </w:pPr>
      <w:r>
        <w:t xml:space="preserve">Two recent World Bank studies corroborate the premium from a supply-side perspective. In Vietnam, one of our largest ICRV Group IV contributors, with a female-to-male labour force participation ratio of 88.61% (World Bank Prosperity Data360, 2025),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6"/>
    <w:bookmarkStart w:id="47" w:name="Xde7edcb3f604b7ff7a62d585547252a5b42f172"/>
    <w:p>
      <w:pPr>
        <w:pStyle w:val="Heading3"/>
      </w:pPr>
      <w:r>
        <w:t xml:space="preserve">5.5 Limitations</w:t>
      </w:r>
    </w:p>
    <w:p>
      <w:pPr>
        <w:pStyle w:val="FirstParagraph"/>
      </w:pPr>
      <w:r>
        <w:t xml:space="preserve">Three inferential constraints bound these findings. First, WBES is a cross-sectional design: the term "performance" 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7"/>
    <w:bookmarkEnd w:id="48"/>
    <w:bookmarkStart w:id="49" w:name="X56025c6d9dbf7520f7a7df11f905cdd09f46e4a"/>
    <w:p>
      <w:pPr>
        <w:pStyle w:val="Heading2"/>
      </w:pPr>
      <w:r>
        <w:t xml:space="preserve">6. Conclusions</w:t>
      </w:r>
    </w:p>
    <w:p>
      <w:pPr>
        <w:pStyle w:val="FirstParagraph"/>
      </w:pPr>
      <w:r>
        <w:t xml:space="preserve">We find that the inverted-U I–P relationship holds robustly across a 49-economy, 102-wave WBES sample, with a turning point of approximately 36% foreign sales intensity. Three conclusions are policy-relevant. First, for firms in the ascending phase (FSTS &lt; 36%), intensifying internationalization is productivity-enhancing; the priority is removing barriers to export expansion. For firms beyond the turning point, the constraint is not market access but coordination capacity. Second, building technological capability raises the performance level across all FSTS levels without reliably reshaping the curve; policy should target capability building as a baseline performance lever rather than as a curve-shifting intervention. Third, digital adoption is both a universal performance enhancer and a primary curve reshaper: DAI compresses ascending-limb returns and attenuates descending-limb performance decline, with stronger returns in weaker institutional environments (DAI×ICRV, p = .012).</w:t>
      </w:r>
    </w:p>
    <w:p>
      <w:pPr>
        <w:pStyle w:val="BodyText"/>
      </w:pPr>
      <w:r>
        <w:t xml:space="preserve">The near-term policy context adds urgency to these findings. World Bank (2026b) macro monitoring data for Vietnam, the largest ICRV Group IV economy in the sample,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right-side of the inverted-U becomes consequential: firms pushed above their optimal FSTS by earlier export commitments face amplified coordination and input-cost pressures. The ICRV moderation result, that Group IV firms face steeper descending-limb penalties, implies that Vietnamese exporters currently above the 36% FSTS turning point are among the most exposed to macro shocks. Policies promoting digital capability adoption (DAI) can buffer this descent by compressing the descending limb, consistent with our M8/M9 estimates.</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9"/>
    <w:bookmarkStart w:id="74"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0">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1">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2">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3">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4">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5">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6">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7">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8">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9">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0">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1">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2">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3">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4">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5">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6">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7">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8">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9">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1">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2">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4"/>
    <w:bookmarkStart w:id="75"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 three-way FSTS×DAI×ICRV=−0.001 (NS), mgr_experience=+0.009**, FSTS×mgr=−0.019†, mgr_female=+0.187***, female_owner=+0.128**.</w:t>
      </w:r>
    </w:p>
    <w:p>
      <w:r>
        <w:pict>
          <v:rect style="width:0;height:1.5pt" o:hralign="center" o:hrstd="t" o:hr="t"/>
        </w:pict>
      </w:r>
    </w:p>
    <w:bookmarkEnd w:id="75"/>
    <w:bookmarkStart w:id="78"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College of Economics, Can Tho University,</w:t>
      </w:r>
      <w:r>
        <w:rPr>
          <w:iCs/>
          <w:i/>
        </w:rPr>
        <w:t xml:space="preserve"> </w:t>
      </w:r>
      <w:hyperlink r:id="rId76">
        <w:r>
          <w:rPr>
            <w:rStyle w:val="Hyperlink"/>
            <w:iCs/>
            <w:i/>
          </w:rPr>
          <w:t xml:space="preserve">patu@ctu.edu.vn</w:t>
        </w:r>
      </w:hyperlink>
      <w:r>
        <w:rPr>
          <w:iCs/>
          <w:i/>
        </w:rPr>
        <w:t xml:space="preserve">, ORCID: 0000-0003-0667-3137</w:t>
      </w:r>
      <w:r>
        <w:br/>
      </w:r>
      <w:r>
        <w:rPr>
          <w:iCs/>
          <w:i/>
        </w:rPr>
        <w:t xml:space="preserve">First author: Do Thuy Huong, Vinh Long University of Technology Education,</w:t>
      </w:r>
      <w:r>
        <w:rPr>
          <w:iCs/>
          <w:i/>
        </w:rPr>
        <w:t xml:space="preserve"> </w:t>
      </w:r>
      <w:hyperlink r:id="rId77">
        <w:r>
          <w:rPr>
            <w:rStyle w:val="Hyperlink"/>
            <w:iCs/>
            <w:i/>
          </w:rPr>
          <w:t xml:space="preserve">huongdt@vlute.edu.vn</w:t>
        </w:r>
      </w:hyperlink>
      <w:r>
        <w:rPr>
          <w:iCs/>
          <w:i/>
        </w:rPr>
        <w:t xml:space="preserve">, ORCID: 0000-0002-7711-2487</w:t>
      </w:r>
    </w:p>
    <w:bookmarkEnd w:id="78"/>
    <w:bookmarkEnd w:id="7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 Type="http://schemas.openxmlformats.org/officeDocument/2006/relationships/hyperlink" Id="rId77" Target="mailto:huongdt@vlute.edu.vn" TargetMode="External" /><Relationship Type="http://schemas.openxmlformats.org/officeDocument/2006/relationships/hyperlink" Id="rId76"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 Type="http://schemas.openxmlformats.org/officeDocument/2006/relationships/hyperlink" Id="rId77" Target="mailto:huongdt@vlute.edu.vn" TargetMode="External" /><Relationship Type="http://schemas.openxmlformats.org/officeDocument/2006/relationships/hyperlink" Id="rId76"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2026-05-21T06:56:13Z</dcterms:created>
  <dcterms:modified xsi:type="dcterms:W3CDTF">2026-05-21T06:56:13Z</dcterms:modified>
</cp:coreProperties>
</file>

<file path=docProps/custom.xml><?xml version="1.0" encoding="utf-8"?>
<Properties xmlns="http://schemas.openxmlformats.org/officeDocument/2006/custom-properties" xmlns:vt="http://schemas.openxmlformats.org/officeDocument/2006/docPropsVTypes"/>
</file>