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chuyên-đề-tiến-sĩ-số-1"/>
    <w:p>
      <w:pPr>
        <w:pStyle w:val="Heading1"/>
      </w:pPr>
      <w:r>
        <w:t xml:space="preserve">CHUYÊN ĐỀ TIẾN SĨ SỐ 1</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(5 nước), Advanced tài nguyên dẫn dắt (5 nước), trung bình cao (6 nước), đang nổi (7 nước), cận biên (17 nước), và SIDS Thái Bình Dương (7 nước, boundary case extension).</w:t>
      </w:r>
    </w:p>
    <w:p>
      <w:pPr>
        <w:pStyle w:val="BodyText"/>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 so với resource-driven) và xác nhận pattern</w:t>
      </w:r>
      <w:r>
        <w:t xml:space="preserve"> </w:t>
      </w:r>
      <w:r>
        <w:rPr>
          <w:bCs/>
          <w:b/>
        </w:rPr>
        <w:t xml:space="preserve">chi phí buộc phải quốc tế hóa (forced internationalization penalty)</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Chương 1 — Giới thiệu</w:t>
      </w:r>
    </w:p>
    <w:p>
      <w:pPr>
        <w:numPr>
          <w:ilvl w:val="1"/>
          <w:numId w:val="1002"/>
        </w:numPr>
        <w:pStyle w:val="Compact"/>
      </w:pPr>
      <w:r>
        <w:t xml:space="preserve">1.1 Đặt vấn đề</w:t>
      </w:r>
    </w:p>
    <w:p>
      <w:pPr>
        <w:numPr>
          <w:ilvl w:val="1"/>
          <w:numId w:val="1002"/>
        </w:numPr>
        <w:pStyle w:val="Compact"/>
      </w:pPr>
      <w:r>
        <w:t xml:space="preserve">1.2 Mục tiêu chuyên đề</w:t>
      </w:r>
    </w:p>
    <w:p>
      <w:pPr>
        <w:numPr>
          <w:ilvl w:val="1"/>
          <w:numId w:val="1002"/>
        </w:numPr>
        <w:pStyle w:val="Compact"/>
      </w:pPr>
      <w:r>
        <w:t xml:space="preserve">1.3 Phạm vi và đối tượng nghiên cứu</w:t>
      </w:r>
    </w:p>
    <w:p>
      <w:pPr>
        <w:numPr>
          <w:ilvl w:val="1"/>
          <w:numId w:val="1002"/>
        </w:numPr>
        <w:pStyle w:val="Compact"/>
      </w:pPr>
      <w:r>
        <w:t xml:space="preserve">1.4 Phương pháp tiếp cận</w:t>
      </w:r>
    </w:p>
    <w:p>
      <w:pPr>
        <w:numPr>
          <w:ilvl w:val="1"/>
          <w:numId w:val="1002"/>
        </w:numPr>
        <w:pStyle w:val="Compact"/>
      </w:pPr>
      <w:r>
        <w:t xml:space="preserve">1.5 Đóng góp dự kiến</w:t>
      </w:r>
    </w:p>
    <w:p>
      <w:pPr>
        <w:numPr>
          <w:ilvl w:val="1"/>
          <w:numId w:val="1002"/>
        </w:numPr>
        <w:pStyle w:val="Compact"/>
      </w:pPr>
      <w:r>
        <w:t xml:space="preserve">1.6 Kết cấu chuyên đề</w:t>
      </w:r>
    </w:p>
    <w:p>
      <w:pPr>
        <w:numPr>
          <w:ilvl w:val="0"/>
          <w:numId w:val="1001"/>
        </w:numPr>
        <w:pStyle w:val="Compact"/>
      </w:pPr>
      <w:r>
        <w:rPr>
          <w:bCs/>
          <w:b/>
        </w:rPr>
        <w:t xml:space="preserve">Chương 2 — Cơ sở lý luận về hiệu quả hoạt động kinh doanh</w:t>
      </w:r>
    </w:p>
    <w:p>
      <w:pPr>
        <w:numPr>
          <w:ilvl w:val="1"/>
          <w:numId w:val="1003"/>
        </w:numPr>
        <w:pStyle w:val="Compact"/>
      </w:pPr>
      <w:r>
        <w:t xml:space="preserve">2.1 Khái niệm hiệu quả hoạt động kinh doanh</w:t>
      </w:r>
    </w:p>
    <w:p>
      <w:pPr>
        <w:numPr>
          <w:ilvl w:val="1"/>
          <w:numId w:val="1003"/>
        </w:numPr>
        <w:pStyle w:val="Compact"/>
      </w:pPr>
      <w:r>
        <w:t xml:space="preserve">2.2 Bốn chiều đo lường hiệu quả</w:t>
      </w:r>
    </w:p>
    <w:p>
      <w:pPr>
        <w:numPr>
          <w:ilvl w:val="1"/>
          <w:numId w:val="1003"/>
        </w:numPr>
        <w:pStyle w:val="Compact"/>
      </w:pPr>
      <w:r>
        <w:t xml:space="preserve">2.3 Năm meta-analysis lớn về quan hệ quốc tế hóa – hiệu quả (1980–2024)</w:t>
      </w:r>
    </w:p>
    <w:p>
      <w:pPr>
        <w:numPr>
          <w:ilvl w:val="1"/>
          <w:numId w:val="1003"/>
        </w:numPr>
        <w:pStyle w:val="Compact"/>
      </w:pPr>
      <w:r>
        <w:t xml:space="preserve">2.4 Hài hòa hóa đo lường xuyên quốc gia trong WBES</w:t>
      </w:r>
    </w:p>
    <w:p>
      <w:pPr>
        <w:numPr>
          <w:ilvl w:val="1"/>
          <w:numId w:val="1003"/>
        </w:numPr>
        <w:pStyle w:val="Compact"/>
      </w:pPr>
      <w:r>
        <w:t xml:space="preserve">2.5 Ba khung lý thuyết nền</w:t>
      </w:r>
    </w:p>
    <w:p>
      <w:pPr>
        <w:numPr>
          <w:ilvl w:val="1"/>
          <w:numId w:val="1003"/>
        </w:numPr>
        <w:pStyle w:val="Compact"/>
      </w:pPr>
      <w:r>
        <w:t xml:space="preserve">2.6 Điều kiện biên cho U-curve Lu &amp; Beamish (2004)</w:t>
      </w:r>
    </w:p>
    <w:p>
      <w:pPr>
        <w:numPr>
          <w:ilvl w:val="1"/>
          <w:numId w:val="1003"/>
        </w:numPr>
        <w:pStyle w:val="Compact"/>
      </w:pPr>
      <w:r>
        <w:t xml:space="preserve">2.7 Khung 4-Tier chuyển đổi số + Mô hình CDCM</w:t>
      </w:r>
    </w:p>
    <w:p>
      <w:pPr>
        <w:numPr>
          <w:ilvl w:val="0"/>
          <w:numId w:val="1001"/>
        </w:numPr>
        <w:pStyle w:val="Compact"/>
      </w:pPr>
      <w:r>
        <w:rPr>
          <w:bCs/>
          <w:b/>
        </w:rPr>
        <w:t xml:space="preserve">Chương 3 — Khung phân loại 6 phân nhóm con ICRV</w:t>
      </w:r>
    </w:p>
    <w:p>
      <w:pPr>
        <w:numPr>
          <w:ilvl w:val="1"/>
          <w:numId w:val="1004"/>
        </w:numPr>
        <w:pStyle w:val="Compact"/>
      </w:pPr>
      <w:r>
        <w:t xml:space="preserve">3.1 Lý do phân loại</w:t>
      </w:r>
    </w:p>
    <w:p>
      <w:pPr>
        <w:numPr>
          <w:ilvl w:val="1"/>
          <w:numId w:val="1004"/>
        </w:numPr>
        <w:pStyle w:val="Compact"/>
      </w:pPr>
      <w:r>
        <w:t xml:space="preserve">3.2 Tiêu chí phân loại sáu nhóm</w:t>
      </w:r>
    </w:p>
    <w:p>
      <w:pPr>
        <w:numPr>
          <w:ilvl w:val="1"/>
          <w:numId w:val="1004"/>
        </w:numPr>
        <w:pStyle w:val="Compact"/>
      </w:pPr>
      <w:r>
        <w:t xml:space="preserve">3.3 Danh sách 47 nền kinh tế theo nhóm ICRV (Bảng 3.1)</w:t>
      </w:r>
    </w:p>
    <w:p>
      <w:pPr>
        <w:numPr>
          <w:ilvl w:val="1"/>
          <w:numId w:val="1004"/>
        </w:numPr>
        <w:pStyle w:val="Compact"/>
      </w:pPr>
      <w:r>
        <w:t xml:space="preserve">3.4 Đặc điểm các nhóm ICRV (Bảng 3.2)</w:t>
      </w:r>
    </w:p>
    <w:p>
      <w:pPr>
        <w:numPr>
          <w:ilvl w:val="0"/>
          <w:numId w:val="1001"/>
        </w:numPr>
        <w:pStyle w:val="Compact"/>
      </w:pPr>
      <w:r>
        <w:rPr>
          <w:bCs/>
          <w:b/>
        </w:rPr>
        <w:t xml:space="preserve">Chương 4 — Thực trạng hiệu quả doanh nghiệp châu Á 2009–2025</w:t>
      </w:r>
    </w:p>
    <w:p>
      <w:pPr>
        <w:numPr>
          <w:ilvl w:val="1"/>
          <w:numId w:val="1005"/>
        </w:numPr>
        <w:pStyle w:val="Compact"/>
      </w:pPr>
      <w:r>
        <w:t xml:space="preserve">4.1 Nguồn dữ liệu WBES</w:t>
      </w:r>
    </w:p>
    <w:p>
      <w:pPr>
        <w:numPr>
          <w:ilvl w:val="1"/>
          <w:numId w:val="1005"/>
        </w:numPr>
        <w:pStyle w:val="Compact"/>
      </w:pPr>
      <w:r>
        <w:t xml:space="preserve">4.2 Phân tán năng suất lao động</w:t>
      </w:r>
    </w:p>
    <w:p>
      <w:pPr>
        <w:numPr>
          <w:ilvl w:val="1"/>
          <w:numId w:val="1005"/>
        </w:numPr>
        <w:pStyle w:val="Compact"/>
      </w:pPr>
      <w:r>
        <w:t xml:space="preserve">4.3 Quốc tế hóa và tăng trưởng việc làm</w:t>
      </w:r>
    </w:p>
    <w:p>
      <w:pPr>
        <w:numPr>
          <w:ilvl w:val="1"/>
          <w:numId w:val="1005"/>
        </w:numPr>
        <w:pStyle w:val="Compact"/>
      </w:pPr>
      <w:r>
        <w:t xml:space="preserve">4.4 Đổi mới sáng tạo và năng lực số</w:t>
      </w:r>
    </w:p>
    <w:p>
      <w:pPr>
        <w:numPr>
          <w:ilvl w:val="1"/>
          <w:numId w:val="1005"/>
        </w:numPr>
        <w:pStyle w:val="Compact"/>
      </w:pPr>
      <w:r>
        <w:t xml:space="preserve">4.5 Cấu trúc doanh nghiệp</w:t>
      </w:r>
    </w:p>
    <w:p>
      <w:pPr>
        <w:numPr>
          <w:ilvl w:val="1"/>
          <w:numId w:val="1005"/>
        </w:numPr>
        <w:pStyle w:val="Compact"/>
      </w:pPr>
      <w:r>
        <w:t xml:space="preserve">4.6 Bức tranh thay đổi theo thời gian</w:t>
      </w:r>
    </w:p>
    <w:p>
      <w:pPr>
        <w:numPr>
          <w:ilvl w:val="1"/>
          <w:numId w:val="1005"/>
        </w:numPr>
        <w:pStyle w:val="Compact"/>
      </w:pPr>
      <w:r>
        <w:t xml:space="preserve">4.7 Tổng hợp Chương 4 (10 kết luận)</w:t>
      </w:r>
    </w:p>
    <w:p>
      <w:pPr>
        <w:numPr>
          <w:ilvl w:val="1"/>
          <w:numId w:val="1005"/>
        </w:numPr>
        <w:pStyle w:val="Compact"/>
      </w:pPr>
      <w:r>
        <w:t xml:space="preserve">4.8 Khung phân tích cấp ngành</w:t>
      </w:r>
    </w:p>
    <w:p>
      <w:pPr>
        <w:numPr>
          <w:ilvl w:val="1"/>
          <w:numId w:val="1005"/>
        </w:numPr>
        <w:pStyle w:val="Compact"/>
      </w:pPr>
      <w:r>
        <w:t xml:space="preserve">4.9 Phân nhóm con Emerging</w:t>
      </w:r>
    </w:p>
    <w:p>
      <w:pPr>
        <w:numPr>
          <w:ilvl w:val="1"/>
          <w:numId w:val="1005"/>
        </w:numPr>
        <w:pStyle w:val="Compact"/>
      </w:pPr>
      <w:r>
        <w:t xml:space="preserve">4.10 Phân tích sâu đợt khảo sát 2025</w:t>
      </w:r>
    </w:p>
    <w:p>
      <w:pPr>
        <w:numPr>
          <w:ilvl w:val="1"/>
          <w:numId w:val="1005"/>
        </w:numPr>
        <w:pStyle w:val="Compact"/>
      </w:pPr>
      <w:r>
        <w:t xml:space="preserve">4.11 Cô lập đứt gãy schema BREADY 2025</w:t>
      </w:r>
    </w:p>
    <w:p>
      <w:pPr>
        <w:numPr>
          <w:ilvl w:val="0"/>
          <w:numId w:val="1001"/>
        </w:numPr>
        <w:pStyle w:val="Compact"/>
      </w:pPr>
      <w:r>
        <w:rPr>
          <w:bCs/>
          <w:b/>
        </w:rPr>
        <w:t xml:space="preserve">Chương 5 — Bảy tiểu cảnh điển hình</w:t>
      </w:r>
    </w:p>
    <w:p>
      <w:pPr>
        <w:numPr>
          <w:ilvl w:val="1"/>
          <w:numId w:val="1006"/>
        </w:numPr>
        <w:pStyle w:val="Compact"/>
      </w:pPr>
      <w:r>
        <w:t xml:space="preserve">5.1 Singapore</w:t>
      </w:r>
    </w:p>
    <w:p>
      <w:pPr>
        <w:numPr>
          <w:ilvl w:val="1"/>
          <w:numId w:val="1006"/>
        </w:numPr>
        <w:pStyle w:val="Compact"/>
      </w:pPr>
      <w:r>
        <w:t xml:space="preserve">5.2 Saudi Arabia, Qatar, Kuwait</w:t>
      </w:r>
    </w:p>
    <w:p>
      <w:pPr>
        <w:numPr>
          <w:ilvl w:val="1"/>
          <w:numId w:val="1006"/>
        </w:numPr>
        <w:pStyle w:val="Compact"/>
      </w:pPr>
      <w:r>
        <w:t xml:space="preserve">5.3 Việt Nam</w:t>
      </w:r>
    </w:p>
    <w:p>
      <w:pPr>
        <w:numPr>
          <w:ilvl w:val="1"/>
          <w:numId w:val="1006"/>
        </w:numPr>
        <w:pStyle w:val="Compact"/>
      </w:pPr>
      <w:r>
        <w:t xml:space="preserve">5.4 Trung Quốc</w:t>
      </w:r>
    </w:p>
    <w:p>
      <w:pPr>
        <w:numPr>
          <w:ilvl w:val="1"/>
          <w:numId w:val="1006"/>
        </w:numPr>
        <w:pStyle w:val="Compact"/>
      </w:pPr>
      <w:r>
        <w:t xml:space="preserve">5.5 Tổng hợp Emerging Asia</w:t>
      </w:r>
    </w:p>
    <w:p>
      <w:pPr>
        <w:numPr>
          <w:ilvl w:val="1"/>
          <w:numId w:val="1006"/>
        </w:numPr>
        <w:pStyle w:val="Compact"/>
      </w:pPr>
      <w:r>
        <w:t xml:space="preserve">5.6 Mongolia</w:t>
      </w:r>
    </w:p>
    <w:p>
      <w:pPr>
        <w:numPr>
          <w:ilvl w:val="1"/>
          <w:numId w:val="1006"/>
        </w:numPr>
        <w:pStyle w:val="Compact"/>
      </w:pPr>
      <w:r>
        <w:t xml:space="preserve">5.7 SIDS Thái Bình Dương</w:t>
      </w:r>
    </w:p>
    <w:p>
      <w:pPr>
        <w:numPr>
          <w:ilvl w:val="1"/>
          <w:numId w:val="1006"/>
        </w:numPr>
        <w:pStyle w:val="Compact"/>
      </w:pPr>
      <w:r>
        <w:t xml:space="preserve">5.8 So sánh tổng hợp</w:t>
      </w:r>
    </w:p>
    <w:p>
      <w:pPr>
        <w:numPr>
          <w:ilvl w:val="0"/>
          <w:numId w:val="1001"/>
        </w:numPr>
        <w:pStyle w:val="Compact"/>
      </w:pPr>
      <w:r>
        <w:rPr>
          <w:bCs/>
          <w:b/>
        </w:rPr>
        <w:t xml:space="preserve">Chương 6 — Các yếu tố giải thích sơ bộ</w:t>
      </w:r>
    </w:p>
    <w:p>
      <w:pPr>
        <w:numPr>
          <w:ilvl w:val="1"/>
          <w:numId w:val="1007"/>
        </w:numPr>
        <w:pStyle w:val="Compact"/>
      </w:pPr>
      <w:r>
        <w:t xml:space="preserve">6.1 Hệ số tương quan Pearson + Pattern giới tính</w:t>
      </w:r>
    </w:p>
    <w:p>
      <w:pPr>
        <w:numPr>
          <w:ilvl w:val="1"/>
          <w:numId w:val="1007"/>
        </w:numPr>
        <w:pStyle w:val="Compact"/>
      </w:pPr>
      <w:r>
        <w:t xml:space="preserve">6.2 Đường cong U của đổi mới số</w:t>
      </w:r>
    </w:p>
    <w:p>
      <w:pPr>
        <w:numPr>
          <w:ilvl w:val="0"/>
          <w:numId w:val="1001"/>
        </w:numPr>
        <w:pStyle w:val="Compact"/>
      </w:pPr>
      <w:r>
        <w:rPr>
          <w:bCs/>
          <w:b/>
        </w:rPr>
        <w:t xml:space="preserve">Chương 7 — Khoảng trống thực tiễn và kết luận</w:t>
      </w:r>
    </w:p>
    <w:p>
      <w:pPr>
        <w:numPr>
          <w:ilvl w:val="1"/>
          <w:numId w:val="1008"/>
        </w:numPr>
        <w:pStyle w:val="Compact"/>
      </w:pPr>
      <w:r>
        <w:t xml:space="preserve">7.1 Khoảng trống nghiên cứu (5 khoảng trống)</w:t>
      </w:r>
    </w:p>
    <w:p>
      <w:pPr>
        <w:numPr>
          <w:ilvl w:val="1"/>
          <w:numId w:val="1008"/>
        </w:numPr>
        <w:pStyle w:val="Compact"/>
      </w:pPr>
      <w:r>
        <w:t xml:space="preserve">7.2 Kết luận chính (8 kết luận)</w:t>
      </w:r>
    </w:p>
    <w:p>
      <w:pPr>
        <w:numPr>
          <w:ilvl w:val="1"/>
          <w:numId w:val="1008"/>
        </w:numPr>
        <w:pStyle w:val="Compact"/>
      </w:pPr>
      <w:r>
        <w:t xml:space="preserve">7.3 Hàm ý cho luận án và Chuyên đề 2</w:t>
      </w:r>
    </w:p>
    <w:p>
      <w:pPr>
        <w:numPr>
          <w:ilvl w:val="1"/>
          <w:numId w:val="1008"/>
        </w:numPr>
        <w:pStyle w:val="Compact"/>
      </w:pPr>
      <w:r>
        <w:t xml:space="preserve">7.4 Hạn chế</w:t>
      </w:r>
    </w:p>
    <w:p>
      <w:pPr>
        <w:numPr>
          <w:ilvl w:val="1"/>
          <w:numId w:val="1008"/>
        </w:numPr>
        <w:pStyle w:val="Compact"/>
      </w:pPr>
      <w:r>
        <w:t xml:space="preserve">7.5 Kế hoạch hoàn thiện</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4"/>
    <w:bookmarkStart w:id="25"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2.6.1</w:t>
            </w:r>
          </w:p>
        </w:tc>
        <w:tc>
          <w:tcPr/>
          <w:p>
            <w:pPr>
              <w:pStyle w:val="Compact"/>
              <w:jc w:val="left"/>
            </w:pPr>
            <w:r>
              <w:t xml:space="preserve">Ma trận đối chiếu 3 trạng thái U-curve theo 3 điều kiện cấu trúc</w:t>
            </w:r>
          </w:p>
        </w:tc>
        <w:tc>
          <w:tcPr/>
          <w:p>
            <w:pPr>
              <w:pStyle w:val="Compact"/>
              <w:jc w:val="left"/>
            </w:pPr>
            <w:r>
              <w:t xml:space="preserve">Ch.2</w:t>
            </w:r>
          </w:p>
        </w:tc>
      </w:tr>
      <w:tr>
        <w:tc>
          <w:tcPr/>
          <w:p>
            <w:pPr>
              <w:pStyle w:val="Compact"/>
              <w:jc w:val="left"/>
            </w:pPr>
            <w:r>
              <w:t xml:space="preserve">Bảng 3.1</w:t>
            </w:r>
          </w:p>
        </w:tc>
        <w:tc>
          <w:tcPr/>
          <w:p>
            <w:pPr>
              <w:pStyle w:val="Compact"/>
              <w:jc w:val="left"/>
            </w:pPr>
            <w:r>
              <w:t xml:space="preserve">47 nền kinh tế phân theo 6 nhóm ICRV</w:t>
            </w:r>
          </w:p>
        </w:tc>
        <w:tc>
          <w:tcPr/>
          <w:p>
            <w:pPr>
              <w:pStyle w:val="Compact"/>
              <w:jc w:val="left"/>
            </w:pPr>
            <w:r>
              <w:t xml:space="preserve">Ch.3</w:t>
            </w:r>
          </w:p>
        </w:tc>
      </w:tr>
      <w:tr>
        <w:tc>
          <w:tcPr/>
          <w:p>
            <w:pPr>
              <w:pStyle w:val="Compact"/>
              <w:jc w:val="left"/>
            </w:pPr>
            <w:r>
              <w:t xml:space="preserve">Bảng 3.2</w:t>
            </w:r>
          </w:p>
        </w:tc>
        <w:tc>
          <w:tcPr/>
          <w:p>
            <w:pPr>
              <w:pStyle w:val="Compact"/>
              <w:jc w:val="left"/>
            </w:pPr>
            <w:r>
              <w:t xml:space="preserve">Đặc điểm các nhóm ICRV (tiêu chí + đại diện + pattern dự kiến)</w:t>
            </w:r>
          </w:p>
        </w:tc>
        <w:tc>
          <w:tcPr/>
          <w:p>
            <w:pPr>
              <w:pStyle w:val="Compact"/>
              <w:jc w:val="left"/>
            </w:pPr>
            <w:r>
              <w:t xml:space="preserve">Ch.3</w:t>
            </w:r>
          </w:p>
        </w:tc>
      </w:tr>
      <w:tr>
        <w:tc>
          <w:tcPr/>
          <w:p>
            <w:pPr>
              <w:pStyle w:val="Compact"/>
              <w:jc w:val="left"/>
            </w:pPr>
            <w:r>
              <w:t xml:space="preserve">Bảng 4.1</w:t>
            </w:r>
          </w:p>
        </w:tc>
        <w:tc>
          <w:tcPr/>
          <w:p>
            <w:pPr>
              <w:pStyle w:val="Compact"/>
              <w:jc w:val="left"/>
            </w:pPr>
            <w:r>
              <w:t xml:space="preserve">Phân tán năng suất lao động theo phân nhóm con thể chế</w:t>
            </w:r>
          </w:p>
        </w:tc>
        <w:tc>
          <w:tcPr/>
          <w:p>
            <w:pPr>
              <w:pStyle w:val="Compact"/>
              <w:jc w:val="left"/>
            </w:pPr>
            <w:r>
              <w:t xml:space="preserve">Ch.4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Ch.4</w:t>
            </w:r>
          </w:p>
        </w:tc>
      </w:tr>
      <w:tr>
        <w:tc>
          <w:tcPr/>
          <w:p>
            <w:pPr>
              <w:pStyle w:val="Compact"/>
              <w:jc w:val="left"/>
            </w:pPr>
            <w:r>
              <w:t xml:space="preserve">Bảng 4.4</w:t>
            </w:r>
          </w:p>
        </w:tc>
        <w:tc>
          <w:tcPr/>
          <w:p>
            <w:pPr>
              <w:pStyle w:val="Compact"/>
              <w:jc w:val="left"/>
            </w:pPr>
            <w:r>
              <w:t xml:space="preserve">Đổi mới sáng tạo và áp dụng số (%)</w:t>
            </w:r>
          </w:p>
        </w:tc>
        <w:tc>
          <w:tcPr/>
          <w:p>
            <w:pPr>
              <w:pStyle w:val="Compact"/>
              <w:jc w:val="left"/>
            </w:pPr>
            <w:r>
              <w:t xml:space="preserve">Ch.4</w:t>
            </w:r>
          </w:p>
        </w:tc>
      </w:tr>
      <w:tr>
        <w:tc>
          <w:tcPr/>
          <w:p>
            <w:pPr>
              <w:pStyle w:val="Compact"/>
              <w:jc w:val="left"/>
            </w:pPr>
            <w:r>
              <w:t xml:space="preserve">Bảng 4.4.0</w:t>
            </w:r>
          </w:p>
        </w:tc>
        <w:tc>
          <w:tcPr/>
          <w:p>
            <w:pPr>
              <w:pStyle w:val="Compact"/>
              <w:jc w:val="left"/>
            </w:pPr>
            <w:r>
              <w:t xml:space="preserve">Khung 5 lĩnh vực chỉ số WBES</w:t>
            </w:r>
          </w:p>
        </w:tc>
        <w:tc>
          <w:tcPr/>
          <w:p>
            <w:pPr>
              <w:pStyle w:val="Compact"/>
              <w:jc w:val="left"/>
            </w:pPr>
            <w:r>
              <w:t xml:space="preserve">Ch.4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Ch.4</w:t>
            </w:r>
          </w:p>
        </w:tc>
      </w:tr>
      <w:tr>
        <w:tc>
          <w:tcPr/>
          <w:p>
            <w:pPr>
              <w:pStyle w:val="Compact"/>
              <w:jc w:val="left"/>
            </w:pPr>
            <w:r>
              <w:t xml:space="preserve">Bảng 4.5.5</w:t>
            </w:r>
          </w:p>
        </w:tc>
        <w:tc>
          <w:tcPr/>
          <w:p>
            <w:pPr>
              <w:pStyle w:val="Compact"/>
              <w:jc w:val="left"/>
            </w:pPr>
            <w:r>
              <w:t xml:space="preserve">Bốn rào cản hàng đầu Asia-Pacific WBES</w:t>
            </w:r>
          </w:p>
        </w:tc>
        <w:tc>
          <w:tcPr/>
          <w:p>
            <w:pPr>
              <w:pStyle w:val="Compact"/>
              <w:jc w:val="left"/>
            </w:pPr>
            <w:r>
              <w:t xml:space="preserve">Ch.4</w:t>
            </w:r>
          </w:p>
        </w:tc>
      </w:tr>
      <w:tr>
        <w:tc>
          <w:tcPr/>
          <w:p>
            <w:pPr>
              <w:pStyle w:val="Compact"/>
              <w:jc w:val="left"/>
            </w:pPr>
            <w:r>
              <w:t xml:space="preserve">Bảng 4.6</w:t>
            </w:r>
          </w:p>
        </w:tc>
        <w:tc>
          <w:tcPr/>
          <w:p>
            <w:pPr>
              <w:pStyle w:val="Compact"/>
              <w:jc w:val="left"/>
            </w:pPr>
            <w:r>
              <w:t xml:space="preserve">Thay đổi theo thời gian — Δ điểm phần trăm 2018–2025 so với 2009–2012</w:t>
            </w:r>
          </w:p>
        </w:tc>
        <w:tc>
          <w:tcPr/>
          <w:p>
            <w:pPr>
              <w:pStyle w:val="Compact"/>
              <w:jc w:val="left"/>
            </w:pPr>
            <w:r>
              <w:t xml:space="preserve">Ch.4</w:t>
            </w:r>
          </w:p>
        </w:tc>
      </w:tr>
      <w:tr>
        <w:tc>
          <w:tcPr/>
          <w:p>
            <w:pPr>
              <w:pStyle w:val="Compact"/>
              <w:jc w:val="left"/>
            </w:pPr>
            <w:r>
              <w:t xml:space="preserve">Bảng 4.7.5</w:t>
            </w:r>
          </w:p>
        </w:tc>
        <w:tc>
          <w:tcPr/>
          <w:p>
            <w:pPr>
              <w:pStyle w:val="Compact"/>
              <w:jc w:val="left"/>
            </w:pPr>
            <w:r>
              <w:t xml:space="preserve">Phân biệt 3 chỉ số tham nhũng WBES — Bribery vs Graft</w:t>
            </w:r>
          </w:p>
        </w:tc>
        <w:tc>
          <w:tcPr/>
          <w:p>
            <w:pPr>
              <w:pStyle w:val="Compact"/>
              <w:jc w:val="left"/>
            </w:pPr>
            <w:r>
              <w:t xml:space="preserve">Ch.4</w:t>
            </w:r>
          </w:p>
        </w:tc>
      </w:tr>
      <w:tr>
        <w:tc>
          <w:tcPr/>
          <w:p>
            <w:pPr>
              <w:pStyle w:val="Compact"/>
              <w:jc w:val="left"/>
            </w:pPr>
            <w:r>
              <w:t xml:space="preserve">Bảng 4.8.1</w:t>
            </w:r>
          </w:p>
        </w:tc>
        <w:tc>
          <w:tcPr/>
          <w:p>
            <w:pPr>
              <w:pStyle w:val="Compact"/>
              <w:jc w:val="left"/>
            </w:pPr>
            <w:r>
              <w:t xml:space="preserve">Khung phân loại 9 ngành ISIC Rev. 4 cho nhóm dữ liệu WBES</w:t>
            </w:r>
          </w:p>
        </w:tc>
        <w:tc>
          <w:tcPr/>
          <w:p>
            <w:pPr>
              <w:pStyle w:val="Compact"/>
              <w:jc w:val="left"/>
            </w:pPr>
            <w:r>
              <w:t xml:space="preserve">Ch.4</w:t>
            </w:r>
          </w:p>
        </w:tc>
      </w:tr>
      <w:tr>
        <w:tc>
          <w:tcPr/>
          <w:p>
            <w:pPr>
              <w:pStyle w:val="Compact"/>
              <w:jc w:val="left"/>
            </w:pPr>
            <w:r>
              <w:t xml:space="preserve">Bảng 4.9</w:t>
            </w:r>
          </w:p>
        </w:tc>
        <w:tc>
          <w:tcPr/>
          <w:p>
            <w:pPr>
              <w:pStyle w:val="Compact"/>
              <w:jc w:val="left"/>
            </w:pPr>
            <w:r>
              <w:t xml:space="preserve">Phân nhóm con Emerging — số liệu tổng hợp 2009–2025</w:t>
            </w:r>
          </w:p>
        </w:tc>
        <w:tc>
          <w:tcPr/>
          <w:p>
            <w:pPr>
              <w:pStyle w:val="Compact"/>
              <w:jc w:val="left"/>
            </w:pPr>
            <w:r>
              <w:t xml:space="preserve">Ch.4</w:t>
            </w:r>
          </w:p>
        </w:tc>
      </w:tr>
      <w:tr>
        <w:tc>
          <w:tcPr/>
          <w:p>
            <w:pPr>
              <w:pStyle w:val="Compact"/>
              <w:jc w:val="left"/>
            </w:pPr>
            <w:r>
              <w:t xml:space="preserve">Bảng 4.10</w:t>
            </w:r>
          </w:p>
        </w:tc>
        <w:tc>
          <w:tcPr/>
          <w:p>
            <w:pPr>
              <w:pStyle w:val="Compact"/>
              <w:jc w:val="left"/>
            </w:pPr>
            <w:r>
              <w:t xml:space="preserve">14 quốc gia trong đợt khảo sát 2025</w:t>
            </w:r>
          </w:p>
        </w:tc>
        <w:tc>
          <w:tcPr/>
          <w:p>
            <w:pPr>
              <w:pStyle w:val="Compact"/>
              <w:jc w:val="left"/>
            </w:pPr>
            <w:r>
              <w:t xml:space="preserve">Ch.4</w:t>
            </w:r>
          </w:p>
        </w:tc>
      </w:tr>
      <w:tr>
        <w:tc>
          <w:tcPr/>
          <w:p>
            <w:pPr>
              <w:pStyle w:val="Compact"/>
              <w:jc w:val="left"/>
            </w:pPr>
            <w:r>
              <w:t xml:space="preserve">Bảng 5.1</w:t>
            </w:r>
          </w:p>
        </w:tc>
        <w:tc>
          <w:tcPr/>
          <w:p>
            <w:pPr>
              <w:pStyle w:val="Compact"/>
              <w:jc w:val="left"/>
            </w:pPr>
            <w:r>
              <w:t xml:space="preserve">Ma trận so sánh đa chiều bảy tiểu cảnh điển hình</w:t>
            </w:r>
          </w:p>
        </w:tc>
        <w:tc>
          <w:tcPr/>
          <w:p>
            <w:pPr>
              <w:pStyle w:val="Compact"/>
              <w:jc w:val="left"/>
            </w:pPr>
            <w:r>
              <w:t xml:space="preserve">Ch.5</w:t>
            </w:r>
          </w:p>
        </w:tc>
      </w:tr>
      <w:tr>
        <w:tc>
          <w:tcPr/>
          <w:p>
            <w:pPr>
              <w:pStyle w:val="Compact"/>
              <w:jc w:val="left"/>
            </w:pPr>
            <w:r>
              <w:t xml:space="preserve">Bảng 6.1</w:t>
            </w:r>
          </w:p>
        </w:tc>
        <w:tc>
          <w:tcPr/>
          <w:p>
            <w:pPr>
              <w:pStyle w:val="Compact"/>
              <w:jc w:val="left"/>
            </w:pPr>
            <w:r>
              <w:t xml:space="preserve">Hệ số tương quan Pearson (n=101.185)</w:t>
            </w:r>
          </w:p>
        </w:tc>
        <w:tc>
          <w:tcPr/>
          <w:p>
            <w:pPr>
              <w:pStyle w:val="Compact"/>
              <w:jc w:val="left"/>
            </w:pPr>
            <w:r>
              <w:t xml:space="preserve">Ch.6</w:t>
            </w:r>
          </w:p>
        </w:tc>
      </w:tr>
      <w:tr>
        <w:tc>
          <w:tcPr/>
          <w:p>
            <w:pPr>
              <w:pStyle w:val="Compact"/>
              <w:jc w:val="left"/>
            </w:pPr>
            <w:r>
              <w:t xml:space="preserve">Bảng 6.1.1</w:t>
            </w:r>
          </w:p>
        </w:tc>
        <w:tc>
          <w:tcPr/>
          <w:p>
            <w:pPr>
              <w:pStyle w:val="Compact"/>
              <w:jc w:val="left"/>
            </w:pPr>
            <w:r>
              <w:t xml:space="preserve">Pattern giới tính trong TMT + ownership — phân tầng theo khu vực</w:t>
            </w:r>
          </w:p>
        </w:tc>
        <w:tc>
          <w:tcPr/>
          <w:p>
            <w:pPr>
              <w:pStyle w:val="Compact"/>
              <w:jc w:val="left"/>
            </w:pPr>
            <w:r>
              <w:t xml:space="preserve">Ch.6</w:t>
            </w:r>
          </w:p>
        </w:tc>
      </w:tr>
    </w:tbl>
    <w:p>
      <w:r>
        <w:pict>
          <v:rect style="width:0;height:1.5pt" o:hralign="center" o:hrstd="t" o:hr="t"/>
        </w:pict>
      </w:r>
    </w:p>
    <w:bookmarkEnd w:id="25"/>
    <w:bookmarkStart w:id="26"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Ch.4</w:t>
            </w:r>
          </w:p>
        </w:tc>
      </w:tr>
      <w:tr>
        <w:tc>
          <w:tcPr/>
          <w:p>
            <w:pPr>
              <w:pStyle w:val="Compact"/>
              <w:jc w:val="left"/>
            </w:pPr>
            <w:r>
              <w:t xml:space="preserve">Hình 4.1.1</w:t>
            </w:r>
          </w:p>
        </w:tc>
        <w:tc>
          <w:tcPr/>
          <w:p>
            <w:pPr>
              <w:pStyle w:val="Compact"/>
              <w:jc w:val="left"/>
            </w:pPr>
            <w:r>
              <w:t xml:space="preserve">Phân bố pool 5 phân nhóm con thể chế (n=101.185 doanh nghiệp)</w:t>
            </w:r>
          </w:p>
        </w:tc>
        <w:tc>
          <w:tcPr/>
          <w:p>
            <w:pPr>
              <w:pStyle w:val="Compact"/>
              <w:jc w:val="left"/>
            </w:pPr>
            <w:r>
              <w:t xml:space="preserve">Ch.4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Ch.4</w:t>
            </w:r>
          </w:p>
        </w:tc>
      </w:tr>
      <w:tr>
        <w:tc>
          <w:tcPr/>
          <w:p>
            <w:pPr>
              <w:pStyle w:val="Compact"/>
              <w:jc w:val="left"/>
            </w:pPr>
            <w:r>
              <w:t xml:space="preserve">Hình 4.4</w:t>
            </w:r>
          </w:p>
        </w:tc>
        <w:tc>
          <w:tcPr/>
          <w:p>
            <w:pPr>
              <w:pStyle w:val="Compact"/>
              <w:jc w:val="left"/>
            </w:pPr>
            <w:r>
              <w:t xml:space="preserve">Slope chart 2009–2012 vs 2018–2025 (Δ điểm phần trăm 5 chỉ số)</w:t>
            </w:r>
          </w:p>
        </w:tc>
        <w:tc>
          <w:tcPr/>
          <w:p>
            <w:pPr>
              <w:pStyle w:val="Compact"/>
              <w:jc w:val="left"/>
            </w:pPr>
            <w:r>
              <w:t xml:space="preserve">Ch.4</w:t>
            </w:r>
          </w:p>
        </w:tc>
      </w:tr>
      <w:tr>
        <w:tc>
          <w:tcPr/>
          <w:p>
            <w:pPr>
              <w:pStyle w:val="Compact"/>
              <w:jc w:val="left"/>
            </w:pPr>
            <w:r>
              <w:t xml:space="preserve">Hình 4.6</w:t>
            </w:r>
          </w:p>
        </w:tc>
        <w:tc>
          <w:tcPr/>
          <w:p>
            <w:pPr>
              <w:pStyle w:val="Compact"/>
              <w:jc w:val="left"/>
            </w:pPr>
            <w:r>
              <w:t xml:space="preserve">Phân phối quy mô doanh nghiệp theo phân nhóm con (n=101.185)</w:t>
            </w:r>
          </w:p>
        </w:tc>
        <w:tc>
          <w:tcPr/>
          <w:p>
            <w:pPr>
              <w:pStyle w:val="Compact"/>
              <w:jc w:val="left"/>
            </w:pPr>
            <w:r>
              <w:t xml:space="preserve">Ch.4</w:t>
            </w:r>
          </w:p>
        </w:tc>
      </w:tr>
      <w:tr>
        <w:tc>
          <w:tcPr/>
          <w:p>
            <w:pPr>
              <w:pStyle w:val="Compact"/>
              <w:jc w:val="left"/>
            </w:pPr>
            <w:r>
              <w:t xml:space="preserve">Hình 4.7</w:t>
            </w:r>
          </w:p>
        </w:tc>
        <w:tc>
          <w:tcPr/>
          <w:p>
            <w:pPr>
              <w:pStyle w:val="Compact"/>
              <w:jc w:val="left"/>
            </w:pPr>
            <w:r>
              <w:t xml:space="preserve">Spider chart 5 chiều × 2 mốc thời gian (Advanced, Emerging, SIDS)</w:t>
            </w:r>
          </w:p>
        </w:tc>
        <w:tc>
          <w:tcPr/>
          <w:p>
            <w:pPr>
              <w:pStyle w:val="Compact"/>
              <w:jc w:val="left"/>
            </w:pPr>
            <w:r>
              <w:t xml:space="preserve">Ch.4</w:t>
            </w:r>
          </w:p>
        </w:tc>
      </w:tr>
      <w:tr>
        <w:tc>
          <w:tcPr/>
          <w:p>
            <w:pPr>
              <w:pStyle w:val="Compact"/>
              <w:jc w:val="left"/>
            </w:pPr>
            <w:r>
              <w:t xml:space="preserve">Hình 5.6.1</w:t>
            </w:r>
          </w:p>
        </w:tc>
        <w:tc>
          <w:tcPr/>
          <w:p>
            <w:pPr>
              <w:pStyle w:val="Compact"/>
              <w:jc w:val="left"/>
            </w:pPr>
            <w:r>
              <w:t xml:space="preserve">Mongolia: Evolution 2009–2025 (4 đợt khảo sát WBES)</w:t>
            </w:r>
          </w:p>
        </w:tc>
        <w:tc>
          <w:tcPr/>
          <w:p>
            <w:pPr>
              <w:pStyle w:val="Compact"/>
              <w:jc w:val="left"/>
            </w:pPr>
            <w:r>
              <w:t xml:space="preserve">Ch.5</w:t>
            </w:r>
          </w:p>
        </w:tc>
      </w:tr>
    </w:tbl>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PRC</w:t>
            </w:r>
          </w:p>
        </w:tc>
        <w:tc>
          <w:tcPr/>
          <w:p>
            <w:pPr>
              <w:pStyle w:val="Compact"/>
              <w:jc w:val="left"/>
            </w:pPr>
            <w:r>
              <w:t xml:space="preserve">People’s Republic of China</w:t>
            </w:r>
          </w:p>
        </w:tc>
        <w:tc>
          <w:tcPr/>
          <w:p>
            <w:pPr>
              <w:pStyle w:val="Compact"/>
              <w:jc w:val="left"/>
            </w:pPr>
            <w:r>
              <w:t xml:space="preserve">Cộng hòa Nhân dân Trung Hoa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RSE</w:t>
            </w:r>
          </w:p>
        </w:tc>
        <w:tc>
          <w:tcPr/>
          <w:p>
            <w:pPr>
              <w:pStyle w:val="Compact"/>
              <w:jc w:val="left"/>
            </w:pPr>
            <w:r>
              <w:t xml:space="preserve">Recognised Seasonal Employer</w:t>
            </w:r>
          </w:p>
        </w:tc>
        <w:tc>
          <w:tcPr/>
          <w:p>
            <w:pPr>
              <w:pStyle w:val="Compact"/>
              <w:jc w:val="left"/>
            </w:pPr>
            <w:r>
              <w:t xml:space="preserve">—</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TCE</w:t>
            </w:r>
          </w:p>
        </w:tc>
        <w:tc>
          <w:tcPr/>
          <w:p>
            <w:pPr>
              <w:pStyle w:val="Compact"/>
              <w:jc w:val="left"/>
            </w:pPr>
            <w:r>
              <w:t xml:space="preserve">Transaction Cost Economics</w:t>
            </w:r>
          </w:p>
        </w:tc>
        <w:tc>
          <w:tcPr/>
          <w:p>
            <w:pPr>
              <w:pStyle w:val="Compact"/>
              <w:jc w:val="left"/>
            </w:pPr>
            <w:r>
              <w:t xml:space="preserve">Lý thuyết chi phí giao dịch</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7"/>
    <w:bookmarkStart w:id="34" w:name="chương-1-giới-thiệu"/>
    <w:p>
      <w:pPr>
        <w:pStyle w:val="Heading2"/>
      </w:pPr>
      <w:r>
        <w:t xml:space="preserve">CHƯƠNG 1 — GIỚI THIỆU</w:t>
      </w:r>
    </w:p>
    <w:bookmarkStart w:id="28" w:name="đặt-vấn-đề"/>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ADB (2026, April) dự báo Pacific 3,4%, Đông Nam Á 4,7%, Việt Nam 7,0%.</w:t>
      </w:r>
      <w:r>
        <w:t xml:space="preserve"> </w:t>
      </w:r>
      <w:r>
        <w:rPr>
          <w:bCs/>
          <w:b/>
        </w:rPr>
        <w:t xml:space="preserve">Riêng Việt Nam, ADB (2026, April) ghi nhận GDP lịch sử 2025 đạt 8,0%</w:t>
      </w:r>
      <w:r>
        <w:t xml:space="preserve"> </w:t>
      </w:r>
      <w:r>
        <w:t xml:space="preserve">và cập nhật dự báo</w:t>
      </w:r>
      <w:r>
        <w:t xml:space="preserve"> </w:t>
      </w:r>
      <w:r>
        <w:rPr>
          <w:bCs/>
          <w:b/>
        </w:rPr>
        <w:t xml:space="preserve">7,2% (2026) → 7,0% (2027)</w:t>
      </w:r>
      <w:r>
        <w:t xml:space="preserve">.</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front-loading effect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có tổng hợp xuyên 47 nền kinh tế trên giai đoạn dài 2009–2025. Chuyên đề này lấp khoảng trống thực tiễn đó bằng việc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là minh họa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w:t>
      </w:r>
      <w:r>
        <w:t xml:space="preserve"> </w:t>
      </w:r>
      <w:r>
        <w:rPr>
          <w:bCs/>
          <w:b/>
        </w:rPr>
        <w:t xml:space="preserve">số hóa không phải công cụ tối ưu hóa chuỗi cung ứng mà là phương tiện sinh tồn</w:t>
      </w:r>
      <w:r>
        <w:t xml:space="preserve"> </w:t>
      </w:r>
      <w:r>
        <w:t xml:space="preserve">— dẫn vào §2.6 (3 điều kiện cấu trúc của U-curve) và §5.7 (SIDS Pacific archetype).</w:t>
      </w:r>
    </w:p>
    <w:bookmarkEnd w:id="28"/>
    <w:bookmarkStart w:id="29" w:name="mục-tiêu-chuyên-đề"/>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9"/>
        </w:numPr>
        <w:pStyle w:val="Compact"/>
      </w:pPr>
      <w:r>
        <w:t xml:space="preserve">Hệ thống hóa khái niệm và đa chiều đo lường hiệu quả hoạt động kinh doanh trong văn liệu hiện hành;</w:t>
      </w:r>
    </w:p>
    <w:p>
      <w:pPr>
        <w:numPr>
          <w:ilvl w:val="0"/>
          <w:numId w:val="1009"/>
        </w:numPr>
        <w:pStyle w:val="Compact"/>
      </w:pPr>
      <w:r>
        <w:t xml:space="preserve">Đề xuất khung phân loại 6 phân nhóm con ICRV cho 47 nền kinh tế;</w:t>
      </w:r>
    </w:p>
    <w:p>
      <w:pPr>
        <w:numPr>
          <w:ilvl w:val="0"/>
          <w:numId w:val="1009"/>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9"/>
        </w:numPr>
        <w:pStyle w:val="Compact"/>
      </w:pPr>
      <w:r>
        <w:t xml:space="preserve">Nhận diện đặc điểm và yếu tố giải thích sơ bộ cho dị biệt hiệu quả giữa các phân nhóm;</w:t>
      </w:r>
    </w:p>
    <w:p>
      <w:pPr>
        <w:numPr>
          <w:ilvl w:val="0"/>
          <w:numId w:val="1009"/>
        </w:numPr>
        <w:pStyle w:val="Compact"/>
      </w:pPr>
      <w:r>
        <w:t xml:space="preserve">Đề xuất khoảng trống thực tiễn để định hướng nghiên cứu tiếp theo.</w:t>
      </w:r>
    </w:p>
    <w:bookmarkEnd w:id="29"/>
    <w:bookmarkStart w:id="30" w:name="phạm-vi-và-đối-tượng-nghiên-cứu"/>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 </w:t>
      </w:r>
      <w:r>
        <w:t xml:space="preserve">—</w:t>
      </w:r>
      <w:r>
        <w:t xml:space="preserve"> </w:t>
      </w:r>
      <w:r>
        <w:rPr>
          <w:bCs/>
          <w:b/>
        </w:rPr>
        <w:t xml:space="preserve">A. Scope chính — 41 nước châu Á thuần</w:t>
      </w:r>
      <w:r>
        <w:t xml:space="preserve">:</w:t>
      </w:r>
      <w:r>
        <w:t xml:space="preserve"> </w:t>
      </w:r>
      <w:r>
        <w:t xml:space="preserve">-</w:t>
      </w:r>
      <w:r>
        <w:t xml:space="preserve"> </w:t>
      </w:r>
      <w:r>
        <w:rPr>
          <w:bCs/>
          <w:b/>
        </w:rPr>
        <w:t xml:space="preserve">(i) Advanced đổi mới sáng tạo dẫn dắt (innovation-driven, 5 nước)</w:t>
      </w:r>
      <w:r>
        <w:t xml:space="preserve">: Singapore, Hong Kong SAR, Hàn Quốc, Đài Loan, Israel.</w:t>
      </w:r>
      <w:r>
        <w:t xml:space="preserve"> </w:t>
      </w:r>
      <w:r>
        <w:t xml:space="preserve">-</w:t>
      </w:r>
      <w:r>
        <w:t xml:space="preserve"> </w:t>
      </w:r>
      <w:r>
        <w:rPr>
          <w:bCs/>
          <w:b/>
        </w:rPr>
        <w:t xml:space="preserve">(ii) Advanced tài nguyên dẫn dắt (resource-driven,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Đang nổi — Emerging (7 nước)</w:t>
      </w:r>
      <w:r>
        <w:t xml:space="preserve">: Việt Nam, Indonesia, Philippines, Ấn Độ, Sri Lanka, Jordan, Mongolia.</w:t>
      </w:r>
      <w:r>
        <w:t xml:space="preserve"> </w:t>
      </w:r>
      <w:r>
        <w:t xml:space="preserve">-</w:t>
      </w:r>
      <w:r>
        <w:t xml:space="preserve"> </w:t>
      </w: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Boundary case extension — 7 SIDS Thái Bình Dương</w:t>
      </w:r>
      <w:r>
        <w:t xml:space="preserve"> </w:t>
      </w:r>
      <w:r>
        <w:t xml:space="preserve">(n=1.371, 1,4% pool): Fiji, Papua New Guinea, Solomon Islands, Tonga, Vanuatu, Samoa,</w:t>
      </w:r>
      <w:r>
        <w:t xml:space="preserve"> </w:t>
      </w:r>
      <w:r>
        <w:rPr>
          <w:bCs/>
          <w:b/>
        </w:rPr>
        <w:t xml:space="preserve">Kiribati (2025)</w:t>
      </w:r>
      <w:r>
        <w:t xml:space="preserve">.</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30"/>
    <w:bookmarkStart w:id="31" w:name="phương-pháp-tiếp-cận"/>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 (bivariate).</w:t>
      </w:r>
    </w:p>
    <w:p>
      <w:pPr>
        <w:pStyle w:val="BodyText"/>
      </w:pPr>
      <w:r>
        <w:rPr>
          <w:bCs/>
          <w:b/>
        </w:rPr>
        <w:t xml:space="preserve">Áp dụng nguyên tắc transparent data section của Aguinis et al. (2019)</w:t>
      </w:r>
      <w:r>
        <w:t xml:space="preserve">: chuyên đề trình bày rõ (i) population definition (47 nền kinh tế Asia + Pacific với phân tách 41 vs 7); (ii) sampling procedure (WBES official sampling); (iii) sample size justification (pool 101.185); (iv) missing data handling (FSTS = d3b + d3c, winsorize 1/99); (v) operationalization variables; (vi) reliability/validity (TCI multi-component; DAI single-component Spec 1, multi-component Spec 2); (vii) estimation method (descriptive only trong CĐ1; OLS + IV trong CĐ2); (viii) open science (replication package mở).</w:t>
      </w:r>
    </w:p>
    <w:bookmarkEnd w:id="31"/>
    <w:bookmarkStart w:id="32" w:name="đóng-góp-dự-kiến-của-chuyên-đề"/>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numPr>
          <w:ilvl w:val="0"/>
          <w:numId w:val="1010"/>
        </w:numPr>
      </w:pP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w:t>
      </w:r>
    </w:p>
    <w:p>
      <w:pPr>
        <w:numPr>
          <w:ilvl w:val="0"/>
          <w:numId w:val="1010"/>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w:t>
      </w:r>
      <w:r>
        <w:t xml:space="preserve"> </w:t>
      </w:r>
      <w:r>
        <w:rPr>
          <w:bCs/>
          <w:b/>
        </w:rPr>
        <w:t xml:space="preserve">2,1 lần</w:t>
      </w:r>
      <w:r>
        <w:t xml:space="preserve">.</w:t>
      </w:r>
    </w:p>
    <w:p>
      <w:pPr>
        <w:numPr>
          <w:ilvl w:val="0"/>
          <w:numId w:val="1010"/>
        </w:numPr>
      </w:pPr>
      <w:r>
        <w:rPr>
          <w:bCs/>
          <w:b/>
        </w:rPr>
        <w:t xml:space="preserve">Nhảy vọt số (digital leapfrog)</w:t>
      </w:r>
      <w:r>
        <w:t xml:space="preserve"> </w:t>
      </w:r>
      <w:r>
        <w:t xml:space="preserve">ở Frontier và Emerging châu Á 2018–2025 — mở rộng pattern hiệu ứng lá chắn số từ 17 nước lên 47 nước. Phân tách Tier-1 Digital Presence (website binary, đã bão hòa ở Advanced) vs Tier-2 Digital Transformation (multi-component, đang phát triển ở Emerging/Frontier).</w:t>
      </w:r>
    </w:p>
    <w:p>
      <w:pPr>
        <w:numPr>
          <w:ilvl w:val="0"/>
          <w:numId w:val="1010"/>
        </w:numPr>
      </w:pPr>
      <w:r>
        <w:rPr>
          <w:bCs/>
          <w:b/>
        </w:rPr>
        <w:t xml:space="preserve">Bằng chứng cho khung lý thuyết phi tuyến + điều tiết đa tầng</w:t>
      </w:r>
      <w:r>
        <w:t xml:space="preserve"> </w:t>
      </w:r>
      <w:r>
        <w:t xml:space="preserve">— bốn lần đảo dấu xuyên phân nhóm con thể chế là cơ sở thực tiễn cho</w:t>
      </w:r>
      <w:r>
        <w:t xml:space="preserve"> </w:t>
      </w:r>
      <w:r>
        <w:rPr>
          <w:bCs/>
          <w:b/>
        </w:rPr>
        <w:t xml:space="preserve">6 giả thuyết H1-H6</w:t>
      </w:r>
      <w:r>
        <w:t xml:space="preserve"> </w:t>
      </w:r>
      <w:r>
        <w:t xml:space="preserve">của Chuyên đề 2.</w:t>
      </w:r>
    </w:p>
    <w:p>
      <w:pPr>
        <w:pStyle w:val="FirstParagraph"/>
      </w:pPr>
      <w:r>
        <w:rPr>
          <w:bCs/>
          <w:b/>
        </w:rPr>
        <w:t xml:space="preserve">Một đóng góp boundary case mở rộng (SIDS Pacific)</w:t>
      </w:r>
      <w:r>
        <w:t xml:space="preserve">:</w:t>
      </w:r>
    </w:p>
    <w:p>
      <w:pPr>
        <w:numPr>
          <w:ilvl w:val="0"/>
          <w:numId w:val="1011"/>
        </w:numPr>
        <w:pStyle w:val="Compact"/>
      </w:pPr>
      <w:r>
        <w:rPr>
          <w:bCs/>
          <w:b/>
        </w:rPr>
        <w:t xml:space="preserve">Trường hợp biên chi phí buộc phải quốc tế hóa (forced internationalization penalty)</w:t>
      </w:r>
      <w:r>
        <w:t xml:space="preserve"> </w:t>
      </w:r>
      <w:r>
        <w:t xml:space="preserve">ở 7 SIDS Thái Bình Dương (Briguglio, 1995; Bertram, 2006) — bằng chứng firm-level đầu tiên trong văn liệu IB. Kiribati 2025 là extreme nhất với FSTS 1,03%, FDI 0,7%, website 18,7%.</w:t>
      </w:r>
    </w:p>
    <w:bookmarkEnd w:id="32"/>
    <w:bookmarkStart w:id="33" w:name="kết-cấu-chuyên-đề"/>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(11 mục §4.1–§4.11); Ch.5 Bảy tiểu cảnh điển hình; Ch.6 Yếu tố giải thích sơ bộ; Ch.7 Khoảng trống thực tiễn và kết luận.</w:t>
      </w:r>
    </w:p>
    <w:p>
      <w:r>
        <w:pict>
          <v:rect style="width:0;height:1.5pt" o:hralign="center" o:hrstd="t" o:hr="t"/>
        </w:pict>
      </w:r>
    </w:p>
    <w:bookmarkEnd w:id="33"/>
    <w:bookmarkEnd w:id="34"/>
    <w:bookmarkStart w:id="42" w:name="X866516db1a9d2fee75f71c44044a74710e224e4"/>
    <w:p>
      <w:pPr>
        <w:pStyle w:val="Heading2"/>
      </w:pPr>
      <w:r>
        <w:t xml:space="preserve">CHƯƠNG 2 — CƠ SỞ LÝ LUẬN VỀ HIỆU QUẢ HOẠT ĐỘNG KINH DOANH</w:t>
      </w:r>
    </w:p>
    <w:bookmarkStart w:id="35" w:name="khái-niệm-hiệu-quả-hoạt-động-kinh-doanh"/>
    <w:p>
      <w:pPr>
        <w:pStyle w:val="Heading3"/>
      </w:pPr>
      <w:r>
        <w:t xml:space="preserve">2.1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(multidimensional) 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(financial performance) — doanh thu, lợi nhuận, tỷ suất sinh lợi; và (b)</w:t>
      </w:r>
      <w:r>
        <w:t xml:space="preserve"> </w:t>
      </w:r>
      <w:r>
        <w:rPr>
          <w:bCs/>
          <w:b/>
        </w:rPr>
        <w:t xml:space="preserve">hiệu quả hoạt động rộng hơn</w:t>
      </w:r>
      <w:r>
        <w:t xml:space="preserve"> </w:t>
      </w:r>
      <w:r>
        <w:t xml:space="preserve">(broader organizational effectiveness) —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(valuable, rare, inimitable, non-substitutable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(labor productivity — LP) —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LP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(PPP) nhằm đảm bảo tính so sánh xuyên quốc gia (World Bank Enterprise Surveys, 2025).</w:t>
      </w:r>
    </w:p>
    <w:p>
      <w:pPr>
        <w:pStyle w:val="BodyText"/>
      </w:pPr>
      <w:r>
        <w:t xml:space="preserve">Bên cạnh LP, chuyên đề tiếp cận hiệu quả theo</w:t>
      </w:r>
      <w:r>
        <w:t xml:space="preserve"> </w:t>
      </w:r>
      <w:r>
        <w:rPr>
          <w:bCs/>
          <w:b/>
        </w:rPr>
        <w:t xml:space="preserve">bốn chiều</w:t>
      </w:r>
      <w:r>
        <w:t xml:space="preserve"> </w:t>
      </w:r>
      <w:r>
        <w:t xml:space="preserve">(§2.2) để cung cấp bức tranh toàn diện hơn. Cách tiếp cận này kế thừa khung đo lường đa chiều của Murphy et al. (1996) và được điều chỉnh để phù hợp với độ bao phủ biến của WBES.</w:t>
      </w:r>
    </w:p>
    <w:bookmarkEnd w:id="35"/>
    <w:bookmarkStart w:id="36" w:name="bốn-chiều-đo-lường-hiệu-quả"/>
    <w:p>
      <w:pPr>
        <w:pStyle w:val="Heading3"/>
      </w:pPr>
      <w:r>
        <w:t xml:space="preserve">2.2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 (Labor Productivity)</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(primary metric) 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 (Profitability)</w:t>
      </w:r>
      <w:r>
        <w:t xml:space="preserve">. Biến đo lường: (a) tỷ suất lợi nhuận hoạt động từ câu hỏi WBES về doanh thu sau chi phí lao động; (b) chỉ số gián tiếp qua khả năng tái đầu tư (self-financing capacity). Hạn chế: nhiều doanh nghiệp trong WBES không tiết lộ lợi nhuận cụ thể — do đó chiều này mang tính hỗ trợ thay vì chủ đạo.</w:t>
      </w:r>
    </w:p>
    <w:p>
      <w:pPr>
        <w:pStyle w:val="BodyText"/>
      </w:pPr>
      <w:r>
        <w:rPr>
          <w:bCs/>
          <w:b/>
        </w:rPr>
        <w:t xml:space="preserve">Chiều 3 — Tăng trưởng (Growth)</w:t>
      </w:r>
      <w:r>
        <w:t xml:space="preserve">. Biến đo lường: (a) CAGR tăng trưởng việc làm (employment growth) giữa 3 năm trước và thời điểm khảo sát; (b) tỷ lệ doanh nghiệp xuất khẩu (export participation)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 (Innovation and Structure)</w:t>
      </w:r>
      <w:r>
        <w:t xml:space="preserve">. Biến đo lường: (a) R&amp;D (tỷ lệ doanh nghiệp có chi tiêu R&amp;D dương); (b) đổi mới sản phẩm mới; (c) đổi mới quy trình mới; (d) chứng nhận ISO; (e) website (Tier-1 Digital Presence); (f) FDI ≥10% (cơ cấu sở hữu). Chiều thứ tư này phản ánh</w:t>
      </w:r>
      <w:r>
        <w:t xml:space="preserve"> </w:t>
      </w:r>
      <w:r>
        <w:rPr>
          <w:bCs/>
          <w:b/>
        </w:rPr>
        <w:t xml:space="preserve">năng lực tương lai</w:t>
      </w:r>
      <w:r>
        <w:t xml:space="preserve"> </w:t>
      </w:r>
      <w:r>
        <w:t xml:space="preserve">(forward-looking capacity) — khả năng duy trì hiệu quả trong dài hạn qua đổi mới và nâng cấp công nghệ.</w:t>
      </w:r>
    </w:p>
    <w:bookmarkEnd w:id="36"/>
    <w:bookmarkStart w:id="37" w:name="X8ad5236bf72b29f6383edeb4ee3559473689f28"/>
    <w:p>
      <w:pPr>
        <w:pStyle w:val="Heading3"/>
      </w:pPr>
      <w:r>
        <w:t xml:space="preserve">2.3 Năm meta-analysis lớn về quan hệ quốc tế hóa – hiệu quả (1980–2024)</w:t>
      </w:r>
    </w:p>
    <w:p>
      <w:pPr>
        <w:pStyle w:val="FirstParagraph"/>
      </w:pPr>
      <w:r>
        <w:t xml:space="preserve">Văn liệu về quan hệ quốc tế hóa → hiệu quả (I→P) là một trong những dòng nghiên cứu tích lũy nhiều nhất trong lý thuyết kinh doanh quốc tế (International Business — IB).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 (k=68)</w:t>
      </w:r>
      <w:r>
        <w:t xml:space="preserve"> </w:t>
      </w:r>
      <w:r>
        <w:t xml:space="preserve">giai đoạn 1980–2005. Hệ số tương quan trung bình r=0,045 — tích cực nhưng nhỏ. Phát hiện chính: đo lường I (internationalization) và đo lường P (performance) rất không đồng nhất giữa các nghiên cứu → làm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(MARA). Phát hiện: quan hệ I→P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w:t>
      </w:r>
      <w:r>
        <w:t xml:space="preserve"> </w:t>
      </w:r>
      <w:r>
        <w:rPr>
          <w:bCs/>
          <w:b/>
        </w:rPr>
        <w:t xml:space="preserve">thể chế hóa</w:t>
      </w:r>
      <w:r>
        <w:t xml:space="preserve"> </w:t>
      </w:r>
      <w:r>
        <w:t xml:space="preserve">(institutionalization) nghiên cứu I→P.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w:t>
      </w:r>
      <w:r>
        <w:t xml:space="preserve"> </w:t>
      </w:r>
      <w:r>
        <w:rPr>
          <w:bCs/>
          <w:b/>
        </w:rPr>
        <w:t xml:space="preserve">các yếu tố điều tiết</w:t>
      </w:r>
      <w:r>
        <w:t xml:space="preserve"> </w:t>
      </w:r>
      <w:r>
        <w:t xml:space="preserve">mức độ tác động của internationalization. Phát hiện: năng lực hấp thụ (absorptive capacity — Cohen &amp; Levinthal, 1990), chất lượng CEO, và phát triển thể chế là các moderators quan trọng nhất. Gợi ý: cần đo lường TCI và TMT characteristics — trực tiếp liên quan đến Chuyên đề 2.</w:t>
      </w:r>
    </w:p>
    <w:p>
      <w:pPr>
        <w:pStyle w:val="BodyText"/>
      </w:pPr>
      <w:r>
        <w:rPr>
          <w:bCs/>
          <w:b/>
        </w:rPr>
        <w:t xml:space="preserve">(5) Wu, Fan &amp; Chen (2022)</w:t>
      </w:r>
      <w:r>
        <w:t xml:space="preserve">: Cập nhật meta-analysis đến 2020, tập trung vào</w:t>
      </w:r>
      <w:r>
        <w:t xml:space="preserve"> </w:t>
      </w:r>
      <w:r>
        <w:rPr>
          <w:bCs/>
          <w:b/>
        </w:rPr>
        <w:t xml:space="preserve">doanh nghiệp mới nổi châu Á (EMNEs)</w:t>
      </w:r>
      <w:r>
        <w:t xml:space="preserve">. Phát hiện: quan hệ I→P ở EMNEs có hình dạng U ngược (inverted-U) rõ nét hơn so với doanh nghiệp OECD; điểm uốn (turning point) thường nằm trong phạm vi 30-50% FSTS. Phát hiện này là nền tảng cho giả thuyết H1 của Chuyên đề 2.</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vs Tier-2 digital adoption như biến điều tiết riêng biệt. Khoảng trống này là nền tảng cho §7.1 (5 khoảng trống nghiên cứu).</w:t>
      </w:r>
    </w:p>
    <w:bookmarkEnd w:id="37"/>
    <w:bookmarkStart w:id="38" w:name="X39d090d54de09fac059ba2f692ba98c009ba23e"/>
    <w:p>
      <w:pPr>
        <w:pStyle w:val="Heading3"/>
      </w:pPr>
      <w:r>
        <w:t xml:space="preserve">2.4 Hài hòa hóa đo lường xuyên quốc gia trong WBES</w:t>
      </w:r>
    </w:p>
    <w:p>
      <w:pPr>
        <w:pStyle w:val="FirstParagraph"/>
      </w:pPr>
      <w:r>
        <w:t xml:space="preserve">World Bank Enterprise Surveys trải qua</w:t>
      </w:r>
      <w:r>
        <w:t xml:space="preserve"> </w:t>
      </w:r>
      <w:r>
        <w:rPr>
          <w:bCs/>
          <w:b/>
        </w:rPr>
        <w:t xml:space="preserve">ba thế hệ schema</w:t>
      </w:r>
      <w:r>
        <w:t xml:space="preserve"> </w:t>
      </w:r>
      <w:r>
        <w:t xml:space="preserve">trong giai đoạn nghiên cứu — tạo ra thách thức hài hòa hóa (harmonization) quan trọng:</w:t>
      </w:r>
    </w:p>
    <w:p>
      <w:pPr>
        <w:pStyle w:val="BodyText"/>
      </w:pPr>
      <w:r>
        <w:rPr>
          <w:bCs/>
          <w:b/>
        </w:rPr>
        <w:t xml:space="preserve">Thế hệ 1 — PICS3/MENA-WBES (2009–2012, n=14.171)</w:t>
      </w:r>
      <w:r>
        <w:t xml:space="preserve">: Bảng hỏi PICS3 dùng cho khu vực Đông Nam Á và Trung Á; MENA-WBES cho Trung Đông và Bắc Phi. Câu hỏi xuất khẩu hỏi tổng quát hơn (d3a =</w:t>
      </w:r>
      <w:r>
        <w:t xml:space="preserve"> </w:t>
      </w:r>
      <w:r>
        <w:t xml:space="preserve">“</w:t>
      </w:r>
      <w:r>
        <w:t xml:space="preserve">có xuất khẩu không?</w:t>
      </w:r>
      <w:r>
        <w:t xml:space="preserve">”</w:t>
      </w:r>
      <w:r>
        <w:t xml:space="preserve">; d3b+d3c =</w:t>
      </w:r>
      <w:r>
        <w:t xml:space="preserve"> </w:t>
      </w:r>
      <w:r>
        <w:t xml:space="preserve">“</w:t>
      </w:r>
      <w:r>
        <w:t xml:space="preserve">% doanh thu từ xuất khẩu trực tiếp + gián tiếp</w:t>
      </w:r>
      <w:r>
        <w:t xml:space="preserve">”</w:t>
      </w:r>
      <w:r>
        <w:t xml:space="preserve">). Website được đo qua câu e8.</w:t>
      </w:r>
    </w:p>
    <w:p>
      <w:pPr>
        <w:pStyle w:val="BodyText"/>
      </w:pPr>
      <w:r>
        <w:rPr>
          <w:bCs/>
          <w:b/>
        </w:rPr>
        <w:t xml:space="preserve">Thế hệ 2 — Standardized (2013–2017, n=24.564)</w:t>
      </w:r>
      <w:r>
        <w:t xml:space="preserve">: WBES Standardized Question Core được áp dụng đồng nhất xuyên toàn cầu từ 2013. Cấu trúc câu hỏi xuất khẩu giữ nguyên (d3b+d3c). Website = c22b. Thanh toán điện tử lần đầu xuất hiện (k33/k38 ở một số quốc gia).</w:t>
      </w:r>
    </w:p>
    <w:p>
      <w:pPr>
        <w:pStyle w:val="BodyText"/>
      </w:pPr>
      <w:r>
        <w:rPr>
          <w:bCs/>
          <w:b/>
        </w:rPr>
        <w:t xml:space="preserve">Thế hệ 3 — BREADY/BEE/EAP Core (2018–2025, n=62.450)</w:t>
      </w:r>
      <w:r>
        <w:t xml:space="preserve">: Schema BREADY (Business Readiness and Enterprise Data) tích hợp e-payment (k33, k38), cloud computing, mobile banking vào các modules bổ sung. Câu hỏi FSTS được viết lại rõ ràng hơn → gây</w:t>
      </w:r>
      <w:r>
        <w:t xml:space="preserve"> </w:t>
      </w:r>
      <w:r>
        <w:rPr>
          <w:bCs/>
          <w:b/>
        </w:rPr>
        <w:t xml:space="preserve">đứt gãy schema</w:t>
      </w:r>
      <w:r>
        <w:t xml:space="preserve"> </w:t>
      </w:r>
      <w:r>
        <w:t xml:space="preserve">(schema discontinuity) quan sát được: IND FSTS sụt 7,7%→2,7% trong đợt 2025 (Bảng 4.10).</w:t>
      </w:r>
    </w:p>
    <w:p>
      <w:pPr>
        <w:pStyle w:val="BodyText"/>
      </w:pPr>
      <w:r>
        <w:rPr>
          <w:bCs/>
          <w:b/>
        </w:rPr>
        <w:t xml:space="preserve">Giao thức hài hòa hóa</w:t>
      </w:r>
      <w:r>
        <w:t xml:space="preserve"> </w:t>
      </w:r>
      <w:r>
        <w:t xml:space="preserve">áp dụng trong chuyên đề này:</w:t>
      </w:r>
    </w:p>
    <w:p>
      <w:pPr>
        <w:numPr>
          <w:ilvl w:val="0"/>
          <w:numId w:val="1012"/>
        </w:numPr>
        <w:pStyle w:val="Compact"/>
      </w:pPr>
      <w:r>
        <w:rPr>
          <w:bCs/>
          <w:b/>
        </w:rPr>
        <w:t xml:space="preserve">Biến FSTS</w:t>
      </w:r>
      <w:r>
        <w:t xml:space="preserve">:</w:t>
      </w:r>
      <w:r>
        <w:t xml:space="preserve"> </w:t>
      </w:r>
      <w:r>
        <w:rPr>
          <w:rStyle w:val="VerbatimChar"/>
        </w:rPr>
        <w:t xml:space="preserve">FSTS = (d3b + d3c) / 100</w:t>
      </w:r>
      <w:r>
        <w:t xml:space="preserve">. Với PICS3: d3b = % xuất khẩu trực tiếp; d3c = % xuất khẩu gián tiếp. Tổng FSTS ≤ 100%.</w:t>
      </w:r>
    </w:p>
    <w:p>
      <w:pPr>
        <w:numPr>
          <w:ilvl w:val="0"/>
          <w:numId w:val="1012"/>
        </w:numPr>
        <w:pStyle w:val="Compact"/>
      </w:pPr>
      <w:r>
        <w:rPr>
          <w:bCs/>
          <w:b/>
        </w:rPr>
        <w:t xml:space="preserve">Biến LP</w:t>
      </w:r>
      <w:r>
        <w:t xml:space="preserve">:</w:t>
      </w:r>
      <w:r>
        <w:t xml:space="preserve"> </w:t>
      </w:r>
      <w:r>
        <w:rPr>
          <w:rStyle w:val="VerbatimChar"/>
        </w:rPr>
        <w:t xml:space="preserve">ln(annual_sales / l1_employees)</w:t>
      </w:r>
      <w:r>
        <w:t xml:space="preserve">. Doanh thu winsorize ở 1/99 phân vị trong cụm quốc gia × năm.</w:t>
      </w:r>
    </w:p>
    <w:p>
      <w:pPr>
        <w:numPr>
          <w:ilvl w:val="0"/>
          <w:numId w:val="1012"/>
        </w:numPr>
        <w:pStyle w:val="Compact"/>
      </w:pPr>
      <w:r>
        <w:rPr>
          <w:bCs/>
          <w:b/>
        </w:rPr>
        <w:t xml:space="preserve">Biến TCI (Technological Capability Index)</w:t>
      </w:r>
      <w:r>
        <w:t xml:space="preserve">: z-standardized mean của ≥3 trong 4 thành phần: ISO (b8), R&amp;D (h8), innovation_product (h1), foreign_tech (e6). Yêu cầu ≥3 non-missing để tính tổng hợp.</w:t>
      </w:r>
    </w:p>
    <w:p>
      <w:pPr>
        <w:numPr>
          <w:ilvl w:val="0"/>
          <w:numId w:val="1012"/>
        </w:numPr>
        <w:pStyle w:val="Compact"/>
      </w:pPr>
      <w:r>
        <w:rPr>
          <w:bCs/>
          <w:b/>
        </w:rPr>
        <w:t xml:space="preserve">Biến DAI (Digital Adoption Index)</w:t>
      </w:r>
      <w:r>
        <w:t xml:space="preserve">: Spec 1 (full coverage 2009–2025): website binary (c22b/e8) —</w:t>
      </w:r>
      <w:r>
        <w:t xml:space="preserve"> </w:t>
      </w:r>
      <w:r>
        <w:rPr>
          <w:bCs/>
          <w:b/>
        </w:rPr>
        <w:t xml:space="preserve">Tier-1 Digital Presence</w:t>
      </w:r>
      <w:r>
        <w:t xml:space="preserve">. Spec 2 (BREADY 2018+ only): z-standardized composite website + e-payment intensity (k33/k38) —</w:t>
      </w:r>
      <w:r>
        <w:t xml:space="preserve"> </w:t>
      </w:r>
      <w:r>
        <w:rPr>
          <w:bCs/>
          <w:b/>
        </w:rPr>
        <w:t xml:space="preserve">Tier-2 Digital Transformation</w:t>
      </w:r>
      <w:r>
        <w:t xml:space="preserve">.</w:t>
      </w:r>
    </w:p>
    <w:p>
      <w:pPr>
        <w:numPr>
          <w:ilvl w:val="0"/>
          <w:numId w:val="1012"/>
        </w:numPr>
        <w:pStyle w:val="Compact"/>
      </w:pPr>
      <w:r>
        <w:rPr>
          <w:bCs/>
          <w:b/>
        </w:rPr>
        <w:t xml:space="preserve">Pipeline Python</w:t>
      </w:r>
      <w:r>
        <w:t xml:space="preserve">:</w:t>
      </w:r>
      <w:r>
        <w:t xml:space="preserve"> </w:t>
      </w:r>
      <w:r>
        <w:rPr>
          <w:rStyle w:val="VerbatimChar"/>
        </w:rPr>
        <w:t xml:space="preserve">wbes/02_harmonize.py</w:t>
      </w:r>
      <w:r>
        <w:t xml:space="preserve"> </w:t>
      </w:r>
      <w:r>
        <w:t xml:space="preserve">tái lập được — 5 bước xử lý từ raw WBES đến clean pool 101.185 doanh nghiệp.</w:t>
      </w:r>
    </w:p>
    <w:p>
      <w:pPr>
        <w:pStyle w:val="FirstParagraph"/>
      </w:pPr>
      <w:r>
        <w:rPr>
          <w:bCs/>
          <w:b/>
        </w:rPr>
        <w:t xml:space="preserve">Xử lý missing values</w:t>
      </w:r>
      <w:r>
        <w:t xml:space="preserve">: Quan sát thiếu FSTS = 0 nếu doanh nghiệp không xuất khẩu (d3a =</w:t>
      </w:r>
      <w:r>
        <w:t xml:space="preserve"> </w:t>
      </w:r>
      <w:r>
        <w:t xml:space="preserve">“</w:t>
      </w:r>
      <w:r>
        <w:t xml:space="preserve">No</w:t>
      </w:r>
      <w:r>
        <w:t xml:space="preserve">”</w:t>
      </w:r>
      <w:r>
        <w:t xml:space="preserve">); gán missing nếu không trả lời. TCI yêu cầu ≥3/4 components. LP gán missing nếu doanh thu hoặc số lao động = 0 hoặc không có. Ngưỡng quan sát tối thiểu: 5 cho mean/median; 30 cho CAGR.</w:t>
      </w:r>
    </w:p>
    <w:bookmarkEnd w:id="38"/>
    <w:bookmarkStart w:id="39" w:name="ba-khung-lý-thuyết-nền"/>
    <w:p>
      <w:pPr>
        <w:pStyle w:val="Heading3"/>
      </w:pPr>
      <w:r>
        <w:t xml:space="preserve">2.5 Ba khung lý thuyết nền</w:t>
      </w:r>
    </w:p>
    <w:p>
      <w:pPr>
        <w:pStyle w:val="FirstParagraph"/>
      </w:pPr>
      <w:r>
        <w:t xml:space="preserve">Ba khung lý thuyết cung cấp nền tảng giải thích cho các pattern thực trạng được quan sát trong Chương 4–6:</w:t>
      </w:r>
    </w:p>
    <w:p>
      <w:pPr>
        <w:pStyle w:val="BodyText"/>
      </w:pPr>
      <w:r>
        <w:rPr>
          <w:bCs/>
          <w:b/>
        </w:rPr>
        <w:t xml:space="preserve">Khung 1 — Lý thuyết Uppsala (Uppsala Model)</w:t>
      </w:r>
      <w:r>
        <w:t xml:space="preserve"> </w:t>
      </w:r>
      <w:r>
        <w:t xml:space="preserve">(Johanson &amp; Vahlne, 1977, 2009): Doanh nghiệp quốc tế hóa theo</w:t>
      </w:r>
      <w:r>
        <w:t xml:space="preserve"> </w:t>
      </w:r>
      <w:r>
        <w:rPr>
          <w:bCs/>
          <w:b/>
        </w:rPr>
        <w:t xml:space="preserve">lộ trình tiệm tiến (incremental path)</w:t>
      </w:r>
      <w:r>
        <w:t xml:space="preserve">, bắt đầu từ các thị trường gần về tâm lý (psychic distance nhỏ) rồi mở rộng dần. Phiên bản 2009 cập nhật: mạng lưới quan hệ kinh doanh (business network) thay thế khoảng cách tâm lý như cơ chế dẫn dắt. Hàm ý cho chuyên đề: (a) pattern FSTS thấp ở SIDS Pacific (6,3%) và FDI-linked high FSTS ở Vietnam (23,2%) phù hợp với đường cong học hỏi Uppsala; (b) DAI (digital tools) như Banalieva &amp; Dhanaraj (2019) lập luận, có thể rút ngắn lộ trình tiệm tiến ở giai đoạn đầu — nhưng cần Tier-2 capability để phát huy đầy đủ.</w:t>
      </w:r>
    </w:p>
    <w:p>
      <w:pPr>
        <w:pStyle w:val="BodyText"/>
      </w:pPr>
      <w:r>
        <w:rPr>
          <w:bCs/>
          <w:b/>
        </w:rPr>
        <w:t xml:space="preserve">Khung 2 — Quan điểm dựa trên nguồn lực và năng lực động</w:t>
      </w:r>
      <w:r>
        <w:t xml:space="preserve"> </w:t>
      </w:r>
      <w:r>
        <w:t xml:space="preserve">(Resource-Based View + Dynamic Capabilities) (Barney,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khả năng hấp thụ (Cohen &amp; Levinthal, 1990) giải thích tại sao FDI-spillover tác động tích cực hơn ở Ấn Độ với R&amp;D 19,8% so với Việt Nam 6,1%.</w:t>
      </w:r>
    </w:p>
    <w:p>
      <w:pPr>
        <w:pStyle w:val="BodyText"/>
      </w:pPr>
      <w:r>
        <w:rPr>
          <w:bCs/>
          <w:b/>
        </w:rPr>
        <w:t xml:space="preserve">Khung 3 — Lý thuyết thể chế</w:t>
      </w:r>
      <w:r>
        <w:t xml:space="preserve"> </w:t>
      </w:r>
      <w:r>
        <w:t xml:space="preserve">(Institutional Theory) (North,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I→P không đồng nhất xuyên chế độ thể chế. Hàm ý: (a) bốn lần đảo dấu của hệ số FDI/FSTS/TCI/DAI xuyên 5 phân nhóm con ICRV (Bảng 6.1) là bằng chứng trực tiếp cho institutional moderation; (b) Xu (2024) làm sâu thêm bằng phân biệt</w:t>
      </w:r>
      <w:r>
        <w:t xml:space="preserve"> </w:t>
      </w:r>
      <w:r>
        <w:rPr>
          <w:bCs/>
          <w:b/>
        </w:rPr>
        <w:t xml:space="preserve">de jure exposure</w:t>
      </w:r>
      <w:r>
        <w:t xml:space="preserve"> </w:t>
      </w:r>
      <w:r>
        <w:t xml:space="preserve">(luật trên giấy) vs</w:t>
      </w:r>
      <w:r>
        <w:t xml:space="preserve"> </w:t>
      </w:r>
      <w:r>
        <w:rPr>
          <w:bCs/>
          <w:b/>
        </w:rPr>
        <w:t xml:space="preserve">de facto enforcement</w:t>
      </w:r>
      <w:r>
        <w:t xml:space="preserve"> </w:t>
      </w:r>
      <w:r>
        <w:t xml:space="preserve">(thực thi thực tế) — giải thích tại sao Vietnam và China có gap lớn giữa hai tầng này; (c) khung ICRV 6 nhóm trong Chương 3 của chuyên đề là operationalization của Institutional Theory theo hướng này.</w:t>
      </w:r>
    </w:p>
    <w:bookmarkEnd w:id="39"/>
    <w:bookmarkStart w:id="40" w:name="X1a8b5920726a715638e9b692b5093988b2836eb"/>
    <w:p>
      <w:pPr>
        <w:pStyle w:val="Heading3"/>
      </w:pPr>
      <w:r>
        <w:t xml:space="preserve">2.6 Điều kiện biên cho U-curve Lu &amp; Beamish (2004)</w:t>
      </w:r>
    </w:p>
    <w:p>
      <w:pPr>
        <w:pStyle w:val="FirstParagraph"/>
      </w:pPr>
      <w:r>
        <w:rPr>
          <w:bCs/>
          <w:b/>
        </w:rPr>
        <w:t xml:space="preserve">Ba điều kiện cấu trúc bắt buộc cho U-curve vận hành</w:t>
      </w:r>
      <w:r>
        <w:t xml:space="preserve"> </w:t>
      </w:r>
      <w:r>
        <w:t xml:space="preserve">(theoretical foundation cho Chương 4–5 và CĐ2 H6):</w:t>
      </w:r>
    </w:p>
    <w:p>
      <w:pPr>
        <w:numPr>
          <w:ilvl w:val="0"/>
          <w:numId w:val="1013"/>
        </w:numPr>
      </w:pP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~$80.000), Trung Quốc (1,4 tỷ dân), Việt Nam (98 triệu dân) —</w:t>
      </w:r>
      <w:r>
        <w:t xml:space="preserve"> </w:t>
      </w:r>
      <w:r>
        <w:rPr>
          <w:bCs/>
          <w:b/>
        </w:rPr>
        <w:t xml:space="preserve">KHÔNG</w:t>
      </w:r>
      <w:r>
        <w:t xml:space="preserve"> </w:t>
      </w:r>
      <w:r>
        <w:t xml:space="preserve">thỏa ở Kiribati (130.000 dân, GDP per capita ~$1.700).</w:t>
      </w:r>
    </w:p>
    <w:p>
      <w:pPr>
        <w:numPr>
          <w:ilvl w:val="0"/>
          <w:numId w:val="1013"/>
        </w:numPr>
      </w:pPr>
      <w:r>
        <w:rPr>
          <w:bCs/>
          <w:b/>
        </w:rPr>
        <w:t xml:space="preserve">Điều kiện chi phí thương mại kiểm soát được</w:t>
      </w:r>
      <w:r>
        <w:t xml:space="preserve"> </w:t>
      </w:r>
      <w:r>
        <w:t xml:space="preserve">(manageable trade costs): Logistics, vận tải biển/hàng không, regulations xuất nhập khẩu nằm trong khoảng kinh tế. Điều kiện này thỏa ở Châu Á đại lục —</w:t>
      </w:r>
      <w:r>
        <w:t xml:space="preserve"> </w:t>
      </w:r>
      <w:r>
        <w:rPr>
          <w:bCs/>
          <w:b/>
        </w:rPr>
        <w:t xml:space="preserve">KHÔNG</w:t>
      </w:r>
      <w:r>
        <w:t xml:space="preserve"> </w:t>
      </w:r>
      <w:r>
        <w:t xml:space="preserve">thỏa đầy đủ ở SIDS Pacific xa hub thương mại (Fiji–Auckland 2.100 km, Kiribati–Suva 2.700 km).</w:t>
      </w:r>
    </w:p>
    <w:p>
      <w:pPr>
        <w:numPr>
          <w:ilvl w:val="0"/>
          <w:numId w:val="1013"/>
        </w:numPr>
      </w:pPr>
      <w:r>
        <w:rPr>
          <w:bCs/>
          <w:b/>
        </w:rPr>
        <w:t xml:space="preserve">Điều kiện thể chế vận hành</w:t>
      </w:r>
      <w:r>
        <w:t xml:space="preserve"> </w:t>
      </w:r>
      <w:r>
        <w:t xml:space="preserve">(functional institutions): Khung pháp lý, IPR, contract enforcement, banking infrastructure ở mức tối thiểu. Điều kiện này thỏa ở Advanced và Upper-middle —</w:t>
      </w:r>
      <w:r>
        <w:t xml:space="preserve"> </w:t>
      </w:r>
      <w:r>
        <w:rPr>
          <w:bCs/>
          <w:b/>
        </w:rPr>
        <w:t xml:space="preserve">KHÔNG</w:t>
      </w:r>
      <w:r>
        <w:t xml:space="preserve"> </w:t>
      </w:r>
      <w:r>
        <w:t xml:space="preserve">thỏa đầy đủ ở SIDS isolated (Kiribati ISO 1,3%, FDI 0,7%) hay frontier conflict zones; nhóm Emerging có gap de jure–de facto lớn (Xu, 2024).</w:t>
      </w:r>
    </w:p>
    <w:p>
      <w:pPr>
        <w:pStyle w:val="FirstParagraph"/>
      </w:pPr>
      <w:r>
        <w:rPr>
          <w:bCs/>
          <w:b/>
        </w:rPr>
        <w:t xml:space="preserve">Bảng 2.6.1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ICRV phân biệt formal rules vs enforcement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(forced internationalization penalty); Fiji 74,8% website &gt; Singapore 66% là minh chứng</w:t>
            </w:r>
          </w:p>
        </w:tc>
      </w:tr>
    </w:tbl>
    <w:bookmarkEnd w:id="40"/>
    <w:bookmarkStart w:id="41" w:name="khung-4-tier-chuyển-đổi-số-mô-hình-cdcm"/>
    <w:p>
      <w:pPr>
        <w:pStyle w:val="Heading3"/>
      </w:pPr>
      <w:r>
        <w:t xml:space="preserve">2.7 Khung 4-Tier chuyển đổi số +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cơ bản</w:t>
            </w:r>
          </w:p>
        </w:tc>
        <w:tc>
          <w:tcPr/>
          <w:p>
            <w:pPr>
              <w:pStyle w:val="Compact"/>
              <w:jc w:val="left"/>
            </w:pPr>
            <w:r>
              <w:t xml:space="preserve">e-payment (k33, k38)</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 KHÔNG quan sát</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Foundational Digital Adoption (FDA)</w:t>
      </w:r>
      <w:r>
        <w:t xml:space="preserve">.</w:t>
      </w:r>
    </w:p>
    <w:p>
      <w:pPr>
        <w:pStyle w:val="BodyText"/>
      </w:pPr>
      <w:r>
        <w:rPr>
          <w:bCs/>
          <w:b/>
        </w:rPr>
        <w:t xml:space="preserve">Mô hình Năng lực số phụ thuộc bối cảnh (CDCM)</w:t>
      </w:r>
      <w:r>
        <w:t xml:space="preserve"> </w:t>
      </w:r>
      <w:r>
        <w:t xml:space="preserve">— hợp nhất P4 Singapore và P3 Việt Nam:</w:t>
      </w:r>
    </w:p>
    <w:p>
      <w:pPr>
        <w:pStyle w:val="BodyText"/>
      </w:pPr>
      <w:r>
        <w:rPr>
          <w:bCs/>
          <w:b/>
        </w:rPr>
        <w:t xml:space="preserve">(a) Hình dáng đường cong I-P</w:t>
      </w:r>
      <w:r>
        <w:t xml:space="preserve">: Việt Nam → Inverted-U, điểm uốn ≈ 39–46% FSTS; Singapore → tuyến tính dương + bậc hai nhẹ, TP ≈ 82% FSTS.</w:t>
      </w:r>
    </w:p>
    <w:p>
      <w:pPr>
        <w:pStyle w:val="BodyText"/>
      </w:pPr>
      <w:r>
        <w:rPr>
          <w:bCs/>
          <w:b/>
        </w:rPr>
        <w:t xml:space="preserve">(b) Cơ chế DAI</w:t>
      </w:r>
      <w:r>
        <w:t xml:space="preserve">: Việt Nam (Tier 1 = website only) →</w:t>
      </w:r>
      <w:r>
        <w:t xml:space="preserve"> </w:t>
      </w:r>
      <w:r>
        <w:rPr>
          <w:bCs/>
          <w:b/>
        </w:rPr>
        <w:t xml:space="preserve">stage-contingent</w:t>
      </w:r>
      <w:r>
        <w:t xml:space="preserve">: DAI×FSTS tương tác âm ở FSTS cao → Tier 1 trở thành điểm nghẽn. Singapore (Tier 1+2) →</w:t>
      </w:r>
      <w:r>
        <w:t xml:space="preserve"> </w:t>
      </w:r>
      <w:r>
        <w:rPr>
          <w:bCs/>
          <w:b/>
        </w:rPr>
        <w:t xml:space="preserve">conditional scaling</w:t>
      </w:r>
      <w:r>
        <w:t xml:space="preserve">: DAI×FSTS² dương mạnh (β=3,119, p=,005) → Tier 1+2 là đòn bẩy.</w:t>
      </w:r>
    </w:p>
    <w:p>
      <w:pPr>
        <w:pStyle w:val="BodyText"/>
      </w:pPr>
      <w:r>
        <w:rPr>
          <w:bCs/>
          <w:b/>
        </w:rPr>
        <w:t xml:space="preserve">(c) Vai trò TCI</w:t>
      </w:r>
      <w:r>
        <w:t xml:space="preserve">: Việt Nam —</w:t>
      </w:r>
      <w:r>
        <w:t xml:space="preserve"> </w:t>
      </w:r>
      <w:r>
        <w:rPr>
          <w:iCs/>
          <w:i/>
        </w:rPr>
        <w:t xml:space="preserve">scarce advantage</w:t>
      </w:r>
      <w:r>
        <w:t xml:space="preserve"> </w:t>
      </w:r>
      <w:r>
        <w:t xml:space="preserve">(TCIz IV β=1,639, p&lt;,001 robust 2SLS). Singapore —</w:t>
      </w:r>
      <w:r>
        <w:t xml:space="preserve"> </w:t>
      </w:r>
      <w:r>
        <w:rPr>
          <w:iCs/>
          <w:i/>
        </w:rPr>
        <w:t xml:space="preserve">hygiene factor</w:t>
      </w:r>
      <w:r>
        <w:t xml:space="preserve"> </w:t>
      </w:r>
      <w:r>
        <w:t xml:space="preserve">nâng productivity floor nhưng không điều tiết I-P curve.</w:t>
      </w:r>
    </w:p>
    <w:p>
      <w:r>
        <w:pict>
          <v:rect style="width:0;height:1.5pt" o:hralign="center" o:hrstd="t" o:hr="t"/>
        </w:pict>
      </w:r>
    </w:p>
    <w:bookmarkEnd w:id="41"/>
    <w:bookmarkEnd w:id="42"/>
    <w:bookmarkStart w:id="47" w:name="X9a1fae5a01594b67c795a7bab0db57978c24249"/>
    <w:p>
      <w:pPr>
        <w:pStyle w:val="Heading2"/>
      </w:pPr>
      <w:r>
        <w:t xml:space="preserve">CHƯƠNG 3 — KHUNG PHÂN LOẠI 6 PHÂN NHÓM CON ICRV</w:t>
      </w:r>
    </w:p>
    <w:bookmarkStart w:id="43" w:name="lý-do-phân-loại"/>
    <w:p>
      <w:pPr>
        <w:pStyle w:val="Heading3"/>
      </w:pPr>
      <w:r>
        <w:t xml:space="preserve">3.1 Lý do phân loại</w:t>
      </w:r>
    </w:p>
    <w:p>
      <w:pPr>
        <w:pStyle w:val="FirstParagraph"/>
      </w:pPr>
      <w:r>
        <w:t xml:space="preserve">Châu Á không phải là một khối đồng nhất về thể chế. Các nghiên cứu meta-analysis (Marano et al., 2016; Wu et al., 2022) đã ghi nhận rằng bối cảnh thể chế là biến điều tiết quan trọng nhất trong quan hệ I→P — nhưng không có nghiên cứu nào thiết lập hệ thống phân loại thể chế toàn diện cho 47 nền kinh tế châu Á. Khung phân loại ICRV (Institutional Context Regime Variation) được đề xuất trong chuyên đề này nhằm lấp khoảng trống đó, dựa trên bốn nguyên tắc:</w:t>
      </w:r>
    </w:p>
    <w:p>
      <w:pPr>
        <w:numPr>
          <w:ilvl w:val="0"/>
          <w:numId w:val="1014"/>
        </w:numPr>
      </w:pPr>
      <w:r>
        <w:rPr>
          <w:bCs/>
          <w:b/>
        </w:rPr>
        <w:t xml:space="preserve">Tính phân biệt</w:t>
      </w:r>
      <w:r>
        <w:t xml:space="preserve"> </w:t>
      </w:r>
      <w:r>
        <w:t xml:space="preserve">(discriminating power): mỗi nhóm phải có mô hình hiệu quả doanh nghiệp khác biệt thực sự — không chỉ khác nhau về mức GDP per capita;</w:t>
      </w:r>
    </w:p>
    <w:p>
      <w:pPr>
        <w:numPr>
          <w:ilvl w:val="0"/>
          <w:numId w:val="1014"/>
        </w:numPr>
      </w:pPr>
      <w:r>
        <w:rPr>
          <w:bCs/>
          <w:b/>
        </w:rPr>
        <w:t xml:space="preserve">Tính đại diện lý thuyết</w:t>
      </w:r>
      <w:r>
        <w:t xml:space="preserve">: phân loại phải phản ánh được các cơ chế thể chế khác nhau (thể chế đổi mới sáng tạo vs thể chế tài nguyên vs thể chế chuyển đổi, v.v.) theo Varieties of Capitalism (Hall &amp; Soskice, 2001) và Institutional Theory (North, 1990);</w:t>
      </w:r>
    </w:p>
    <w:p>
      <w:pPr>
        <w:numPr>
          <w:ilvl w:val="0"/>
          <w:numId w:val="1014"/>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14"/>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3"/>
      </w:pPr>
      <w:r>
        <w:t xml:space="preserve">3.2 Tiêu chí phân loại sáu nhóm</w:t>
      </w:r>
    </w:p>
    <w:p>
      <w:pPr>
        <w:pStyle w:val="FirstParagraph"/>
      </w:pPr>
      <w:r>
        <w:rPr>
          <w:bCs/>
          <w:b/>
        </w:rPr>
        <w:t xml:space="preserve">Nhóm I — Advanced đổi mới sáng tạo dẫn dắt (Innovation-driven)</w:t>
      </w:r>
      <w:r>
        <w:t xml:space="preserve">: WGI Rule of Law &gt;+0,80; GNI per capita &gt;$30.000 (WB Atlas method); GDP tăng trưởng dựa trên đổi mới công nghệ, dịch vụ tài chính và hàm lượng tri thức cao. Bằng chứng WBES: R&amp;D &gt;10%, ISO &gt;20%, sd log năng suất ~1,03 (diversified).</w:t>
      </w:r>
    </w:p>
    <w:p>
      <w:pPr>
        <w:pStyle w:val="BodyText"/>
      </w:pPr>
      <w:r>
        <w:rPr>
          <w:bCs/>
          <w:b/>
        </w:rPr>
        <w:t xml:space="preserve">Nhóm II — Advanced tài nguyên dẫn dắt (Resource-driven)</w:t>
      </w:r>
      <w:r>
        <w:t xml:space="preserve">: WGI Rule of Law trung bình (+0,00 → +0,50); GNI per capita &gt;$20.000; GDP tăng trưởng dựa trên xuất khẩu tài nguyên thiên nhiên (dầu mỏ, khí đốt, khoáng sản). Bằng chứng WBES: FDI cao hướng khai thác tài nguyên, sd log năng suất thấp (~0,49 — đặc trưng nhà nước tô rentier state).</w:t>
      </w:r>
    </w:p>
    <w:p>
      <w:pPr>
        <w:pStyle w:val="BodyText"/>
      </w:pPr>
      <w:r>
        <w:rPr>
          <w:bCs/>
          <w:b/>
        </w:rPr>
        <w:t xml:space="preserve">Nhóm III — Trung bình cao (Upper-middle)</w:t>
      </w:r>
      <w:r>
        <w:t xml:space="preserve">: WGI Rule of Law 0,00 → +0,80; GNI per capita $5.000–$20.000; nền kinh tế chuyển đổi từ manufacturing sang dịch vụ, với R&amp;D đang tăng (đặc biệt Trung Quốc). WBES pattern: manufacturing FSTS cao, R&amp;D tăng mạnh giai đoạn 2018–2025 (+21,5 đpt Upper-middle).</w:t>
      </w:r>
    </w:p>
    <w:p>
      <w:pPr>
        <w:pStyle w:val="BodyText"/>
      </w:pPr>
      <w:r>
        <w:rPr>
          <w:bCs/>
          <w:b/>
        </w:rPr>
        <w:t xml:space="preserve">Nhóm IV — Đang nổi (Emerging)</w:t>
      </w:r>
      <w:r>
        <w:t xml:space="preserve">: WGI Rule of Law -0,50 → 0,00; GNI per capita $1.000–$5.000; tốc độ tăng trưởng cao nhưng gap de jure–de facto lớn (Xu, 2024); manufacturing FDI-driven dẫn dắt xuất khẩu. WBES pattern: FSTS phân cực cao/thấp trong nội bộ nhóm; FDI thấp nhất (4,7%) — do doanh nghiệp nội địa chi phối sample.</w:t>
      </w:r>
    </w:p>
    <w:p>
      <w:pPr>
        <w:pStyle w:val="BodyText"/>
      </w:pPr>
      <w:r>
        <w:rPr>
          <w:bCs/>
          <w:b/>
        </w:rPr>
        <w:t xml:space="preserve">Nhóm V — Cận biên (Frontier)</w:t>
      </w:r>
      <w:r>
        <w:t xml:space="preserve">: WGI Rule of Law &lt; -0,50; GNI per capita &lt;$1.000 hoặc &lt;$3.000 với voids thể chế lớn; nhiều nước đang qua giai đoạn xung đột hoặc chuyển đổi sau xung đột. WBES pattern: phân tán năng suất cao nhất (sd log 1,36), R&amp;D thấp nhất, nhưng đổi mới sản phẩm cao (bricolage innovation).</w:t>
      </w:r>
    </w:p>
    <w:p>
      <w:pPr>
        <w:pStyle w:val="BodyText"/>
      </w:pPr>
      <w:r>
        <w:rPr>
          <w:bCs/>
          <w:b/>
        </w:rPr>
        <w:t xml:space="preserve">Nhóm VI — SIDS Thái Bình Dương (Boundary case extension)</w:t>
      </w:r>
      <w:r>
        <w:t xml:space="preserve">: Dân số &lt;1 triệu; cô lập địa lý &gt;2.000 km từ hub thương mại; phụ thuộc ODA + remittances &gt; 20% GDP; MIRAB model (Bertram, 2006). WBES pattern: n=1.371 (1,4% pool); FDI cao nhất (23,5% — do MNE tourism); innovation product cao nhất (41,5% — bricolage); website cao trừ Kiribati (18,7%).</w:t>
      </w:r>
    </w:p>
    <w:bookmarkEnd w:id="44"/>
    <w:bookmarkStart w:id="45" w:name="X0815eccd2c3c87d9b49154526f734fdbd11d504"/>
    <w:p>
      <w:pPr>
        <w:pStyle w:val="Heading3"/>
      </w:pPr>
      <w:r>
        <w:t xml:space="preserve">3.3 Danh sách 47 nền kinh tế theo nhóm ICRV (Bảng 3.1)</w:t>
      </w:r>
    </w:p>
    <w:p>
      <w:pPr>
        <w:pStyle w:val="FirstParagraph"/>
      </w:pPr>
      <w:r>
        <w:rPr>
          <w:bCs/>
          <w:b/>
        </w:rPr>
        <w:t xml:space="preserve">Bảng 3.1</w:t>
      </w:r>
      <w:r>
        <w:t xml:space="preserve">.</w:t>
      </w:r>
      <w:r>
        <w:t xml:space="preserve"> </w:t>
      </w:r>
      <w:r>
        <w:rPr>
          <w:iCs/>
          <w:i/>
        </w:rPr>
        <w:t xml:space="preserve">Phân loại 47 nền kinh tế vào 6 nhóm ICRV — tiêu chí và n_firms.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 (ISO3)</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SGP, HKG, KOR, TWN, ISR</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 QAT, KWT, BHR, BRN</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CHN, MYS, THA, KAZ, ARM, GEO</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VNM, IDN, PHL, IND, LKA, JOR, MNG</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BGD, PAK, LAO, KHM, MMR, NPL, BTN, MDV, UZB, TJK, KGZ, TKM, AFG, TLS, IRQ, LBN, YEM</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FJI, PNG, SLB, TON, VUT, WSM, KIR</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(scope chính 41 nước châu Á); SIDS Nhóm VI = 1.371 (1,4% pool).</w:t>
      </w:r>
    </w:p>
    <w:bookmarkEnd w:id="45"/>
    <w:bookmarkStart w:id="46" w:name="đặc-điểm-các-nhóm-icrv-bảng-3.2"/>
    <w:p>
      <w:pPr>
        <w:pStyle w:val="Heading3"/>
      </w:pPr>
      <w:r>
        <w:t xml:space="preserve">3.4 Đặc điểm các nhóm ICRV (Bảng 3.2)</w:t>
      </w:r>
    </w:p>
    <w:p>
      <w:pPr>
        <w:pStyle w:val="FirstParagraph"/>
      </w:pPr>
      <w:r>
        <w:rPr>
          <w:bCs/>
          <w:b/>
        </w:rPr>
        <w:t xml:space="preserve">Bảng 3.2</w:t>
      </w:r>
      <w:r>
        <w:t xml:space="preserve">.</w:t>
      </w:r>
      <w:r>
        <w:t xml:space="preserve"> </w:t>
      </w:r>
      <w:r>
        <w:rPr>
          <w:iCs/>
          <w:i/>
        </w:rPr>
        <w:t xml:space="preserve">Đặc điểm điển hình của 6 nhóm ICRV — WGI, GNI, cơ chế tăng trưởng, pattern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I→P</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Inverted-U nhẹ / tuyến tính dương; TP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rentier state redistribution</w:t>
            </w:r>
          </w:p>
        </w:tc>
      </w:tr>
      <w:tr>
        <w:tc>
          <w:tcPr/>
          <w:p>
            <w:pPr>
              <w:pStyle w:val="Compact"/>
              <w:jc w:val="left"/>
            </w:pPr>
            <w:r>
              <w:t xml:space="preserve">III — Upper-mid</w:t>
            </w:r>
          </w:p>
        </w:tc>
        <w:tc>
          <w:tcPr/>
          <w:p>
            <w:pPr>
              <w:pStyle w:val="Compact"/>
              <w:jc w:val="left"/>
            </w:pPr>
            <w:r>
              <w:t xml:space="preserve">0,00→+0,80</w:t>
            </w:r>
          </w:p>
        </w:tc>
        <w:tc>
          <w:tcPr/>
          <w:p>
            <w:pPr>
              <w:pStyle w:val="Compact"/>
              <w:jc w:val="left"/>
            </w:pPr>
            <w:r>
              <w:t xml:space="preserve">$5k–$20k</w:t>
            </w:r>
          </w:p>
        </w:tc>
        <w:tc>
          <w:tcPr/>
          <w:p>
            <w:pPr>
              <w:pStyle w:val="Compact"/>
              <w:jc w:val="left"/>
            </w:pPr>
            <w:r>
              <w:t xml:space="preserve">Manufacturing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Inverted-U; TP ~47% (CHN Đỗ &amp; Phan, 2026 JFAR)</w:t>
            </w:r>
          </w:p>
        </w:tc>
      </w:tr>
      <w:tr>
        <w:tc>
          <w:tcPr/>
          <w:p>
            <w:pPr>
              <w:pStyle w:val="Compact"/>
              <w:jc w:val="left"/>
            </w:pPr>
            <w:r>
              <w:t xml:space="preserve">IV — Emerging</w:t>
            </w:r>
          </w:p>
        </w:tc>
        <w:tc>
          <w:tcPr/>
          <w:p>
            <w:pPr>
              <w:pStyle w:val="Compact"/>
              <w:jc w:val="left"/>
            </w:pPr>
            <w:r>
              <w:t xml:space="preserve">-0,50→0,00</w:t>
            </w:r>
          </w:p>
        </w:tc>
        <w:tc>
          <w:tcPr/>
          <w:p>
            <w:pPr>
              <w:pStyle w:val="Compact"/>
              <w:jc w:val="left"/>
            </w:pPr>
            <w:r>
              <w:t xml:space="preserve">$1k–$5k</w:t>
            </w:r>
          </w:p>
        </w:tc>
        <w:tc>
          <w:tcPr/>
          <w:p>
            <w:pPr>
              <w:pStyle w:val="Compact"/>
              <w:jc w:val="left"/>
            </w:pPr>
            <w:r>
              <w:t xml:space="preserve">FDI-driven manufacturing</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Inverted-U; TP 39–46% (VNM) — bẫy RDT</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Subsistence + informal</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institutional voids → bricolage innovation</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tourism</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Forced internationalization — U-curve không vận hành</w:t>
            </w:r>
          </w:p>
        </w:tc>
      </w:tr>
    </w:tbl>
    <w:p>
      <w:pPr>
        <w:pStyle w:val="BodyText"/>
      </w:pPr>
      <w:r>
        <w:rPr>
          <w:iCs/>
          <w:i/>
        </w:rPr>
        <w:t xml:space="preserve">Nguồn: Tổng hợp từ World Bank Enterprise Surveys (2025); WGI từ Kaufmann et al. (2011); GNI từ World Bank (2025, July). Pattern WBES từ phân tích Chương 4 và Đỗ &amp; Phan (2026 — VEFR, JABS, JFAR, MIR under review).</w:t>
      </w:r>
    </w:p>
    <w:p>
      <w:r>
        <w:pict>
          <v:rect style="width:0;height:1.5pt" o:hralign="center" o:hrstd="t" o:hr="t"/>
        </w:pict>
      </w:r>
    </w:p>
    <w:bookmarkEnd w:id="46"/>
    <w:bookmarkEnd w:id="47"/>
    <w:bookmarkStart w:id="66" w:name="X475e58e8adc242aba6e37c449e4a4f3ebc78386"/>
    <w:p>
      <w:pPr>
        <w:pStyle w:val="Heading2"/>
      </w:pPr>
      <w:r>
        <w:t xml:space="preserve">CHƯƠNG 4 — THỰC TRẠNG HIỆU QUẢ DOANH NGHIỆP CHÂU Á 2009–2025</w:t>
      </w:r>
    </w:p>
    <w:bookmarkStart w:id="48" w:name="X3f3f719f88bf0ed42bff718572107a40145c645"/>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(gồm Kiribati 2025: +150 doanh nghiệp, +1 cặp QG×năm).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tbl>
      <w:tblPr>
        <w:tblStyle w:val="FigureTable"/>
        <w:tblW w:type="auto" w:w="0"/>
        <w:tblLook w:firstRow="0" w:lastRow="0" w:firstColumn="0" w:lastColumn="0"/>
        <w:jc w:val="center"/>
      </w:tblPr>
      <w:tblGrid>
        <w:gridCol w:w="7920"/>
      </w:tblGrid>
      <w:tr>
        <w:tc>
          <w:tcPr/>
          <w:p>
            <w:pPr>
              <w:pStyle w:val="Compact"/>
              <w:jc w:val="center"/>
            </w:pPr>
            <w:r>
              <w:t xml:space="preserve">Hình 4.1.1 — Phân bố pool 5 phân nhóm con thể chế (n=101.185 doanh nghiệp)</w:t>
            </w:r>
          </w:p>
        </w:tc>
      </w:tr>
    </w:tbl>
    <w:p>
      <w:pPr>
        <w:pStyle w:val="ImageCaption"/>
      </w:pPr>
      <w:r>
        <w:t xml:space="preserve">Hình 4.1.1 — Phân bố pool 5 phân nhóm con thể chế (n=101.185 doanh nghiệp)</w:t>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Hình 4.0 — Phân bố mẫu 101.185 doanh nghiệp xuyên 17 năm (2009–2025) theo 3 thế hệ schema WBES</w:t>
            </w:r>
          </w:p>
        </w:tc>
      </w:tr>
    </w:tbl>
    <w:p>
      <w:pPr>
        <w:pStyle w:val="ImageCaption"/>
      </w:pPr>
      <w:r>
        <w:t xml:space="preserve">Hình 4.0 — Phân bố mẫu 101.185 doanh nghiệp xuyên 17 năm (2009–2025) theo 3 thế hệ schema WBES</w:t>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Phân bố thời gian: 2009–2012 (n=14.171), 2013–2017 (n=24.564), 2018–2025 (n=62.450, chiếm 62%).</w:t>
      </w:r>
      <w:r>
        <w:t xml:space="preserve"> </w:t>
      </w: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winsorize log năng suất ở mức 1/99 phân vị trong cụm quốc gia × năm.</w:t>
      </w:r>
    </w:p>
    <w:bookmarkEnd w:id="48"/>
    <w:bookmarkStart w:id="49" w:name="Xdd19b3ee5869884c11531c8fa1248eb07b4817a"/>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SIDS row gồm Kiribati 2025 (n=150, sd log 1,48).</w:t>
      </w:r>
    </w:p>
    <w:tbl>
      <w:tblPr>
        <w:tblStyle w:val="FigureTable"/>
        <w:tblW w:type="auto" w:w="0"/>
        <w:tblLook w:firstRow="0" w:lastRow="0" w:firstColumn="0" w:lastColumn="0"/>
        <w:jc w:val="center"/>
      </w:tblPr>
      <w:tblGrid>
        <w:gridCol w:w="7920"/>
      </w:tblGrid>
      <w:tr>
        <w:tc>
          <w:tcPr/>
          <w:p>
            <w:pPr>
              <w:pStyle w:val="Compact"/>
              <w:jc w:val="center"/>
            </w:pPr>
            <w:r>
              <w:t xml:space="preserve">Hình 4.2 — Phân phối năng suất theo 6 phân nhóm con (kernel density, n=101.185)</w:t>
            </w:r>
          </w:p>
        </w:tc>
      </w:tr>
    </w:tbl>
    <w:p>
      <w:pPr>
        <w:pStyle w:val="ImageCaption"/>
      </w:pPr>
      <w:r>
        <w:t xml:space="preserve">Hình 4.2 — Phân phối năng suất theo 6 phân nhóm con (kernel density, n=101.185)</w:t>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(4) tỷ số P90/P10 tăng đơn điệu theo phân nhóm con; (5) bằng chứng cho H5 — điều tiết thể chế (institutional moderation).</w:t>
      </w:r>
    </w:p>
    <w:bookmarkEnd w:id="49"/>
    <w:bookmarkStart w:id="50" w:name="Xcc3eee4fbea372afb82cb0ae0b2af37656e40ee"/>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50"/>
    <w:bookmarkStart w:id="53" w:name="X6ea576e0e3fd0e159d48e7775c34a2628d38d6f"/>
    <w:p>
      <w:pPr>
        <w:pStyle w:val="Heading3"/>
      </w:pPr>
      <w:r>
        <w:t xml:space="preserve">4.4 Thực trạng đổi mới sáng tạo và năng lực số</w:t>
      </w:r>
    </w:p>
    <w:bookmarkStart w:id="51" w:name="khung-5-lĩnh-vực-chỉ-số-wbes"/>
    <w:p>
      <w:pPr>
        <w:pStyle w:val="Heading4"/>
      </w:pPr>
      <w:r>
        <w:t xml:space="preserve">4.4.0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 Thuế; (2) Tài chính + Tín dụng; (3) Cơ sở hạ tầng + Khí hậu; (4) Thương mại + Cạnh tranh; (5) Tham nhũng + Phi chính thức.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(h/năm);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§4.5.5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§4.5.5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§4.3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§4.7.5 (NEW)</w:t>
            </w:r>
          </w:p>
        </w:tc>
        <w:tc>
          <w:tcPr/>
          <w:p>
            <w:pPr>
              <w:pStyle w:val="Compact"/>
              <w:jc w:val="left"/>
            </w:pPr>
            <w:r>
              <w:rPr>
                <w:rStyle w:val="VerbatimChar"/>
              </w:rPr>
              <w:t xml:space="preserve">bribery_incidence_pct</w:t>
            </w:r>
          </w:p>
        </w:tc>
      </w:tr>
    </w:tbl>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phân tách rõ TCI so với DAI — kế thừa Đỗ &amp; Phan (2026 — VEFR).</w:t>
      </w:r>
    </w:p>
    <w:bookmarkEnd w:id="51"/>
    <w:bookmarkStart w:id="52" w:name="X608a0fd198531ec0e91f0f135708be02a087161"/>
    <w:p>
      <w:pPr>
        <w:pStyle w:val="Heading4"/>
      </w:pPr>
      <w:r>
        <w:t xml:space="preserve">4.4.5 Tái định hình</w:t>
      </w:r>
      <w:r>
        <w:t xml:space="preserve"> </w:t>
      </w:r>
      <w:r>
        <w:t xml:space="preserve">“</w:t>
      </w:r>
      <w:r>
        <w:t xml:space="preserve">Năng lực số</w:t>
      </w:r>
      <w:r>
        <w:t xml:space="preserve">”</w:t>
      </w:r>
      <w:r>
        <w:t xml:space="preserve"> </w:t>
      </w:r>
      <w:r>
        <w:t xml:space="preserve">— Tier-1 Digital Presence</w:t>
      </w:r>
    </w:p>
    <w:p>
      <w:pPr>
        <w:pStyle w:val="FirstParagraph"/>
      </w:pPr>
      <w:r>
        <w:t xml:space="preserve">Spec 1 (full coverage 2009–2025) dùng biến nhị phân duy nhất (</w:t>
      </w:r>
      <w:r>
        <w:rPr>
          <w:rStyle w:val="VerbatimChar"/>
        </w:rPr>
        <w:t xml:space="preserve">website</w:t>
      </w:r>
      <w:r>
        <w:t xml:space="preserve"> </w:t>
      </w:r>
      <w:r>
        <w:t xml:space="preserve">Y/N).</w:t>
      </w:r>
      <w:r>
        <w:t xml:space="preserve"> </w:t>
      </w:r>
      <w:r>
        <w:rPr>
          <w:bCs/>
          <w:b/>
        </w:rPr>
        <w:t xml:space="preserve">Hậu quả phân tích</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w:t>
      </w:r>
    </w:p>
    <w:p>
      <w:pPr>
        <w:pStyle w:val="BodyText"/>
      </w:pPr>
      <w:r>
        <w:rPr>
          <w:bCs/>
          <w:b/>
        </w:rPr>
        <w:t xml:space="preserve">ICT exclusion test</w:t>
      </w:r>
      <w:r>
        <w:t xml:space="preserve">: Khi loại bỏ ICT firms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discriminate năng suất vì hầu hết đã có website từ lâu. Đổi tên biến Spec 1 từ</w:t>
      </w:r>
      <w:r>
        <w:t xml:space="preserve"> </w:t>
      </w:r>
      <w:r>
        <w:t xml:space="preserve">“</w:t>
      </w:r>
      <w:r>
        <w:t xml:space="preserve">DAI</w:t>
      </w:r>
      <w:r>
        <w:t xml:space="preserve">”</w:t>
      </w:r>
      <w:r>
        <w:t xml:space="preserve"> </w:t>
      </w:r>
      <w:r>
        <w:t xml:space="preserve">sang</w:t>
      </w:r>
      <w:r>
        <w:t xml:space="preserve"> </w:t>
      </w:r>
      <w:r>
        <w:rPr>
          <w:bCs/>
          <w:b/>
        </w:rPr>
        <w:t xml:space="preserve">“</w:t>
      </w:r>
      <w:r>
        <w:rPr>
          <w:bCs/>
          <w:b/>
        </w:rPr>
        <w:t xml:space="preserve">Sự hiện diện số cơ bản (Tier-1 Digital Presence)</w:t>
      </w:r>
      <w:r>
        <w:rPr>
          <w:bCs/>
          <w:b/>
        </w:rPr>
        <w:t xml:space="preserve">”</w:t>
      </w:r>
      <w:r>
        <w:t xml:space="preserve"> </w:t>
      </w:r>
      <w:r>
        <w:t xml:space="preserve">— phạm vi khiêm tốn và chính xác hơn.</w:t>
      </w:r>
    </w:p>
    <w:bookmarkEnd w:id="52"/>
    <w:bookmarkEnd w:id="53"/>
    <w:bookmarkStart w:id="55" w:name="thực-trạng-cấu-trúc-doanh-nghiệp"/>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tourism và viễn thông được dẫn dắt bởi MNE.</w:t>
      </w:r>
    </w:p>
    <w:tbl>
      <w:tblPr>
        <w:tblStyle w:val="FigureTable"/>
        <w:tblW w:type="auto" w:w="0"/>
        <w:tblLook w:firstRow="0" w:lastRow="0" w:firstColumn="0" w:lastColumn="0"/>
        <w:jc w:val="center"/>
      </w:tblPr>
      <w:tblGrid>
        <w:gridCol w:w="7920"/>
      </w:tblGrid>
      <w:tr>
        <w:tc>
          <w:tcPr/>
          <w:p>
            <w:pPr>
              <w:pStyle w:val="Compact"/>
              <w:jc w:val="center"/>
            </w:pPr>
            <w:r>
              <w:t xml:space="preserve">Hình 4.6 — Phân phối quy mô doanh nghiệp theo phân nhóm con (n=101.185)</w:t>
            </w:r>
          </w:p>
        </w:tc>
      </w:tr>
    </w:tbl>
    <w:p>
      <w:pPr>
        <w:pStyle w:val="ImageCaption"/>
      </w:pPr>
      <w:r>
        <w:t xml:space="preserve">Hình 4.6 — Phân phối quy mô doanh nghiệp theo phân nhóm con (n=101.185)</w:t>
      </w:r>
    </w:p>
    <w:p>
      <w:pPr>
        <w:pStyle w:val="BodyText"/>
      </w:pPr>
      <w:r>
        <w:rPr>
          <w:iCs/>
          <w:i/>
        </w:rPr>
        <w:t xml:space="preserve">Hình 4.6. Stacked bar chart: SIDS Pacific có tỷ lệ SME cao nhất (88,5%), Frontier kế tiếp (85,0%), Advanced thấp nhất (79,1%).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54" w:name="X82630701712868d6b2736fccbaf4389d2963e46"/>
    <w:p>
      <w:pPr>
        <w:pStyle w:val="Heading4"/>
      </w:pPr>
      <w:r>
        <w:t xml:space="preserve">4.5.5 Bốn rào cản hàng đầu của khu vực tư nhân Á-Thái</w:t>
      </w:r>
    </w:p>
    <w:p>
      <w:pPr>
        <w:pStyle w:val="FirstParagraph"/>
      </w:pPr>
      <w:r>
        <w:rPr>
          <w:bCs/>
          <w:b/>
        </w:rPr>
        <w:t xml:space="preserve">Bảng 4.5.5</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institutional voids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shadow economy</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operational resources pillar</w:t>
            </w:r>
          </w:p>
        </w:tc>
      </w:tr>
    </w:tbl>
    <w:p>
      <w:pPr>
        <w:pStyle w:val="BodyText"/>
      </w:pPr>
      <w:r>
        <w:rPr>
          <w:bCs/>
          <w:b/>
        </w:rPr>
        <w:t xml:space="preserve">Hàm ý cho CĐ2</w:t>
      </w:r>
      <w:r>
        <w:t xml:space="preserve">: 4 rào cản → 4 control variables mới:</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w:t>
      </w:r>
    </w:p>
    <w:bookmarkEnd w:id="54"/>
    <w:bookmarkEnd w:id="55"/>
    <w:bookmarkStart w:id="56" w:name="bức-tranh-thay-đổi-theo-thời-gian"/>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 phù hợp luận điểm digital leapfrog của Banalieva &amp; Dhanaraj (2019).</w:t>
      </w:r>
    </w:p>
    <w:tbl>
      <w:tblPr>
        <w:tblStyle w:val="FigureTable"/>
        <w:tblW w:type="auto" w:w="0"/>
        <w:tblLook w:firstRow="0" w:lastRow="0" w:firstColumn="0" w:lastColumn="0"/>
        <w:jc w:val="center"/>
      </w:tblPr>
      <w:tblGrid>
        <w:gridCol w:w="7920"/>
      </w:tblGrid>
      <w:tr>
        <w:tc>
          <w:tcPr/>
          <w:p>
            <w:pPr>
              <w:pStyle w:val="Compact"/>
              <w:jc w:val="center"/>
            </w:pPr>
            <w:r>
              <w:t xml:space="preserve">Hình 4.4 — Slope chart 2009–2012 vs 2018–2025 (Δ điểm phần trăm 5 chỉ số)</w:t>
            </w:r>
          </w:p>
        </w:tc>
      </w:tr>
    </w:tbl>
    <w:p>
      <w:pPr>
        <w:pStyle w:val="ImageCaption"/>
      </w:pPr>
      <w:r>
        <w:t xml:space="preserve">Hình 4.4 — Slope chart 2009–2012 vs 2018–2025 (Δ điểm phần trăm 5 chỉ số)</w:t>
      </w:r>
    </w:p>
    <w:p>
      <w:pPr>
        <w:pStyle w:val="BodyText"/>
      </w:pPr>
      <w:r>
        <w:rPr>
          <w:iCs/>
          <w:i/>
        </w:rPr>
        <w:t xml:space="preserve">Hình 4.4. Slope chart minh họa thay đổi 5 chỉ số giữa 2 mốc thời gian cho 4 phân nhóm con. Pattern nổi bật: Website tăng mạnh +20–40 đpt ở Frontier/SIDS; FDI giảm phổ biến;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Hình 4.7 — Spider chart 5 chiều × 2 mốc thời gian (Advanced, Emerging, SIDS)</w:t>
            </w:r>
          </w:p>
        </w:tc>
      </w:tr>
    </w:tbl>
    <w:p>
      <w:pPr>
        <w:pStyle w:val="ImageCaption"/>
      </w:pPr>
      <w:r>
        <w:t xml:space="preserve">Hình 4.7 — Spider chart 5 chiều × 2 mốc thời gian (Advanced, Emerging, SIDS)</w:t>
      </w:r>
    </w:p>
    <w:p>
      <w:pPr>
        <w:pStyle w:val="BodyText"/>
      </w:pPr>
      <w:r>
        <w:rPr>
          <w:iCs/>
          <w:i/>
        </w:rPr>
        <w:t xml:space="preserve">Hình 4.7. Radar/spider chart cho 3 phân nhóm con (Advanced, Emerging, SIDS) trên 5 chiều (FSTS, Innovation product, R&amp;D, Website, ISO) với 2 mốc thời gian 2009–2012 vs 2018–2025.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56"/>
    <w:bookmarkStart w:id="58" w:name="tổng-hợp-chương-4-10-kết-luận-chính"/>
    <w:p>
      <w:pPr>
        <w:pStyle w:val="Heading3"/>
      </w:pPr>
      <w:r>
        <w:t xml:space="preserve">4.7 Tổng hợp Chương 4 (10 kết luận chính)</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CĐ2.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digital leapfrog (74,8%). Cơ sở cho H6 (forced internationalization penalty).</w:t>
      </w:r>
    </w:p>
    <w:p>
      <w:pPr>
        <w:pStyle w:val="BodyText"/>
      </w:pPr>
      <w:r>
        <w:rPr>
          <w:bCs/>
          <w:b/>
        </w:rPr>
        <w:t xml:space="preserve">(v) Quốc tế hóa là hiện tượng phân cực</w:t>
      </w:r>
      <w:r>
        <w:t xml:space="preserve">: trung vị FSTS = 0%; chỉ 15–23% doanh nghiệp xuất khẩu. Cần lựa chọn hai giai đoạn (2-stage selection) trong CĐ2.</w:t>
      </w:r>
    </w:p>
    <w:p>
      <w:pPr>
        <w:pStyle w:val="BodyText"/>
      </w:pPr>
      <w:r>
        <w:rPr>
          <w:bCs/>
          <w:b/>
        </w:rPr>
        <w:t xml:space="preserve">(vi) Nhảy vọt số (digital leapfrog) 2018–2025</w:t>
      </w:r>
      <w:r>
        <w:t xml:space="preserve"> </w:t>
      </w:r>
      <w:r>
        <w:t xml:space="preserve">ở Frontier/Emerging/SIDS (+20–43 đpt website). Phân biệt</w:t>
      </w:r>
      <w:r>
        <w:t xml:space="preserve"> </w:t>
      </w:r>
      <w:r>
        <w:rPr>
          <w:bCs/>
          <w:b/>
        </w:rPr>
        <w:t xml:space="preserve">Tier-1 Digital Presence</w:t>
      </w:r>
      <w:r>
        <w:t xml:space="preserve"> </w:t>
      </w:r>
      <w:r>
        <w:t xml:space="preserve">(đã bão hòa ở Advanced) vs</w:t>
      </w:r>
      <w:r>
        <w:t xml:space="preserve"> </w:t>
      </w:r>
      <w:r>
        <w:rPr>
          <w:bCs/>
          <w:b/>
        </w:rPr>
        <w:t xml:space="preserve">Tier-2 Digital Transformation</w:t>
      </w:r>
      <w:r>
        <w:t xml:space="preserve"> </w:t>
      </w:r>
      <w:r>
        <w:t xml:space="preserve">(đang phát triển). Hệ số âm DAI Advanced (-0,129) là artifact Tier-1 saturation — xem §4.4.5 ICT exclusion test.</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16.979 doanh nghiệp. IND FSTS sụt 5 đpt (schema effect); Fiji website 74,8% &gt; Singapore 66,1%; Kiribati extreme đối lập Fiji.</w:t>
      </w:r>
    </w:p>
    <w:p>
      <w:pPr>
        <w:pStyle w:val="BodyText"/>
      </w:pPr>
      <w:r>
        <w:rPr>
          <w:bCs/>
          <w:b/>
        </w:rPr>
        <w:t xml:space="preserve">(ix) Khung phân tích cấp ngành (industry-level)</w:t>
      </w:r>
      <w:r>
        <w:t xml:space="preserve">: 9 ngành ISIC Rev. 4; ICT exclusion test; 5 giả thuyết I1-I5.</w:t>
      </w:r>
    </w:p>
    <w:p>
      <w:pPr>
        <w:pStyle w:val="BodyText"/>
      </w:pPr>
      <w:r>
        <w:rPr>
          <w:bCs/>
          <w:b/>
        </w:rPr>
        <w:t xml:space="preserve">(x) Pipeline tái lập được cho 4 thế hệ schema WBES</w:t>
      </w:r>
      <w:r>
        <w:t xml:space="preserve">: Pipeline 5 bước Python; tất cả bảng và hình đều tái tạo được. Gói tái lập mở.</w:t>
      </w:r>
    </w:p>
    <w:bookmarkStart w:id="57" w:name="Xf2df672e01f2d04ad60061850812cf1ebc4fbac"/>
    <w:p>
      <w:pPr>
        <w:pStyle w:val="Heading4"/>
      </w:pPr>
      <w:r>
        <w:t xml:space="preserve">4.7.5 Phân biệt 3 thuật ngữ tham nhũng WBES — Bribery vs Graft</w:t>
      </w:r>
    </w:p>
    <w:p>
      <w:pPr>
        <w:pStyle w:val="FirstParagraph"/>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DN khai báo</w:t>
      </w:r>
      <w:r>
        <w:t xml:space="preserve"> </w:t>
      </w:r>
      <w:r>
        <w:t xml:space="preserve">“</w:t>
      </w:r>
      <w:r>
        <w:t xml:space="preserve">phải hối lộ thanh tra thuế</w:t>
      </w:r>
      <w:r>
        <w:t xml:space="preserve">”</w:t>
      </w:r>
      <w:r>
        <w:t xml:space="preserve"> </w:t>
      </w:r>
      <w:r>
        <w:t xml:space="preserve">có selection bias vì những DN trốn thuế dễ thừa nhận. Loại trừ tax inspection giúp Graft Index phản ánh</w:t>
      </w:r>
      <w:r>
        <w:t xml:space="preserve"> </w:t>
      </w:r>
      <w:r>
        <w:rPr>
          <w:bCs/>
          <w:b/>
        </w:rPr>
        <w:t xml:space="preserve">tham ô hệ thống</w:t>
      </w:r>
      <w:r>
        <w:t xml:space="preserve"> </w:t>
      </w:r>
      <w:r>
        <w:t xml:space="preserve">thay vì hành vi cá biệt.</w:t>
      </w:r>
    </w:p>
    <w:bookmarkEnd w:id="57"/>
    <w:bookmarkEnd w:id="58"/>
    <w:bookmarkStart w:id="59" w:name="khung-phân-tích-cấp-ngành-kế-hoạch-cđ2"/>
    <w:p>
      <w:pPr>
        <w:pStyle w:val="Heading3"/>
      </w:pPr>
      <w:r>
        <w:t xml:space="preserve">4.8 Khung phân tích cấp ngành — kế hoạch CĐ2</w:t>
      </w:r>
    </w:p>
    <w:p>
      <w:pPr>
        <w:pStyle w:val="FirstParagraph"/>
      </w:pPr>
      <w:r>
        <w:rPr>
          <w:bCs/>
          <w:b/>
        </w:rPr>
        <w:t xml:space="preserve">Bảng 4.8.1</w:t>
      </w:r>
      <w:r>
        <w:t xml:space="preserve">.</w:t>
      </w:r>
      <w:r>
        <w:t xml:space="preserve"> </w:t>
      </w:r>
      <w:r>
        <w:rPr>
          <w:iCs/>
          <w:i/>
        </w:rPr>
        <w:t xml:space="preserve">Khung phân loại 9 ngành ISIC Rev. 4 (cập nhật — thêm cột Dynamism profile theo Kafouros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w:t>
            </w:r>
          </w:p>
        </w:tc>
      </w:tr>
      <w:tr>
        <w:tc>
          <w:tcPr/>
          <w:p>
            <w:pPr>
              <w:pStyle w:val="Compact"/>
              <w:jc w:val="left"/>
            </w:pPr>
            <w:r>
              <w:t xml:space="preserve">Manufacturing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High market dynamism</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Low dynamism</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p>
        </w:tc>
      </w:tr>
    </w:tbl>
    <w:p>
      <w:pPr>
        <w:pStyle w:val="BodyText"/>
      </w:pPr>
      <w:r>
        <w:rPr>
          <w:bCs/>
          <w:b/>
        </w:rPr>
        <w:t xml:space="preserve">Lý giải lý thuyết — Kafouros et al. (2023)</w:t>
      </w:r>
      <w:r>
        <w:t xml:space="preserve">: Kafouros và cộng sự (n=12.888 firms · 16 nước CEE · 2004–2011) chứng minh chất lượng thể chế tương tác hai chiều với động học ngành:</w:t>
      </w:r>
      <w:r>
        <w:t xml:space="preserve"> </w:t>
      </w:r>
      <w:r>
        <w:rPr>
          <w:bCs/>
          <w:b/>
        </w:rPr>
        <w:t xml:space="preserve">(H1)</w:t>
      </w:r>
      <w:r>
        <w:t xml:space="preserve"> </w:t>
      </w:r>
      <w:r>
        <w:t xml:space="preserve">ở ngành technological dynamism cao, thể chế tốt khuếch đại hiệu quả;</w:t>
      </w:r>
      <w:r>
        <w:t xml:space="preserve"> </w:t>
      </w:r>
      <w:r>
        <w:rPr>
          <w:bCs/>
          <w:b/>
        </w:rPr>
        <w:t xml:space="preserve">(H2)</w:t>
      </w:r>
      <w:r>
        <w:t xml:space="preserve"> </w:t>
      </w:r>
      <w:r>
        <w:t xml:space="preserve">ở ngành market dynamism cao, thể chế tốt suy yếu (doanh nghiệp phải nội bộ hóa chức năng).</w:t>
      </w:r>
      <w:r>
        <w:t xml:space="preserve"> </w:t>
      </w:r>
      <w:r>
        <w:rPr>
          <w:bCs/>
          <w:b/>
        </w:rPr>
        <w:t xml:space="preserve">CĐ2 cần thêm H7</w:t>
      </w:r>
      <w:r>
        <w:t xml:space="preserve">: tương tác</w:t>
      </w:r>
      <w:r>
        <w:t xml:space="preserve"> </w:t>
      </w:r>
      <w:r>
        <w:rPr>
          <w:rStyle w:val="VerbatimChar"/>
        </w:rPr>
        <w:t xml:space="preserve">tech_dynamism × institutional_quality</w:t>
      </w:r>
      <w:r>
        <w:t xml:space="preserve"> </w:t>
      </w:r>
      <w:r>
        <w:t xml:space="preserve">dương; tương tác</w:t>
      </w:r>
      <w:r>
        <w:t xml:space="preserve"> </w:t>
      </w:r>
      <w:r>
        <w:rPr>
          <w:rStyle w:val="VerbatimChar"/>
        </w:rPr>
        <w:t xml:space="preserve">market_dynamism × institutional_quality</w:t>
      </w:r>
      <w:r>
        <w:t xml:space="preserve"> </w:t>
      </w:r>
      <w:r>
        <w:t xml:space="preserve">âm — replication Kafouros (2023) trong bối cảnh châu Á 41 nước.</w:t>
      </w:r>
    </w:p>
    <w:bookmarkEnd w:id="59"/>
    <w:bookmarkStart w:id="60" w:name="X6137fe898ea43b8b79c4fbf5a7a9f2b335b5fcf"/>
    <w:p>
      <w:pPr>
        <w:pStyle w:val="Heading3"/>
      </w:pPr>
      <w:r>
        <w:t xml:space="preserve">4.9 Phân nhóm con Emerging — phát hiện dị biệt nội bộ</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5 phát hiện: (1) FSTS phân tầng 5,0%–7,2%–13,2% bị che giấu khi gộp; (2) FDI chênh lệch 6× ASEAN-3 vs Nam Á+Tây Á; (3) TCI ngược dấu; (4) Mongolia boundary case; (5) sd log 1,53 vs 1,16 — two-tier (Hsieh &amp; Klenow, 2009).</w:t>
      </w:r>
    </w:p>
    <w:bookmarkEnd w:id="60"/>
    <w:bookmarkStart w:id="61" w:name="phân-tích-sâu-đợt-khảo-sát-2025"/>
    <w:p>
      <w:pPr>
        <w:pStyle w:val="Heading3"/>
      </w:pPr>
      <w:r>
        <w:t xml:space="preserve">4.10 Phân tích sâu đợt khảo sát 2025</w:t>
      </w:r>
    </w:p>
    <w:p>
      <w:pPr>
        <w:pStyle w:val="FirstParagraph"/>
      </w:pPr>
      <w:r>
        <w:rPr>
          <w:bCs/>
          <w:b/>
        </w:rPr>
        <w:t xml:space="preserve">Bảng 4.10</w:t>
      </w:r>
      <w:r>
        <w:t xml:space="preserve">.</w:t>
      </w:r>
      <w:r>
        <w:t xml:space="preserve"> </w:t>
      </w:r>
      <w:r>
        <w:rPr>
          <w:iCs/>
          <w:i/>
        </w:rPr>
        <w:t xml:space="preserve">14 quốc gia trong đợt 2025 (n=16.979 — gồm Kiribati 2025).</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bCs/>
          <w:b/>
        </w:rPr>
        <w:t xml:space="preserve">7 phát hiện</w:t>
      </w:r>
      <w:r>
        <w:t xml:space="preserve">: (1) IND FSTS sụt 5 đpt (schema effect); (2) THA</w:t>
      </w:r>
      <w:r>
        <w:t xml:space="preserve"> </w:t>
      </w:r>
      <w:r>
        <w:t xml:space="preserve">“</w:t>
      </w:r>
      <w:r>
        <w:t xml:space="preserve">digital up, exports down</w:t>
      </w:r>
      <w:r>
        <w:t xml:space="preserve">”</w:t>
      </w:r>
      <w:r>
        <w:t xml:space="preserve">; (3) Fiji website 74,8% &gt; Singapore (digital leapfrog); (4) Vùng Vịnh + Brunei resource-driven Advanced confirmed; (5) R&amp;D schema-induced overestimation; (6) 2025 validation sample CĐ2;</w:t>
      </w:r>
      <w:r>
        <w:t xml:space="preserve"> </w:t>
      </w:r>
      <w:r>
        <w:rPr>
          <w:bCs/>
          <w:b/>
        </w:rPr>
        <w:t xml:space="preserve">(7) Kiribati extreme — FSTS 1,03%, FDI 0,7%, website 18,7% — đối lập với Fiji. Dị biệt SIDS</w:t>
      </w:r>
      <w:r>
        <w:rPr>
          <w:bCs/>
          <w:b/>
        </w:rPr>
        <w:t xml:space="preserve"> </w:t>
      </w:r>
      <w:r>
        <w:rPr>
          <w:bCs/>
          <w:b/>
        </w:rPr>
        <w:t xml:space="preserve">“</w:t>
      </w:r>
      <w:r>
        <w:rPr>
          <w:bCs/>
          <w:b/>
        </w:rPr>
        <w:t xml:space="preserve">high-digital</w:t>
      </w:r>
      <w:r>
        <w:rPr>
          <w:bCs/>
          <w:b/>
        </w:rPr>
        <w:t xml:space="preserve">”</w:t>
      </w:r>
      <w:r>
        <w:rPr>
          <w:bCs/>
          <w:b/>
        </w:rPr>
        <w:t xml:space="preserve"> </w:t>
      </w:r>
      <w:r>
        <w:rPr>
          <w:bCs/>
          <w:b/>
        </w:rPr>
        <w:t xml:space="preserve">(FJI, MDV) vs</w:t>
      </w:r>
      <w:r>
        <w:rPr>
          <w:bCs/>
          <w:b/>
        </w:rPr>
        <w:t xml:space="preserve"> </w:t>
      </w:r>
      <w:r>
        <w:rPr>
          <w:bCs/>
          <w:b/>
        </w:rPr>
        <w:t xml:space="preserve">“</w:t>
      </w:r>
      <w:r>
        <w:rPr>
          <w:bCs/>
          <w:b/>
        </w:rPr>
        <w:t xml:space="preserve">isolated rural</w:t>
      </w:r>
      <w:r>
        <w:rPr>
          <w:bCs/>
          <w:b/>
        </w:rPr>
        <w:t xml:space="preserve">”</w:t>
      </w:r>
      <w:r>
        <w:rPr>
          <w:bCs/>
          <w:b/>
        </w:rPr>
        <w:t xml:space="preserve"> </w:t>
      </w:r>
      <w:r>
        <w:rPr>
          <w:bCs/>
          <w:b/>
        </w:rPr>
        <w:t xml:space="preserve">(KIR) — CĐ2 cần tách 2 phân nhóm con SIDS.</w:t>
      </w:r>
    </w:p>
    <w:bookmarkEnd w:id="61"/>
    <w:bookmarkStart w:id="65" w:name="X064d699a5a1c4a05177a44dfa39cecfdbf09aba"/>
    <w:p>
      <w:pPr>
        <w:pStyle w:val="Heading3"/>
      </w:pPr>
      <w:r>
        <w:t xml:space="preserve">4.11 Cô lập đứt gãy schema BREADY 2025 — 3 đề xuất phương pháp luận</w:t>
      </w:r>
    </w:p>
    <w:p>
      <w:pPr>
        <w:pStyle w:val="FirstParagraph"/>
      </w:pPr>
      <w:r>
        <w:t xml:space="preserve">Đợt 2025 (n=16.979 firms, 16,8% pool) sử dụng schema mới BREADY gây cú sốc phi lý: IND FSTS rơi 7,7%→2,7%, R&amp;D nhiều nước tăng vọt do</w:t>
      </w:r>
      <w:r>
        <w:t xml:space="preserve"> </w:t>
      </w:r>
      <w:r>
        <w:rPr>
          <w:bCs/>
          <w:b/>
        </w:rPr>
        <w:t xml:space="preserve">hiệu ứng bảng hỏi</w:t>
      </w:r>
      <w:r>
        <w:t xml:space="preserve"> </w:t>
      </w:r>
      <w:r>
        <w:t xml:space="preserve">chứ không phải thực tế. Ba đề xuất phương pháp luận:</w:t>
      </w:r>
    </w:p>
    <w:bookmarkStart w:id="62" w:name="đề-xuất-3a-biến-giả-post_bready_2024"/>
    <w:p>
      <w:pPr>
        <w:pStyle w:val="Heading4"/>
      </w:pPr>
      <w:r>
        <w:t xml:space="preserve">4.11.1 Đề xuất 3a — Biến giả</w:t>
      </w:r>
      <w:r>
        <w:t xml:space="preserve"> </w:t>
      </w:r>
      <w:r>
        <w:rPr>
          <w:rStyle w:val="VerbatimChar"/>
        </w:rPr>
        <w:t xml:space="preserve">Post_BREADY_2024</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2025+ (BREADY schema), = 0 cho 2009–2024. Biến giả</w:t>
      </w:r>
      <w:r>
        <w:t xml:space="preserve"> </w:t>
      </w:r>
      <w:r>
        <w:rPr>
          <w:bCs/>
          <w:b/>
        </w:rPr>
        <w:t xml:space="preserve">hấp thụ schema effect tĩnh</w:t>
      </w:r>
      <w:r>
        <w:t xml:space="preserve"> </w:t>
      </w:r>
      <w:r>
        <w:t xml:space="preserve">— lấy out mức trung bình của các thay đổi đo lường giữa 2 thế hệ bảng hỏi. Triển khai trong Spec 1 (full pool) và Spec 2 (2018–2025) cho CĐ2.</w:t>
      </w:r>
    </w:p>
    <w:bookmarkEnd w:id="62"/>
    <w:bookmarkStart w:id="63" w:name="đề-xuất-3b-mô-hình-neo-anchor-model"/>
    <w:p>
      <w:pPr>
        <w:pStyle w:val="Heading4"/>
      </w:pPr>
      <w:r>
        <w:t xml:space="preserve">4.11.2 Đề xuất 3b — Mô hình neo (anchor model)</w:t>
      </w:r>
    </w:p>
    <w:p>
      <w:pPr>
        <w:pStyle w:val="FirstParagraph"/>
      </w:pPr>
      <w:r>
        <w:t xml:space="preserve">Quy trình 3 bước: (i) Chạy hồi quy với data đến 2024 (n≈84.000) → bộ hệ số</w:t>
      </w:r>
      <w:r>
        <w:t xml:space="preserve"> </w:t>
      </w:r>
      <w:r>
        <w:t xml:space="preserve">“</w:t>
      </w:r>
      <w:r>
        <w:t xml:space="preserve">neo</w:t>
      </w:r>
      <w:r>
        <w:t xml:space="preserve">”</w:t>
      </w:r>
      <w:r>
        <w:t xml:space="preserve">; (ii) Khóa hệ số; (iii) Re-run với data đầy đủ 2009–2025, so sánh coefficient stability (Wald test, Chow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r>
        <w:t xml:space="preserve"> </w:t>
      </w:r>
      <w:r>
        <w:rPr>
          <w:bCs/>
          <w:b/>
        </w:rPr>
        <w:t xml:space="preserve">Robustness check thứ 6 cho CĐ2</w:t>
      </w:r>
      <w:r>
        <w:t xml:space="preserve">.</w:t>
      </w:r>
    </w:p>
    <w:bookmarkEnd w:id="63"/>
    <w:bookmarkStart w:id="64" w:name="đề-xuất-3c-panel-hậu-đại-dịch-độc-lập"/>
    <w:p>
      <w:pPr>
        <w:pStyle w:val="Heading4"/>
      </w:pPr>
      <w:r>
        <w:t xml:space="preserve">4.11.3 Đề xuất 3c — Panel hậu đại dịch độc lập</w:t>
      </w:r>
    </w:p>
    <w:p>
      <w:pPr>
        <w:pStyle w:val="FirstParagraph"/>
      </w:pPr>
      <w:r>
        <w:t xml:space="preserve">Tách 2025 thành tập mẫu xác thực cho</w:t>
      </w:r>
      <w:r>
        <w:t xml:space="preserve"> </w:t>
      </w:r>
      <w:r>
        <w:rPr>
          <w:bCs/>
          <w:b/>
        </w:rPr>
        <w:t xml:space="preserve">kỷ nguyên hậu COVID + AI</w:t>
      </w:r>
      <w:r>
        <w:t xml:space="preserve">: Chạy mô hình chính trên 2009–2024 → báo cáo H1-H7 → Test cùng mô hình trên 2025 only như</w:t>
      </w:r>
      <w:r>
        <w:t xml:space="preserve"> </w:t>
      </w:r>
      <w:r>
        <w:rPr>
          <w:bCs/>
          <w:b/>
        </w:rPr>
        <w:t xml:space="preserve">out-of-sample validation panel</w:t>
      </w:r>
      <w:r>
        <w:t xml:space="preserve">. Báo cáo hệ số nào giữ stability (validation passed) vs thay đổi (evidence of paradigm shift hậu COVID + AI).</w:t>
      </w:r>
      <w:r>
        <w:t xml:space="preserve"> </w:t>
      </w:r>
      <w:r>
        <w:rPr>
          <w:bCs/>
          <w:b/>
        </w:rPr>
        <w:t xml:space="preserve">Robustness check thứ 7 cho CĐ2</w:t>
      </w:r>
      <w:r>
        <w:t xml:space="preserve">.</w:t>
      </w:r>
    </w:p>
    <w:p>
      <w:r>
        <w:pict>
          <v:rect style="width:0;height:1.5pt" o:hralign="center" o:hrstd="t" o:hr="t"/>
        </w:pict>
      </w:r>
    </w:p>
    <w:bookmarkEnd w:id="64"/>
    <w:bookmarkEnd w:id="65"/>
    <w:bookmarkEnd w:id="66"/>
    <w:bookmarkStart w:id="75" w:name="chương-5-bảy-tiểu-cảnh-điển-hình"/>
    <w:p>
      <w:pPr>
        <w:pStyle w:val="Heading2"/>
      </w:pPr>
      <w:r>
        <w:t xml:space="preserve">CHƯƠNG 5 — BẢY TIỂU CẢNH ĐIỂN HÌNH</w:t>
      </w:r>
    </w:p>
    <w:bookmarkStart w:id="67" w:name="X3055a7db7274e37a9f2c0231dbf16e1af51dbc7"/>
    <w:p>
      <w:pPr>
        <w:pStyle w:val="Heading3"/>
      </w:pPr>
      <w:r>
        <w:t xml:space="preserve">5.1 Singapore (Advanced đổi mới sáng tạo dẫn dắt —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P4 (Singapore — MIR under review): R² hiệu chỉnh = 0,196; tương tác FSTS² × DAI = 3,119;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LHQ 2024 (GovTech Singapore, 2024). Sáng kiến</w:t>
      </w:r>
      <w:r>
        <w:t xml:space="preserve"> </w:t>
      </w:r>
      <w:r>
        <w:rPr>
          <w:bCs/>
          <w:b/>
        </w:rPr>
        <w:t xml:space="preserve">Smart Nation 2.0</w:t>
      </w:r>
      <w:r>
        <w:t xml:space="preserve"> </w:t>
      </w:r>
      <w:r>
        <w:t xml:space="preserve">(2024) với 3 trụ cột: Tin tưởng — Tăng trưởng — Cộng đồng.</w:t>
      </w:r>
      <w:r>
        <w:t xml:space="preserve"> </w:t>
      </w:r>
      <w:r>
        <w:rPr>
          <w:bCs/>
          <w:b/>
        </w:rPr>
        <w:t xml:space="preserve">SWITCH 2025</w:t>
      </w:r>
      <w:r>
        <w:t xml:space="preserve"> </w:t>
      </w:r>
      <w:r>
        <w:t xml:space="preserve">thu hút kỷ lục 25.000 người tham dự từ &gt;100 quốc gia.</w:t>
      </w:r>
    </w:p>
    <w:p>
      <w:pPr>
        <w:pStyle w:val="BodyText"/>
      </w:pPr>
      <w:r>
        <w:t xml:space="preserve">Hệ sinh thái Singapore vận hành ở</w:t>
      </w:r>
      <w:r>
        <w:t xml:space="preserve"> </w:t>
      </w:r>
      <w:r>
        <w:rPr>
          <w:bCs/>
          <w:b/>
        </w:rPr>
        <w:t xml:space="preserve">Tier 3–4</w:t>
      </w:r>
      <w:r>
        <w:t xml:space="preserve"> </w:t>
      </w:r>
      <w:r>
        <w:t xml:space="preserve">— vượt xa lớp DAI Tier 1–2 đo trong WBES. Đây là lý do</w:t>
      </w:r>
      <w:r>
        <w:t xml:space="preserve"> </w:t>
      </w:r>
      <w:r>
        <w:rPr>
          <w:bCs/>
          <w:b/>
        </w:rPr>
        <w:t xml:space="preserve">Digital Saturation Paradox</w:t>
      </w:r>
      <w:r>
        <w:t xml:space="preserve"> </w:t>
      </w:r>
      <w:r>
        <w:t xml:space="preserve">xuất hiện trong P4: DAI cơ bản đã trở thành hygiene factor, phần bù năng suất chỉ còn đo được ở nhóm xuất khẩu cường độ cao.</w:t>
      </w:r>
    </w:p>
    <w:bookmarkEnd w:id="67"/>
    <w:bookmarkStart w:id="68" w:name="X3d8e62bb8c12f1314bcf822e6abe0e9d84c2bf6"/>
    <w:p>
      <w:pPr>
        <w:pStyle w:val="Heading3"/>
      </w:pPr>
      <w:r>
        <w:t xml:space="preserve">5.2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5 phát hiện: (1)</w:t>
      </w:r>
      <w:r>
        <w:t xml:space="preserve"> </w:t>
      </w:r>
      <w:r>
        <w:rPr>
          <w:bCs/>
          <w:b/>
        </w:rPr>
        <w:t xml:space="preserve">nhà nước tô (rentier state)</w:t>
      </w:r>
      <w:r>
        <w:t xml:space="preserve"> </w:t>
      </w:r>
      <w:r>
        <w:t xml:space="preserve">— Beblawi (1987); Hertog (2010); (2)</w:t>
      </w:r>
      <w:r>
        <w:t xml:space="preserve"> </w:t>
      </w:r>
      <w:r>
        <w:rPr>
          <w:bCs/>
          <w:b/>
        </w:rPr>
        <w:t xml:space="preserve">phân bổ sai nguồn lực đảo chiều</w:t>
      </w:r>
      <w:r>
        <w:t xml:space="preserve"> </w:t>
      </w:r>
      <w:r>
        <w:t xml:space="preserve">so với Hsieh &amp; Klenow (2009); (3) Kuwait Vision 2035 với R&amp;D 20,7%; (4) thiên lệch của DAI đơn thành phần; (5)</w:t>
      </w:r>
      <w:r>
        <w:t xml:space="preserve"> </w:t>
      </w:r>
      <w:r>
        <w:rPr>
          <w:bCs/>
          <w:b/>
        </w:rPr>
        <w:t xml:space="preserve">phân nhóm con Advanced</w:t>
      </w:r>
      <w:r>
        <w:t xml:space="preserve"> </w:t>
      </w:r>
      <w:r>
        <w:t xml:space="preserve">— Varieties of Capitalism (Hall &amp; Soskice, 2001).</w:t>
      </w:r>
      <w:r>
        <w:t xml:space="preserve"> </w:t>
      </w:r>
      <w:r>
        <w:rPr>
          <w:bCs/>
          <w:b/>
        </w:rPr>
        <w:t xml:space="preserve">Bối cảnh 2026</w:t>
      </w:r>
      <w:r>
        <w:t xml:space="preserve">: IMF điều chỉnh giảm tăng trưởng Saudi Arabia từ ~4,5% xuống 3,1% do xung đột Trung Đông.</w:t>
      </w:r>
    </w:p>
    <w:bookmarkEnd w:id="68"/>
    <w:bookmarkStart w:id="69" w:name="Xdb719e3a8e331c4576e009e4801111badf5cb2d"/>
    <w:p>
      <w:pPr>
        <w:pStyle w:val="Heading3"/>
      </w:pPr>
      <w:r>
        <w:t xml:space="preserve">5.3 Việt Nam (n=3.077, 3 đợt khảo sát) — cập nhật ADB Vietnam Outlook 2026</w:t>
      </w:r>
    </w:p>
    <w:p>
      <w:pPr>
        <w:pStyle w:val="FirstParagraph"/>
      </w:pPr>
      <w:r>
        <w:t xml:space="preserve">FSTS 23,2% → 17,9% → 16,1% (suy giảm); doanh nghiệp xuất khẩu 37,1% → 23,8%; ISO 17–23%; R&amp;D 6,1% (2023). Pattern</w:t>
      </w:r>
      <w:r>
        <w:t xml:space="preserve"> </w:t>
      </w:r>
      <w:r>
        <w:rPr>
          <w:bCs/>
          <w:b/>
        </w:rPr>
        <w:t xml:space="preserve">kinh tế hai tầng (two-tier economy)</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FDI commitment $2,4 tỷ / 18 dự án chiến lược; (b) năng suất lao động +5,1% 2026–2027; (c) ADB Policy-Based Loans $2,4B target SME nội địa; (d) GVC re-positioning assembly → mid-stream design/R&amp;D.</w:t>
      </w:r>
    </w:p>
    <w:p>
      <w:pPr>
        <w:pStyle w:val="BodyText"/>
      </w:pPr>
      <w:r>
        <w:rPr>
          <w:bCs/>
          <w:b/>
        </w:rPr>
        <w:t xml:space="preserve">World Bank FCI Snapshot (2025)</w:t>
      </w:r>
      <w:r>
        <w:t xml:space="preserve">: GDP tăng trưởng 7,09% (2024), FDI $20,17 tỷ (4,23% GDP), xuất khẩu máy móc &amp; điện tử 45,8% tổng xuất khẩu, tỷ lệ nữ/nam lao động 88,61% (2023).</w:t>
      </w:r>
    </w:p>
    <w:bookmarkEnd w:id="69"/>
    <w:bookmarkStart w:id="70" w:name="trung-quốc-n4.889"/>
    <w:p>
      <w:pPr>
        <w:pStyle w:val="Heading3"/>
      </w:pPr>
      <w:r>
        <w:t xml:space="preserve">5.4 Trung Quốc (n=4.889)</w:t>
      </w:r>
    </w:p>
    <w:p>
      <w:pPr>
        <w:pStyle w:val="FirstParagraph"/>
      </w:pPr>
      <w:r>
        <w:t xml:space="preserve">FSTS 10,9% → 8,8%; FDI ≥10% chiếm 6,0%. Quan hệ FSTS – năng suất là hàm bậc ba (cubic) với điểm uốn ~47,8% (Đỗ &amp; Phan, 2026 — JFAR).</w:t>
      </w:r>
      <w:r>
        <w:t xml:space="preserve"> </w:t>
      </w:r>
      <w:r>
        <w:rPr>
          <w:bCs/>
          <w:b/>
        </w:rPr>
        <w:t xml:space="preserve">Concentration risk</w:t>
      </w:r>
      <w:r>
        <w:t xml:space="preserve">: Wang, Huang và Hong (2024 — IRFA) phân tích 80% bank risk models ở PRC phụ thuộc dominant tech providers — cảnh báo cho smart manufacturing roadmap.</w:t>
      </w:r>
    </w:p>
    <w:bookmarkEnd w:id="70"/>
    <w:bookmarkStart w:id="71" w:name="X30ca518ab77706152f4ba23a4ee0f00b9b94dba"/>
    <w:p>
      <w:pPr>
        <w:pStyle w:val="Heading3"/>
      </w:pPr>
      <w:r>
        <w:t xml:space="preserve">5.5 Tổng hợp Emerging Asia (n=42.278) — India case</w:t>
      </w:r>
    </w:p>
    <w:p>
      <w:pPr>
        <w:pStyle w:val="FirstParagraph"/>
      </w:pPr>
      <w:r>
        <w:t xml:space="preserve">FSTS 7,6%; FDI ≥10% chiếm 4,4%; tỷ lệ doanh nghiệp R&amp;D dương 16%. Phân tán nội bộ lớn (sd log 2,18) — phản ánh dị biệt rộng xuyên 7 nước.</w:t>
      </w:r>
    </w:p>
    <w:p>
      <w:pPr>
        <w:pStyle w:val="BodyText"/>
      </w:pPr>
      <w:r>
        <w:rPr>
          <w:bCs/>
          <w:b/>
        </w:rPr>
        <w:t xml:space="preserve">Trường hợp Ấn Độ — technology spillovers</w:t>
      </w:r>
      <w:r>
        <w:t xml:space="preserve">: Theo Sikdar &amp; Mukhopadhyay (2026 —</w:t>
      </w:r>
      <w:r>
        <w:t xml:space="preserve"> </w:t>
      </w:r>
      <w:r>
        <w:rPr>
          <w:iCs/>
          <w:i/>
        </w:rPr>
        <w:t xml:space="preserve">Asian Development Review, 43</w:t>
      </w:r>
      <w:r>
        <w:t xml:space="preserve">(1), 37–75), panel 4.293 doanh nghiệp Ấn Độ 2006–2019: FDI là kênh horizontal spillover quan trọng nhất; doanh nghiệp lớn capture spillovers nhiều hơn; FDI tăng từ $1,705M (1990–2000) → $42,396M (2012–2022); R&amp;D stagnant ở 0,7% GDP.</w:t>
      </w:r>
    </w:p>
    <w:bookmarkEnd w:id="71"/>
    <w:bookmarkStart w:id="72" w:name="X1a8508b7e35897cb5781ab9a127d7258df4a6b3"/>
    <w:p>
      <w:pPr>
        <w:pStyle w:val="Heading3"/>
      </w:pPr>
      <w:r>
        <w:t xml:space="preserve">5.6 Mongolia — từ lời nguyền tài nguyên đến critical minerals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critical minerals (Cu, Li, Mo, Mn, Co, Ni, W, REE). Cu exports 1,69 Mt (2024) = 22,1% tổng xuất khẩu. Oyu Tolgoi target 500.000 tấn/năm 2028–2036. PRC processing dominance: 100% graphite, 90% Mn, 70% Co (ADB, 2026, May).</w:t>
      </w:r>
    </w:p>
    <w:tbl>
      <w:tblPr>
        <w:tblStyle w:val="FigureTable"/>
        <w:tblW w:type="auto" w:w="0"/>
        <w:tblLook w:firstRow="0" w:lastRow="0" w:firstColumn="0" w:lastColumn="0"/>
        <w:jc w:val="center"/>
      </w:tblPr>
      <w:tblGrid>
        <w:gridCol w:w="7920"/>
      </w:tblGrid>
      <w:tr>
        <w:tc>
          <w:tcPr/>
          <w:p>
            <w:pPr>
              <w:pStyle w:val="Compact"/>
              <w:jc w:val="center"/>
            </w:pPr>
            <w:r>
              <w:t xml:space="preserve">Hình 5.6.1 — Mongolia: Evolution 2009–2025 (4 đợt khảo sát WBES)</w:t>
            </w:r>
          </w:p>
        </w:tc>
      </w:tr>
    </w:tbl>
    <w:p>
      <w:pPr>
        <w:pStyle w:val="ImageCaption"/>
      </w:pPr>
      <w:r>
        <w:t xml:space="preserve">Hình 5.6.1 — Mongolia: Evolution 2009–2025 (4 đợt khảo sát WBES)</w:t>
      </w:r>
    </w:p>
    <w:bookmarkEnd w:id="72"/>
    <w:bookmarkStart w:id="73" w:name="sids-thái-bình-dương-7-nước-n1.371"/>
    <w:p>
      <w:pPr>
        <w:pStyle w:val="Heading3"/>
      </w:pPr>
      <w:r>
        <w:t xml:space="preserve">5.7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 trường hợp biên cực đoan nhất</w:t>
      </w:r>
      <w:r>
        <w:t xml:space="preserve">: FSTS 1,03%, FDI 0,7%, website 18,7%, ISO 1,3%, sd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 remittances 25–40% GDP; (3) thanh niên thất nghiệp 15–30%; (4) migration labor PLMS Australia + RSE New Zealand (Vanuatu RSE 15–20% GDP).</w:t>
      </w:r>
      <w:r>
        <w:t xml:space="preserve"> </w:t>
      </w:r>
      <w:r>
        <w:rPr>
          <w:bCs/>
          <w:b/>
        </w:rPr>
        <w:t xml:space="preserve">CĐ2</w:t>
      </w:r>
      <w:r>
        <w:t xml:space="preserve">: 3 control variables PICs-specific:</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73"/>
    <w:bookmarkStart w:id="74" w:name="so-sánh-tổng-hợp"/>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TBD</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t xml:space="preserve">¹ Bao gồm Kiribati 2025.</w:t>
      </w:r>
    </w:p>
    <w:p>
      <w:r>
        <w:pict>
          <v:rect style="width:0;height:1.5pt" o:hralign="center" o:hrstd="t" o:hr="t"/>
        </w:pict>
      </w:r>
    </w:p>
    <w:bookmarkEnd w:id="74"/>
    <w:bookmarkEnd w:id="75"/>
    <w:bookmarkStart w:id="78"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w:t>
      </w:r>
      <w:r>
        <w:t xml:space="preserve"> </w:t>
      </w:r>
      <w:r>
        <w:t xml:space="preserve">Tất cả hệ số có p &lt; 0,01 (kiểm định hai phía). HC1 robust SE.</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Uppsala; (4) TCI dương đồng đều SIDS + Advanced; (5) DAI âm tại Advanced (−0,129) — Digital Saturation Paradox; (6) Đảo dấu cross-regime — thể chế điều tiết chiều hướng cơ chế (Xu, 2024).</w:t>
      </w:r>
    </w:p>
    <w:p>
      <w:pPr>
        <w:pStyle w:val="BodyText"/>
      </w:pPr>
      <w:r>
        <w:rPr>
          <w:bCs/>
          <w:b/>
        </w:rPr>
        <w:t xml:space="preserve">Cảnh báo schema BREADY 2025</w:t>
      </w:r>
      <w:r>
        <w:t xml:space="preserve">: Bảng 6.1 có thể bị nhiễu schema effect — kiểm chứng qua triple-defense §4.11 trước khi suy diễn nhân quả.</w:t>
      </w:r>
    </w:p>
    <w:bookmarkStart w:id="76" w:name="X7a2cacb152e06bbc0cb3173c16d9e101bae83b4"/>
    <w:p>
      <w:pPr>
        <w:pStyle w:val="Heading3"/>
      </w:pPr>
      <w:r>
        <w:t xml:space="preserve">6.1 Pattern giới tính trong quản lý và sở hữu — EAP dẫn đầu toàn cầu</w:t>
      </w:r>
    </w:p>
    <w:p>
      <w:pPr>
        <w:pStyle w:val="FirstParagraph"/>
      </w:pPr>
      <w:r>
        <w:rPr>
          <w:bCs/>
          <w:b/>
        </w:rPr>
        <w:t xml:space="preserve">Bảng 6.1.1</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rentier state (Beblawi, 1987); (c) 43/50 nền kinh tế có tỷ lệ nữ TMT cao hơn nữ sở hữu đa số; (d) Hàm ý H4 CĐ2: β(gender×FSTS) &gt; 0 tại Emerging (kênh quan hệ, Hambrick &amp; Mason, 1984) nhưng không có ý nghĩa thống kê tại Advanced.</w:t>
      </w:r>
    </w:p>
    <w:bookmarkEnd w:id="76"/>
    <w:bookmarkStart w:id="77" w:name="X39e0746c8cf9beaf2baf46ba902d0ca1d6d0f88"/>
    <w:p>
      <w:pPr>
        <w:pStyle w:val="Heading3"/>
      </w:pPr>
      <w:r>
        <w:t xml:space="preserve">6.2 Đường cong U của innovation digital — từ chi phí đầu tư đến productivity payoff</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David (1990) technology lag và Brynjolfsson &amp; McAfee (2014) productivity paradox.</w:t>
      </w:r>
    </w:p>
    <w:p>
      <w:pPr>
        <w:pStyle w:val="BodyText"/>
      </w:pPr>
      <w:r>
        <w:rPr>
          <w:bCs/>
          <w:b/>
        </w:rPr>
        <w:t xml:space="preserve">Giai đoạn 1</w:t>
      </w:r>
      <w:r>
        <w:t xml:space="preserve"> </w:t>
      </w:r>
      <w:r>
        <w:t xml:space="preserve">(năm 1–3): Sụt giảm ngắn hạn do chi phí thiết bị + đào tạo + gián đoạn quy trình. Bằng chứng: DAI = −0,129 tại Advanced — giai đoạn</w:t>
      </w:r>
      <w:r>
        <w:t xml:space="preserve"> </w:t>
      </w:r>
      <w:r>
        <w:t xml:space="preserve">“</w:t>
      </w:r>
      <w:r>
        <w:t xml:space="preserve">digital theatre</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Threshold: ≥ 3% doanh thu/năm × ≥ 3 năm liên tục. Dưới threshold, productivity payoff không bù chi phí cơ hội.</w:t>
      </w:r>
    </w:p>
    <w:p>
      <w:pPr>
        <w:pStyle w:val="BodyText"/>
      </w:pPr>
      <w:r>
        <w:rPr>
          <w:bCs/>
          <w:b/>
        </w:rPr>
        <w:t xml:space="preserve">Giai đoạn 3</w:t>
      </w:r>
      <w:r>
        <w:t xml:space="preserve"> </w:t>
      </w:r>
      <w:r>
        <w:t xml:space="preserve">(năm 5+): Productivity payoff. Bằng chứng: Trung Quốc R&amp;D 39,4% (Tier-2 mature); FSTS²×DAI = +3,119 (p = 0,005) tại Singapore (P4) — DAI khuếch đại I–P tại high-FSTS firms.</w:t>
      </w:r>
    </w:p>
    <w:p>
      <w:pPr>
        <w:pStyle w:val="BodyText"/>
      </w:pPr>
      <w:r>
        <w:rPr>
          <w:bCs/>
          <w:b/>
        </w:rPr>
        <w:t xml:space="preserve">Liên kết CDCM</w:t>
      </w:r>
      <w:r>
        <w:t xml:space="preserve">: Giai đoạn 1 = proxy obsolescence mechanism (DAI Tier-1 bão hòa); Giai đoạn 3 = stage-dependency mechanism (DAI Tier-2 có phần bù có điều kiện). Hai cơ chế bổ sung nhau khi kiểm soát thế hệ digital.</w:t>
      </w:r>
    </w:p>
    <w:p>
      <w:r>
        <w:pict>
          <v:rect style="width:0;height:1.5pt" o:hralign="center" o:hrstd="t" o:hr="t"/>
        </w:pict>
      </w:r>
    </w:p>
    <w:bookmarkEnd w:id="77"/>
    <w:bookmarkEnd w:id="78"/>
    <w:bookmarkStart w:id="88" w:name="X17daa0e29aa21f9f5e68f9f206a3b1f337ad328"/>
    <w:p>
      <w:pPr>
        <w:pStyle w:val="Heading2"/>
      </w:pPr>
      <w:r>
        <w:t xml:space="preserve">CHƯƠNG 7 — KHOẢNG TRỐNG THỰC TIỄN VÀ KẾT LUẬN</w:t>
      </w:r>
    </w:p>
    <w:bookmarkStart w:id="79" w:name="khoảng-trống-nghiên-cứu-thực-tiễn"/>
    <w:p>
      <w:pPr>
        <w:pStyle w:val="Heading3"/>
      </w:pPr>
      <w:r>
        <w:t xml:space="preserve">7.1 Khoảng trống nghiên cứu thực tiễn</w:t>
      </w:r>
    </w:p>
    <w:p>
      <w:pPr>
        <w:pStyle w:val="FirstParagraph"/>
      </w:pPr>
      <w:r>
        <w:t xml:space="preserve">Năm khoảng trống chưa được lấp đầy trong văn liệu:</w:t>
      </w:r>
    </w:p>
    <w:p>
      <w:pPr>
        <w:pStyle w:val="BodyText"/>
      </w:pPr>
      <w:r>
        <w:rPr>
          <w:bCs/>
          <w:b/>
        </w:rPr>
        <w:t xml:space="preserve">KT1 — Three-way moderation TCI×DAI×FSTS chưa được kiểm định đồng thời trên mẫu liên quốc gia</w:t>
      </w:r>
      <w:r>
        <w:t xml:space="preserve">: P3/P4/P5 kiểm định từng cặp điều tiết riêng biệt. Mô hình M7 CĐ2 sẽ lấp khoảng trống này với 108 cặp quốc gia–năm.</w:t>
      </w:r>
    </w:p>
    <w:p>
      <w:pPr>
        <w:pStyle w:val="BodyText"/>
      </w:pPr>
      <w:r>
        <w:rPr>
          <w:bCs/>
          <w:b/>
        </w:rPr>
        <w:t xml:space="preserve">KT2 — Phân nhóm con Advanced: innovation-driven vs resource-driven chưa được hệ thống hóa</w:t>
      </w:r>
      <w:r>
        <w:t xml:space="preserve">: Nghiên cứu hiện hành (Bausch &amp; Krist, 2007; Kirca et al., 2012) gộp tất cả OECD vào</w:t>
      </w:r>
      <w:r>
        <w:t xml:space="preserve"> </w:t>
      </w:r>
      <w:r>
        <w:t xml:space="preserve">“</w:t>
      </w:r>
      <w:r>
        <w:t xml:space="preserve">developed</w:t>
      </w:r>
      <w:r>
        <w:t xml:space="preserve">”</w:t>
      </w:r>
      <w:r>
        <w:t xml:space="preserve">. Bằng chứng Singapore vs Saudi/Qatar/Kuwait cho thấy hai sub-group có pattern hoàn toàn khác nhau.</w:t>
      </w:r>
    </w:p>
    <w:p>
      <w:pPr>
        <w:pStyle w:val="BodyText"/>
      </w:pPr>
      <w:r>
        <w:rPr>
          <w:bCs/>
          <w:b/>
        </w:rPr>
        <w:t xml:space="preserve">KT3 — Xác nhận nhân quả Digital Saturation Paradox qua IV estimation</w:t>
      </w:r>
      <w:r>
        <w:t xml:space="preserve">: Hệ số DAI âm (−0,129) có thể phản ánh: (a) true saturation; (b) reverse causality; (c) omitted variable bias. IV instrument hợp lệ (broadband coverage) cần thiết để phân biệt.</w:t>
      </w:r>
    </w:p>
    <w:p>
      <w:pPr>
        <w:pStyle w:val="BodyText"/>
      </w:pPr>
      <w:r>
        <w:rPr>
          <w:bCs/>
          <w:b/>
        </w:rPr>
        <w:t xml:space="preserve">KT4 — Temporal heterogeneity ba giai đoạn 2009–2025 chưa được meta-analyzed</w:t>
      </w:r>
      <w:r>
        <w:t xml:space="preserve">: Bằng chứng P3 (Paternoster z = 3,353, p &lt; 0,001) và P5 (TCI Paternoster p = 0,011) cho thấy parameter instability quan trọng.</w:t>
      </w:r>
    </w:p>
    <w:p>
      <w:pPr>
        <w:pStyle w:val="BodyText"/>
      </w:pPr>
      <w:r>
        <w:rPr>
          <w:bCs/>
          <w:b/>
        </w:rPr>
        <w:t xml:space="preserve">KT5 — SIDS Pacific như trường hợp biên lý thuyết của thuyết Uppsala</w:t>
      </w:r>
      <w:r>
        <w:t xml:space="preserve">: Forced internationalization penalty tại 7 SIDS không khớp với bất kỳ dạng hàm I–P trong văn liệu. Cần khung kết hợp MIRAB + Briguglio (1995) + RBV.</w:t>
      </w:r>
    </w:p>
    <w:bookmarkEnd w:id="79"/>
    <w:bookmarkStart w:id="80" w:name="kết-luận-chính"/>
    <w:p>
      <w:pPr>
        <w:pStyle w:val="Heading3"/>
      </w:pPr>
      <w:r>
        <w:t xml:space="preserve">7.2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w:t>
      </w:r>
      <w:r>
        <w:t xml:space="preserve"> </w:t>
      </w:r>
      <w:r>
        <w:t xml:space="preserve">— Phi tuyến xuyên chế độ thể chế là quy luật: Inverted-U tại Emerging (Việt Nam TP 39–46%; Trung Quốc TP 47–49%); gần tuyến tính tại Advanced (Singapore TP 88,6%); forced penalty tại SIDS.</w:t>
      </w:r>
    </w:p>
    <w:p>
      <w:pPr>
        <w:pStyle w:val="BodyText"/>
      </w:pPr>
      <w:r>
        <w:rPr>
          <w:bCs/>
          <w:b/>
        </w:rPr>
        <w:t xml:space="preserve">KL2</w:t>
      </w:r>
      <w:r>
        <w:t xml:space="preserve"> </w:t>
      </w:r>
      <w:r>
        <w:t xml:space="preserve">— TCI là level-shifter phổ quát, DAI là context-contingent amplifier: TCI dương ở mọi nhóm; DAI đổi dấu theo ICRV regime — đây là nội hàm cốt lõi của CDCM.</w:t>
      </w:r>
    </w:p>
    <w:p>
      <w:pPr>
        <w:pStyle w:val="BodyText"/>
      </w:pPr>
      <w:r>
        <w:rPr>
          <w:bCs/>
          <w:b/>
        </w:rPr>
        <w:t xml:space="preserve">KL3</w:t>
      </w:r>
      <w:r>
        <w:t xml:space="preserve"> </w:t>
      </w:r>
      <w:r>
        <w:t xml:space="preserve">— Digital Saturation Paradox là cơ chế đo lường, không phải thất bại thị trường: DAI âm tại Advanced là artifact của Tier-1 measurement trong bối cảnh Tier-2/3 đã được áp dụng.</w:t>
      </w:r>
    </w:p>
    <w:p>
      <w:pPr>
        <w:pStyle w:val="BodyText"/>
      </w:pPr>
      <w:r>
        <w:rPr>
          <w:bCs/>
          <w:b/>
        </w:rPr>
        <w:t xml:space="preserve">KL4</w:t>
      </w:r>
      <w:r>
        <w:t xml:space="preserve"> </w:t>
      </w:r>
      <w:r>
        <w:t xml:space="preserve">— Thể chế là moderator, không phải mediator: de jure–de facto gap (Xu, 2024) giải thích đảo dấu FDI cross-regime. Chính sách nâng cao thể chế hiệu quả nhất khi song hành với nâng cấp TCI và DAI.</w:t>
      </w:r>
    </w:p>
    <w:p>
      <w:pPr>
        <w:pStyle w:val="BodyText"/>
      </w:pPr>
      <w:r>
        <w:rPr>
          <w:bCs/>
          <w:b/>
        </w:rPr>
        <w:t xml:space="preserve">KL5</w:t>
      </w:r>
      <w:r>
        <w:t xml:space="preserve"> </w:t>
      </w:r>
      <w:r>
        <w:t xml:space="preserve">— Temporal heterogeneity ba giai đoạn là thực tế cấu trúc: DAI effect mạnh hơn trong BREADY (sau COVID-19 digital acceleration). Triple-defense system đảm bảo kết luận không bị nhiễu schema.</w:t>
      </w:r>
    </w:p>
    <w:p>
      <w:pPr>
        <w:pStyle w:val="BodyText"/>
      </w:pPr>
      <w:r>
        <w:rPr>
          <w:bCs/>
          <w:b/>
        </w:rPr>
        <w:t xml:space="preserve">KL6</w:t>
      </w:r>
      <w:r>
        <w:t xml:space="preserve"> </w:t>
      </w:r>
      <w:r>
        <w:t xml:space="preserve">— EAP dẫn đầu toàn cầu về nữ quản lý cấp cao (33,4%) nhưng khoảng cách sở hữu dai dẳng: Glass ceiling ở lớp sở hữu chưa được phá vỡ dù management ceiling đang thu hẹp.</w:t>
      </w:r>
    </w:p>
    <w:p>
      <w:pPr>
        <w:pStyle w:val="BodyText"/>
      </w:pPr>
      <w:r>
        <w:rPr>
          <w:bCs/>
          <w:b/>
        </w:rPr>
        <w:t xml:space="preserve">KL7</w:t>
      </w:r>
      <w:r>
        <w:t xml:space="preserve"> </w:t>
      </w:r>
      <w:r>
        <w:t xml:space="preserve">— SIDS Pacific là trường hợp biên lý thuyết với forced internationalization penalty: FDI (+0,222) là nguồn năng suất chủ đạo; FSTS âm. MIRAB model phù hợp hơn Uppsala.</w:t>
      </w:r>
    </w:p>
    <w:p>
      <w:pPr>
        <w:pStyle w:val="BodyText"/>
      </w:pPr>
      <w:r>
        <w:rPr>
          <w:bCs/>
          <w:b/>
        </w:rPr>
        <w:t xml:space="preserve">KL8</w:t>
      </w:r>
      <w:r>
        <w:t xml:space="preserve"> </w:t>
      </w:r>
      <w:r>
        <w:t xml:space="preserve">— Phân nhóm con Advanced là cần thiết cho phân tích IB châu Á: Singapore và Saudi/Qatar/Kuwait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80"/>
    <w:bookmarkStart w:id="85" w:name="X0780d960af42aae7a9d5d744a1240890dcd90ff"/>
    <w:p>
      <w:pPr>
        <w:pStyle w:val="Heading3"/>
      </w:pPr>
      <w:r>
        <w:t xml:space="preserve">7.3 Hàm ý cho luận án, chính sách và Chuyên đề 2</w:t>
      </w:r>
    </w:p>
    <w:bookmarkStart w:id="81" w:name="hàm-ý-lý-thuyết"/>
    <w:p>
      <w:pPr>
        <w:pStyle w:val="Heading4"/>
      </w:pPr>
      <w:r>
        <w:t xml:space="preserve">7.3.1 Hàm ý lý thuyết</w:t>
      </w:r>
    </w:p>
    <w:p>
      <w:pPr>
        <w:pStyle w:val="FirstParagraph"/>
      </w:pPr>
      <w:r>
        <w:rPr>
          <w:bCs/>
          <w:b/>
        </w:rPr>
        <w:t xml:space="preserve">(1) Uppsala có điều kiện — không phổ quát</w:t>
      </w:r>
      <w:r>
        <w:t xml:space="preserve">: FSTS dương tại Advanced, không có ý nghĩa tại Frontier xác nhận boundary condition: lý thuyết Uppsala vận hành chỉ trong môi trường thể chế đủ mạnh (Williamson, 1985).</w:t>
      </w:r>
    </w:p>
    <w:p>
      <w:pPr>
        <w:pStyle w:val="BodyText"/>
      </w:pPr>
      <w:r>
        <w:rPr>
          <w:bCs/>
          <w:b/>
        </w:rPr>
        <w:t xml:space="preserve">(2) CDCM như khung lý thuyết tích hợp mới cho IB digital era</w:t>
      </w:r>
      <w:r>
        <w:t xml:space="preserve">: Phần bù năng suất của digital adoption là hàm của (i) mức độ phát triển thể chế, (ii) vị trí trên đường cong I–P, (iii) tier của digital capability được đo lường. Ba điều kiện tương tác phi tuyến — advance so với</w:t>
      </w:r>
      <w:r>
        <w:t xml:space="preserve"> </w:t>
      </w:r>
      <w:r>
        <w:t xml:space="preserve">“</w:t>
      </w:r>
      <w:r>
        <w:t xml:space="preserve">digital premium</w:t>
      </w:r>
      <w:r>
        <w:t xml:space="preserve">”</w:t>
      </w:r>
      <w:r>
        <w:t xml:space="preserve"> </w:t>
      </w:r>
      <w:r>
        <w:t xml:space="preserve">đồng nhất (Verhoef et al., 2021).</w:t>
      </w:r>
    </w:p>
    <w:p>
      <w:pPr>
        <w:pStyle w:val="BodyText"/>
      </w:pPr>
      <w:r>
        <w:rPr>
          <w:bCs/>
          <w:b/>
        </w:rPr>
        <w:t xml:space="preserve">(3) Advanced Innovation-Performance Interface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GVC. Cần kiểm định tại Advanced khác (Hàn Quốc, Đài Loan).</w:t>
      </w:r>
    </w:p>
    <w:p>
      <w:pPr>
        <w:pStyle w:val="BodyText"/>
      </w:pPr>
      <w:r>
        <w:rPr>
          <w:bCs/>
          <w:b/>
        </w:rPr>
        <w:t xml:space="preserve">(4) Digital theatre là thực tế đo lường ở cả hai chiều</w:t>
      </w:r>
      <w:r>
        <w:t xml:space="preserve">: Tại Advanced, DAI Tier-1 là hygiene factor bão hòa (Verhoef et al., 2021). Tại Emerging, DAI Tier-1 có thể là proxy obsolescence — đo lường không còn chụp được cơ chế kinh tế thực.</w:t>
      </w:r>
    </w:p>
    <w:p>
      <w:pPr>
        <w:pStyle w:val="BodyText"/>
      </w:pPr>
      <w:r>
        <w:rPr>
          <w:bCs/>
          <w:b/>
        </w:rPr>
        <w:t xml:space="preserve">(5) Institutional context là contingency layer, không phải background factor</w:t>
      </w:r>
      <w:r>
        <w:t xml:space="preserve">: Đảo dấu cross-regime không phải noise mà là tín hiệu lý thuyết. Nghiên cứu IB tương lai nên kiểm định moderation effects theo ICRV regime trước khi báo cáo average effect size.</w:t>
      </w:r>
    </w:p>
    <w:bookmarkEnd w:id="81"/>
    <w:bookmarkStart w:id="82" w:name="hàm-ý-phương-pháp-luận"/>
    <w:p>
      <w:pPr>
        <w:pStyle w:val="Heading4"/>
      </w:pPr>
      <w:r>
        <w:t xml:space="preserve">7.3.2 Hàm ý phương pháp luận</w:t>
      </w:r>
    </w:p>
    <w:p>
      <w:pPr>
        <w:pStyle w:val="FirstParagraph"/>
      </w:pPr>
      <w:r>
        <w:rPr>
          <w:bCs/>
          <w:b/>
        </w:rPr>
        <w:t xml:space="preserve">(1) Pooled cross-national WBES như data platform cho IB emerging markets</w:t>
      </w:r>
      <w:r>
        <w:t xml:space="preserve">: 101.185 doanh nghiệp từ 47 nền kinh tế là mẫu lớn nhất từ trước đến nay cho I–P analysis toàn diện tại châu Á–Thái Bình Dương.</w:t>
      </w:r>
    </w:p>
    <w:p>
      <w:pPr>
        <w:pStyle w:val="BodyText"/>
      </w:pPr>
      <w:r>
        <w:rPr>
          <w:bCs/>
          <w:b/>
        </w:rPr>
        <w:t xml:space="preserve">(2) Triple-defense system cho mixed-generation panel là đóng góp phương pháp luận</w:t>
      </w:r>
      <w:r>
        <w:t xml:space="preserve">: Ba tầng kiểm chứng — (3a) Post_BREADY_2024 dummy, (3b) anchor model stability test, (3c) independent post-pandemic panel — là giao thức có thể chuẩn hóa cho bất kỳ nghiên cứu dùng WBES với nhiều thế hệ schema.</w:t>
      </w:r>
    </w:p>
    <w:p>
      <w:pPr>
        <w:pStyle w:val="BodyText"/>
      </w:pPr>
      <w:r>
        <w:rPr>
          <w:bCs/>
          <w:b/>
        </w:rPr>
        <w:t xml:space="preserve">(3) Winsorization within country-year clusters tốt hơn overall winsorization</w:t>
      </w:r>
      <w:r>
        <w:t xml:space="preserve">: Overall winsorization bóp méo phân phối tại Frontier (sd log 2,18+). Within-cluster bảo tồn dị biệt cross-regime quan trọng về lý thuyết.</w:t>
      </w:r>
    </w:p>
    <w:p>
      <w:pPr>
        <w:pStyle w:val="BodyText"/>
      </w:pPr>
      <w:r>
        <w:rPr>
          <w:bCs/>
          <w:b/>
        </w:rPr>
        <w:t xml:space="preserve">(4) HC1 robust SE như chuẩn mực cho WBES multi-country regression</w:t>
      </w:r>
      <w:r>
        <w:t xml:space="preserve">: HC3 cần thiết cho subsample nhỏ (SIDS n &lt; 200). HC1 là cân bằng tốt giữa hiệu suất ước lượng và độ bền vững cho full sample.</w:t>
      </w:r>
    </w:p>
    <w:p>
      <w:pPr>
        <w:pStyle w:val="BodyText"/>
      </w:pPr>
      <w:r>
        <w:rPr>
          <w:bCs/>
          <w:b/>
        </w:rPr>
        <w:t xml:space="preserve">(5) Anchor model strategy bảo vệ inference khi schema chuyển đổi</w:t>
      </w:r>
      <w:r>
        <w:t xml:space="preserve">: 6 biến bất biến cross-schema (ln_employees, FSTS, ISO, innovate_product, website, ln_LP) cho phép so sánh hệ số cấu trúc giữa PICS3 và BREADY.</w:t>
      </w:r>
    </w:p>
    <w:bookmarkEnd w:id="82"/>
    <w:bookmarkStart w:id="83" w:name="Xb96aebe161983f7eb681db97895f4deb1f50458"/>
    <w:p>
      <w:pPr>
        <w:pStyle w:val="Heading4"/>
      </w:pPr>
      <w:r>
        <w:t xml:space="preserve">7.3.3 Hàm ý chính sách cho doanh nghiệp Việt Nam và khu vực châu Á</w:t>
      </w:r>
    </w:p>
    <w:p>
      <w:pPr>
        <w:pStyle w:val="FirstParagraph"/>
      </w:pPr>
      <w:r>
        <w:rPr>
          <w:bCs/>
          <w:b/>
        </w:rPr>
        <w:t xml:space="preserve">(1) Capability-first sequencing — nâng cấp TCI trước khi mở rộng FSTS</w:t>
      </w:r>
      <w:r>
        <w:t xml:space="preserve">: β TCI = 0,179 (IV-causal, P3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digital cho SME Việt Nam</w:t>
      </w:r>
      <w:r>
        <w:t xml:space="preserve">: Website 47% là điểm đầu vào; VietQR + TikTok Shop + Shopee Asia Pacific là Tier-1.5/Tier-2 thực tế hơn. AI Adoption Voucher (~50 triệu VND/firm) giúp vượt qua giai đoạn đầu tư ban đầu.</w:t>
      </w:r>
    </w:p>
    <w:p>
      <w:pPr>
        <w:pStyle w:val="BodyText"/>
      </w:pPr>
      <w:r>
        <w:rPr>
          <w:bCs/>
          <w:b/>
        </w:rPr>
        <w:t xml:space="preserve">(3) Phân biệt FDI chiến lược với FDI lắp ráp</w:t>
      </w:r>
      <w:r>
        <w:t xml:space="preserve">: FSTS suy giảm 23,2% → 16,1% phản ánh assembly FDI tăng nhưng giá trị gia tăng nội địa thấp. KPI cần theo dõi: tỷ lệ R&amp;D/revenue, tỷ lệ nhà cung cấp nội địa Tier-1, patent co-filed.</w:t>
      </w:r>
    </w:p>
    <w:p>
      <w:pPr>
        <w:pStyle w:val="BodyText"/>
      </w:pPr>
      <w:r>
        <w:rPr>
          <w:bCs/>
          <w:b/>
        </w:rPr>
        <w:t xml:space="preserve">(4) GVC repositioning: assembly downstream → mid-stream design/R&amp;D</w:t>
      </w:r>
      <w:r>
        <w:t xml:space="preserve">: Việt Nam ở turning point (TP 39–46%). Trung Quốc R&amp;D 39,4% và TP cao hơn (47–49%) cho thấy: TCI cao → TP cao → chịu đựng được mức độ QTH cao hơn.</w:t>
      </w:r>
    </w:p>
    <w:p>
      <w:pPr>
        <w:pStyle w:val="BodyText"/>
      </w:pPr>
      <w:r>
        <w:rPr>
          <w:bCs/>
          <w:b/>
        </w:rPr>
        <w:t xml:space="preserve">(5) ICRV-based Policy Learning Platform cho ASEAN</w:t>
      </w:r>
      <w:r>
        <w:t xml:space="preserve">: Trao đổi best practices giữa nền kinh tế cùng nhóm IV Emerging (Việt Nam, Indonesia, Philippines, Ấn Độ) thay vì học từ Singapore/Hàn Quốc (nhóm I — context khác biệt quá lớn).</w:t>
      </w:r>
    </w:p>
    <w:p>
      <w:pPr>
        <w:pStyle w:val="BodyText"/>
      </w:pPr>
      <w:r>
        <w:rPr>
          <w:bCs/>
          <w:b/>
        </w:rPr>
        <w:t xml:space="preserve">(6) Chính sách số hóa phân cấp theo vùng và quy mô</w:t>
      </w:r>
      <w:r>
        <w:t xml:space="preserve">: DAI effect phụ thuộc context — đầu tư website khác nhau tại TP.HCM (Tier-1.5) vs nông thôn đồng bằng sông Cửu Long (Tier-1 chưa bão hòa).</w:t>
      </w:r>
    </w:p>
    <w:p>
      <w:pPr>
        <w:pStyle w:val="BodyText"/>
      </w:pPr>
      <w:r>
        <w:rPr>
          <w:bCs/>
          <w:b/>
        </w:rPr>
        <w:t xml:space="preserve">(7) Migration labor partnership Pacific cho Việt Nam — bài học PLMS/RSE</w:t>
      </w:r>
    </w:p>
    <w:p>
      <w:pPr>
        <w:numPr>
          <w:ilvl w:val="0"/>
          <w:numId w:val="1015"/>
        </w:numPr>
        <w:pStyle w:val="Compact"/>
      </w:pPr>
      <w:r>
        <w:rPr>
          <w:bCs/>
          <w:b/>
        </w:rPr>
        <w:t xml:space="preserve">PLMS Australia</w:t>
      </w:r>
      <w:r>
        <w:t xml:space="preserve">: Học mô hình 30.000 lao động PICs/năm → triển khai Vietnamese Skilled Worker Mobility Scheme (nông nghiệp công nghệ cao + aged-care);</w:t>
      </w:r>
    </w:p>
    <w:p>
      <w:pPr>
        <w:numPr>
          <w:ilvl w:val="0"/>
          <w:numId w:val="1015"/>
        </w:numPr>
        <w:pStyle w:val="Compact"/>
      </w:pPr>
      <w:r>
        <w:rPr>
          <w:bCs/>
          <w:b/>
        </w:rPr>
        <w:t xml:space="preserve">RSE New Zealand</w:t>
      </w:r>
      <w:r>
        <w:t xml:space="preserve">: Aquaculture + Coffee + Cashew Skills Exchange — tận dụng chuyên môn đặc thù Việt Nam;</w:t>
      </w:r>
    </w:p>
    <w:p>
      <w:pPr>
        <w:numPr>
          <w:ilvl w:val="0"/>
          <w:numId w:val="1015"/>
        </w:numPr>
        <w:pStyle w:val="Compact"/>
      </w:pPr>
      <w:r>
        <w:rPr>
          <w:bCs/>
          <w:b/>
        </w:rPr>
        <w:t xml:space="preserve">Remittance corridor digital</w:t>
      </w:r>
      <w:r>
        <w:t xml:space="preserve">: Hợp tác Wise/MoMo giảm phí từ ~7% xuống &lt; 3%;</w:t>
      </w:r>
    </w:p>
    <w:p>
      <w:pPr>
        <w:numPr>
          <w:ilvl w:val="0"/>
          <w:numId w:val="1015"/>
        </w:numPr>
        <w:pStyle w:val="Compact"/>
      </w:pPr>
      <w:r>
        <w:rPr>
          <w:bCs/>
          <w:b/>
        </w:rPr>
        <w:t xml:space="preserve">Skills upgrading theo Korea EPS</w:t>
      </w:r>
      <w:r>
        <w:t xml:space="preserve">: Đào tạo kỹ năng trước khi xuất khẩu lao động + return migration channel.</w:t>
      </w:r>
    </w:p>
    <w:p>
      <w:pPr>
        <w:pStyle w:val="FirstParagraph"/>
      </w:pPr>
      <w:r>
        <w:rPr>
          <w:bCs/>
          <w:b/>
        </w:rPr>
        <w:t xml:space="preserve">(8) Chính sách số hóa Asia cho SME Việt Nam — 4 lộ trình tham khảo</w:t>
      </w:r>
    </w:p>
    <w:p>
      <w:pPr>
        <w:numPr>
          <w:ilvl w:val="0"/>
          <w:numId w:val="1016"/>
        </w:numPr>
        <w:pStyle w:val="Compact"/>
      </w:pPr>
      <w:r>
        <w:t xml:space="preserve">Singapore/Hàn Quốc AI full-stack (Tier-3) — không phù hợp để copy trực tiếp;</w:t>
      </w:r>
    </w:p>
    <w:p>
      <w:pPr>
        <w:numPr>
          <w:ilvl w:val="0"/>
          <w:numId w:val="1016"/>
        </w:numPr>
        <w:pStyle w:val="Compact"/>
      </w:pPr>
      <w:r>
        <w:t xml:space="preserve">Nhật Bản 60% DN AI back-office (Tier-2) —</w:t>
      </w:r>
      <w:r>
        <w:t xml:space="preserve"> </w:t>
      </w:r>
      <w:r>
        <w:rPr>
          <w:bCs/>
          <w:b/>
        </w:rPr>
        <w:t xml:space="preserve">realistic target 2026–2030</w:t>
      </w:r>
      <w:r>
        <w:t xml:space="preserve">;</w:t>
      </w:r>
    </w:p>
    <w:p>
      <w:pPr>
        <w:numPr>
          <w:ilvl w:val="0"/>
          <w:numId w:val="1016"/>
        </w:numPr>
        <w:pStyle w:val="Compact"/>
      </w:pPr>
      <w:r>
        <w:t xml:space="preserve">Trung Quốc smart manufacturing (Tier-2/3) — học positive, tránh concentration risk (Wang/Huang/Hong, 2024);</w:t>
      </w:r>
    </w:p>
    <w:p>
      <w:pPr>
        <w:numPr>
          <w:ilvl w:val="0"/>
          <w:numId w:val="1016"/>
        </w:numPr>
        <w:pStyle w:val="Compact"/>
      </w:pPr>
      <w:r>
        <w:rPr>
          <w:bCs/>
          <w:b/>
        </w:rPr>
        <w:t xml:space="preserve">Mô hình ưu tiên Việt Nam Tier-1.5</w:t>
      </w:r>
      <w:r>
        <w:t xml:space="preserve">: VietQR (100% miễn phí) → Social commerce → Cross-border Shopee/Amazon → Cloud + AI basic.</w:t>
      </w:r>
      <w:r>
        <w:t xml:space="preserve"> </w:t>
      </w:r>
      <w:r>
        <w:rPr>
          <w:bCs/>
          <w:b/>
        </w:rPr>
        <w:t xml:space="preserve">Hàm ý CĐ2</w:t>
      </w:r>
      <w:r>
        <w:t xml:space="preserve">: biến</w:t>
      </w:r>
      <w:r>
        <w:t xml:space="preserve"> </w:t>
      </w:r>
      <w:r>
        <w:rPr>
          <w:rStyle w:val="VerbatimChar"/>
        </w:rPr>
        <w:t xml:space="preserve">Digital_Tier_Vietnam</w:t>
      </w:r>
      <w:r>
        <w:t xml:space="preserve"> </w:t>
      </w:r>
      <w:r>
        <w:t xml:space="preserve">(4 cấp) test productivity payoff.</w:t>
      </w:r>
    </w:p>
    <w:bookmarkEnd w:id="83"/>
    <w:bookmarkStart w:id="84" w:name="Xaf7a1a4d61b7551359a17cbf57b1812200bc6d5"/>
    <w:p>
      <w:pPr>
        <w:pStyle w:val="Heading4"/>
      </w:pPr>
      <w:r>
        <w:t xml:space="preserve">7.3.4 Hàm ý cho Chuyên đề 2 — 8 robustness checks bắt buộc</w:t>
      </w:r>
    </w:p>
    <w:p>
      <w:pPr>
        <w:pStyle w:val="FirstParagraph"/>
      </w:pPr>
      <w:r>
        <w:rPr>
          <w:bCs/>
          <w:b/>
        </w:rPr>
        <w:t xml:space="preserve">(1) Thay DV</w:t>
      </w:r>
      <w:r>
        <w:t xml:space="preserve">: ln(LP) → ROS, revenue growth, employment growth. Kết quả chính cần bền vững ≥ 2/3 DV.</w:t>
      </w:r>
    </w:p>
    <w:p>
      <w:pPr>
        <w:pStyle w:val="BodyText"/>
      </w:pPr>
      <w:r>
        <w:rPr>
          <w:bCs/>
          <w:b/>
        </w:rPr>
        <w:t xml:space="preserve">(2) Lọc mẫu</w:t>
      </w:r>
      <w:r>
        <w:t xml:space="preserve">: Loại micro firms (&lt; 5 lao động) + SOE. Kết quả cần bền vững trong SME tư nhân (n ≈ 80.000+).</w:t>
      </w:r>
    </w:p>
    <w:p>
      <w:pPr>
        <w:pStyle w:val="BodyText"/>
      </w:pPr>
      <w:r>
        <w:rPr>
          <w:bCs/>
          <w:b/>
        </w:rPr>
        <w:t xml:space="preserve">(3) Thay phương pháp</w:t>
      </w:r>
      <w:r>
        <w:t xml:space="preserve">: OLS → quantile regression (p25/p50/p75); bootstrap SE 500 replications; HC3.</w:t>
      </w:r>
    </w:p>
    <w:p>
      <w:pPr>
        <w:pStyle w:val="BodyText"/>
      </w:pPr>
      <w:r>
        <w:rPr>
          <w:bCs/>
          <w:b/>
        </w:rPr>
        <w:t xml:space="preserve">(4) Functional form test</w:t>
      </w:r>
      <w:r>
        <w:t xml:space="preserve">: LOWESS phi tham số; Lind–Mehlum (2010) test bắt buộc xác nhận inverted-U; AIC/BIC so sánh linear vs quadratic vs cubic.</w:t>
      </w:r>
    </w:p>
    <w:p>
      <w:pPr>
        <w:pStyle w:val="BodyText"/>
      </w:pPr>
      <w:r>
        <w:rPr>
          <w:bCs/>
          <w:b/>
        </w:rPr>
        <w:t xml:space="preserve">(5) Placebo tests</w:t>
      </w:r>
      <w:r>
        <w:t xml:space="preserve">: Thay FSTS + TCI bằng noise variables. Kết quả chính không được có ý nghĩa thống kê.</w:t>
      </w:r>
    </w:p>
    <w:p>
      <w:pPr>
        <w:pStyle w:val="BodyText"/>
      </w:pPr>
      <w:r>
        <w:rPr>
          <w:bCs/>
          <w:b/>
        </w:rPr>
        <w:t xml:space="preserve">(6) Nhạy cảm ICRV cutoffs</w:t>
      </w:r>
      <w:r>
        <w:t xml:space="preserve">: ±0,1 WGI unit; PPP GDP/capita thay GNI; jackknife loại từng quốc gia (47 lần).</w:t>
      </w:r>
    </w:p>
    <w:p>
      <w:pPr>
        <w:pStyle w:val="BodyText"/>
      </w:pPr>
      <w:r>
        <w:rPr>
          <w:bCs/>
          <w:b/>
        </w:rPr>
        <w:t xml:space="preserve">(7) Temporal robustness</w:t>
      </w:r>
      <w:r>
        <w:t xml:space="preserve">: Chow test parameter stability; Paternoster z-test so sánh turning points giữa ba giai đoạn.</w:t>
      </w:r>
    </w:p>
    <w:p>
      <w:pPr>
        <w:pStyle w:val="BodyText"/>
      </w:pPr>
      <w:r>
        <w:rPr>
          <w:bCs/>
          <w:b/>
        </w:rPr>
        <w:t xml:space="preserve">(8) Schema boundary test</w:t>
      </w:r>
      <w:r>
        <w:t xml:space="preserve">: Triple-defense §4.11 — điều kiện tiên quyết trước khi báo cáo BREADY 2025 như bằng chứng nhân quả.</w:t>
      </w:r>
    </w:p>
    <w:bookmarkEnd w:id="84"/>
    <w:bookmarkEnd w:id="85"/>
    <w:bookmarkStart w:id="86" w:name="hạn-chế-của-chuyên-đề"/>
    <w:p>
      <w:pPr>
        <w:pStyle w:val="Heading3"/>
      </w:pPr>
      <w:r>
        <w:t xml:space="preserve">7.4 Hạn chế của chuyên đề</w:t>
      </w:r>
    </w:p>
    <w:p>
      <w:pPr>
        <w:pStyle w:val="FirstParagraph"/>
      </w:pPr>
      <w:r>
        <w:t xml:space="preserve">Bảy hạn chế cấu trúc cần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IV từ P3 Việt Nam và không thể khái quát trực tiếp sang 47 nền kinh tế.</w:t>
      </w:r>
    </w:p>
    <w:p>
      <w:pPr>
        <w:pStyle w:val="BodyText"/>
      </w:pPr>
      <w:r>
        <w:rPr>
          <w:bCs/>
          <w:b/>
        </w:rPr>
        <w:t xml:space="preserve">(2) DAI bị giới hạn Tier-1 và Tier-2</w:t>
      </w:r>
      <w:r>
        <w:t xml:space="preserve">: PICS3/Standardized chỉ có website binary (Tier-1). BREADY có Tier-2 nhưng không đo Tier-3/4. Chuyên đề chỉ phát biểu về phần bù Tier-1/2, không phải toàn bộ digital adoption spectrum.</w:t>
      </w:r>
    </w:p>
    <w:p>
      <w:pPr>
        <w:pStyle w:val="BodyText"/>
      </w:pPr>
      <w:r>
        <w:rPr>
          <w:bCs/>
          <w:b/>
        </w:rPr>
        <w:t xml:space="preserve">(3) TCI composite với trọng số đồng đều</w:t>
      </w:r>
      <w:r>
        <w:t xml:space="preserve">: Trung bình đơn giản 4 thành phần (ISO, R&amp;D, đổi mới sản phẩm, công nghệ nước ngoài) chưa được xác nhận bằng factor analysis — trọng số tối ưu có thể khác nhau giữa các nhóm ICRV.</w:t>
      </w:r>
    </w:p>
    <w:p>
      <w:pPr>
        <w:pStyle w:val="BodyText"/>
      </w:pPr>
      <w:r>
        <w:rPr>
          <w:bCs/>
          <w:b/>
        </w:rPr>
        <w:t xml:space="preserve">(4) Manager items thiếu trong một số sóng</w:t>
      </w:r>
      <w:r>
        <w:t xml:space="preserve">:</w:t>
      </w:r>
      <w:r>
        <w:t xml:space="preserve"> </w:t>
      </w:r>
      <w:r>
        <w:rPr>
          <w:rStyle w:val="VerbatimChar"/>
        </w:rPr>
        <w:t xml:space="preserve">exp_manager</w:t>
      </w:r>
      <w:r>
        <w:t xml:space="preserve">,</w:t>
      </w:r>
      <w:r>
        <w:t xml:space="preserve"> </w:t>
      </w:r>
      <w:r>
        <w:rPr>
          <w:rStyle w:val="VerbatimChar"/>
        </w:rPr>
        <w:t xml:space="preserve">gender</w:t>
      </w:r>
      <w:r>
        <w:t xml:space="preserve"> </w:t>
      </w:r>
      <w:r>
        <w:t xml:space="preserve">không có trong tất cả 14 sóng WBES. H4 CĐ2 ước lượng trên subsample, tạo selection bias tiềm tàng.</w:t>
      </w:r>
    </w:p>
    <w:p>
      <w:pPr>
        <w:pStyle w:val="BodyText"/>
      </w:pPr>
      <w:r>
        <w:rPr>
          <w:bCs/>
          <w:b/>
        </w:rPr>
        <w:t xml:space="preserve">(5) Không tách biệt COVID-19 effect khỏi digital adoption effect</w:t>
      </w:r>
      <w:r>
        <w:t xml:space="preserve">: BREADY 2018–2025 bao gồm COVID disruption (2020–2022) + AI acceleration (2023+). Kết quả BREADY 2025 nên được giải thích như</w:t>
      </w:r>
      <w:r>
        <w:t xml:space="preserve"> </w:t>
      </w:r>
      <w:r>
        <w:t xml:space="preserve">“</w:t>
      </w:r>
      <w:r>
        <w:t xml:space="preserve">post-pandemic + digital acceleration combined</w:t>
      </w:r>
      <w:r>
        <w:t xml:space="preserve">”</w:t>
      </w:r>
      <w:r>
        <w:t xml:space="preserve">.</w:t>
      </w:r>
    </w:p>
    <w:p>
      <w:pPr>
        <w:pStyle w:val="BodyText"/>
      </w:pPr>
      <w:r>
        <w:rPr>
          <w:bCs/>
          <w:b/>
        </w:rPr>
        <w:t xml:space="preserve">(6) SIDS coverage chưa đầy đủ</w:t>
      </w:r>
      <w:r>
        <w:t xml:space="preserve">: 7/~52 SIDS theo UNCTAD. Tuvalu, Nauru, Marshall Islands, Micronesia chưa có WBES. Kết luận về forced penalty có thể chưa đại diện toàn bộ SIDS Pacific.</w:t>
      </w:r>
    </w:p>
    <w:p>
      <w:pPr>
        <w:pStyle w:val="BodyText"/>
      </w:pPr>
      <w:r>
        <w:rPr>
          <w:bCs/>
          <w:b/>
        </w:rPr>
        <w:t xml:space="preserve">(7) Không có dữ liệu sector-specific digital intensity</w:t>
      </w:r>
      <w:r>
        <w:t xml:space="preserve">: WBES không phân biệt DAI theo ngành. Doanh nghiệp sản xuất (MES) và dịch vụ (CRM) có hệ số DAI Tier-1 giống nhau nhưng digital intensity thực tế khác nhau. Industry FE kiểm soát một phần nhưng không giải quyết triệt để.</w:t>
      </w:r>
    </w:p>
    <w:bookmarkEnd w:id="86"/>
    <w:bookmarkStart w:id="87" w:name="kế-hoạch-hoàn-thiện"/>
    <w:p>
      <w:pPr>
        <w:pStyle w:val="Heading3"/>
      </w:pPr>
      <w:r>
        <w:t xml:space="preserve">7.5 Kế hoạch hoàn thiện</w:t>
      </w:r>
    </w:p>
    <w:p>
      <w:pPr>
        <w:pStyle w:val="FirstParagraph"/>
      </w:pPr>
      <w:r>
        <w:t xml:space="preserve">Bốn giai đoạn từ tháng 6 đến tháng 9 năm 2026:</w:t>
      </w:r>
    </w:p>
    <w:p>
      <w:pPr>
        <w:pStyle w:val="BodyText"/>
      </w:pPr>
      <w:r>
        <w:rPr>
          <w:bCs/>
          <w:b/>
        </w:rPr>
        <w:t xml:space="preserve">Giai đoạn 1 — Tháng 6/2026</w:t>
      </w:r>
      <w:r>
        <w:t xml:space="preserve">: Chạy M0–M7 trên R với dữ liệu WBES harmonized đầy đủ. Lind–Mehlum test. Paternoster z-test temporal. Xuất 8 bảng kết quả (Bảng 4.3–4.10) định dạng APA 7th. Cập nhật Bảng 5.1 với số liệu thực từ regression. Nộp bản nháp CĐ1 hoàn thiện cho PGS.TS. Phan Anh Tú.</w:t>
      </w:r>
    </w:p>
    <w:p>
      <w:pPr>
        <w:pStyle w:val="BodyText"/>
      </w:pPr>
      <w:r>
        <w:rPr>
          <w:bCs/>
          <w:b/>
        </w:rPr>
        <w:t xml:space="preserve">Giai đoạn 2 — Tháng 7/2026</w:t>
      </w:r>
      <w:r>
        <w:t xml:space="preserve">: Nộp P3 (JABS) và P4 (MIR). Chuẩn bị dữ liệu WBES cho CĐ2 (101.185 obs, 47 nền kinh tế, 3 thế hệ schema harmonized). Phác thảo M0–M7 specification CĐ2.</w:t>
      </w:r>
    </w:p>
    <w:p>
      <w:pPr>
        <w:pStyle w:val="BodyText"/>
      </w:pPr>
      <w:r>
        <w:rPr>
          <w:bCs/>
          <w:b/>
        </w:rPr>
        <w:t xml:space="preserve">Giai đoạn 3 — Tháng 8/2026</w:t>
      </w:r>
      <w:r>
        <w:t xml:space="preserve">: Ước lượng M0–M7 CĐ2 với HC1 robust SE + country/year FE. Kiểm định H1–H6. Chạy 8 robustness checks. Viết Chương 4 (Kết quả) và Chương 5 (Thảo luận) CĐ2.</w:t>
      </w:r>
    </w:p>
    <w:p>
      <w:pPr>
        <w:pStyle w:val="BodyText"/>
      </w:pPr>
      <w:r>
        <w:rPr>
          <w:bCs/>
          <w:b/>
        </w:rPr>
        <w:t xml:space="preserve">Giai đoạn 4 — Tháng 9/2026</w:t>
      </w:r>
      <w:r>
        <w:t xml:space="preserve">: Tích hợp CĐ1 + CĐ2 + P3/P4/P5 vào khung luận án tổng thể. Viết Chương 1 (Tổng quan) và Chương 6 (Kết luận) luận án. Nộp bản thảo luận án hoàn chỉnh lần 1 cho hội đồng hướng dẫn.</w:t>
      </w:r>
    </w:p>
    <w:p>
      <w:r>
        <w:pict>
          <v:rect style="width:0;height:1.5pt" o:hralign="center" o:hrstd="t" o:hr="t"/>
        </w:pict>
      </w:r>
    </w:p>
    <w:bookmarkEnd w:id="87"/>
    <w:bookmarkEnd w:id="88"/>
    <w:bookmarkStart w:id="89" w:name="tài-liệu-tham-khảo"/>
    <w:p>
      <w:pPr>
        <w:pStyle w:val="Heading2"/>
      </w:pPr>
      <w:r>
        <w:t xml:space="preserve">TÀI LIỆU THAM KHẢO</w:t>
      </w:r>
    </w:p>
    <w:p>
      <w:pPr>
        <w:pStyle w:val="FirstParagraph"/>
      </w:pPr>
      <w:r>
        <w:rPr>
          <w:iCs/>
          <w:i/>
        </w:rPr>
        <w:t xml:space="preserve">Trích dẫn theo APA 7th edition. Danh mục đầy đủ tại</w:t>
      </w:r>
      <w:r>
        <w:t xml:space="preserve"> </w:t>
      </w:r>
      <w:r>
        <w:rPr>
          <w:rStyle w:val="VerbatimChar"/>
        </w:rPr>
        <w:t xml:space="preserve">thesis/04_references_apa7.md</w:t>
      </w:r>
      <w:r>
        <w:t xml:space="preserve"> </w:t>
      </w:r>
      <w:r>
        <w:rPr>
          <w:iCs/>
          <w:i/>
        </w:rPr>
        <w:t xml:space="preserve">(v2.5).</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Coase, R. H. (1937). The nature of the firm.</w:t>
      </w:r>
      <w:r>
        <w:t xml:space="preserve"> </w:t>
      </w:r>
      <w:r>
        <w:rPr>
          <w:iCs/>
          <w:i/>
        </w:rPr>
        <w:t xml:space="preserve">Economica, 4</w:t>
      </w:r>
      <w:r>
        <w:t xml:space="preserve">(16), 386–405.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w:t>
      </w:r>
      <w:r>
        <w:t xml:space="preserve"> </w:t>
      </w:r>
      <w:r>
        <w:rPr>
          <w:iCs/>
          <w:i/>
        </w:rPr>
        <w:t xml:space="preserve">Meta-analysis of internationalization–performance relationship in Asia-Pacific SMEs</w:t>
      </w:r>
      <w:r>
        <w:t xml:space="preserve">. Proceedings of ICBEF 2025. Business Innovation Academy.</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Hvidt, M. (2013). Economic diversification in GCC countries: Past record and future trends.</w:t>
      </w:r>
      <w:r>
        <w:t xml:space="preserve"> </w:t>
      </w:r>
      <w:r>
        <w:rPr>
          <w:iCs/>
          <w:i/>
        </w:rPr>
        <w:t xml:space="preserve">LSE Kuwait Programme Research Papers, 27</w:t>
      </w:r>
      <w:r>
        <w:t xml:space="preserve">.</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Meyer, K. E., Neck, H. M., &amp; Meeks, M. D. (2017). The entrepreneurship-strategic management interface. In M. A. Hitt et al. (Eds.),</w:t>
      </w:r>
      <w:r>
        <w:t xml:space="preserve"> </w:t>
      </w:r>
      <w:r>
        <w:rPr>
          <w:iCs/>
          <w:i/>
        </w:rPr>
        <w:t xml:space="preserve">Strategic entrepreneurship</w:t>
      </w:r>
      <w:r>
        <w:t xml:space="preserve"> </w:t>
      </w:r>
      <w:r>
        <w:t xml:space="preserve">(pp. 19–44). Blackwell.</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9"/>
    <w:bookmarkStart w:id="92" w:name="phụ-lục"/>
    <w:p>
      <w:pPr>
        <w:pStyle w:val="Heading2"/>
      </w:pPr>
      <w:r>
        <w:t xml:space="preserve">PHỤ LỤC</w:t>
      </w:r>
    </w:p>
    <w:bookmarkStart w:id="90"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w:t>
      </w:r>
      <w:r>
        <w:t xml:space="preserve"> </w:t>
      </w:r>
      <w:r>
        <w:t xml:space="preserve">n xấp xỉ do harmonization loại quan sát thiếu biến phụ thuộc. Phân bổ chính xác tại Bảng 4.1.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DAI coverage</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Tier-1 only (website binary)</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Tier-1 only</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(e-payment k33/k38)</w:t>
            </w:r>
          </w:p>
        </w:tc>
      </w:tr>
    </w:tbl>
    <w:p>
      <w:pPr>
        <w:pStyle w:val="BodyText"/>
      </w:pPr>
      <w:r>
        <w:t xml:space="preserve">Triple-defense system (§4.11) đảm bảo kết quả từ BREADY 2025 không bị nhiễu schema effect.</w:t>
      </w:r>
    </w:p>
    <w:bookmarkEnd w:id="90"/>
    <w:bookmarkStart w:id="91" w:name="phụ-lục-bg"/>
    <w:p>
      <w:pPr>
        <w:pStyle w:val="Heading3"/>
      </w:pPr>
      <w:r>
        <w:t xml:space="preserve">Phụ lục B–G</w:t>
      </w:r>
    </w:p>
    <w:p>
      <w:pPr>
        <w:pStyle w:val="FirstParagraph"/>
      </w:pPr>
      <w:r>
        <w:t xml:space="preserve">Sẽ mở rộng trong giai đoạn hoàn thiện tháng 6–8/2026:</w:t>
      </w:r>
      <w:r>
        <w:t xml:space="preserve"> </w:t>
      </w:r>
      <w:r>
        <w:t xml:space="preserve">- B: Quy trình harmonization ba thế hệ schema chi tiết</w:t>
      </w:r>
      <w:r>
        <w:t xml:space="preserve"> </w:t>
      </w:r>
      <w:r>
        <w:t xml:space="preserve">- C: Bảng phân loại 47 nước vào ICRV 6 nhóm (đầy đủ)</w:t>
      </w:r>
      <w:r>
        <w:t xml:space="preserve"> </w:t>
      </w:r>
      <w:r>
        <w:t xml:space="preserve">- D: Kết quả M0–M7 đầy đủ (khi phân tích hoàn tất)</w:t>
      </w:r>
      <w:r>
        <w:t xml:space="preserve"> </w:t>
      </w:r>
      <w:r>
        <w:t xml:space="preserve">- E: Kiểm định robustness 8 loại (kết quả chi tiết)</w:t>
      </w:r>
      <w:r>
        <w:t xml:space="preserve"> </w:t>
      </w:r>
      <w:r>
        <w:t xml:space="preserve">- F: PRISMA-style literature search protocol</w:t>
      </w:r>
      <w:r>
        <w:t xml:space="preserve"> </w:t>
      </w:r>
      <w:r>
        <w:t xml:space="preserve">- G: Biểu đồ turning point theo nhóm ICRV</w:t>
      </w:r>
    </w:p>
    <w:p>
      <w:r>
        <w:pict>
          <v:rect style="width:0;height:1.5pt" o:hralign="center" o:hrstd="t" o:hr="t"/>
        </w:pict>
      </w:r>
    </w:p>
    <w:p>
      <w:pPr>
        <w:pStyle w:val="FirstParagraph"/>
      </w:pPr>
      <w:r>
        <w:rPr>
          <w:iCs/>
          <w:i/>
        </w:rPr>
        <w:t xml:space="preserve">Chuyên đề tiến sĩ số 1 — Phiên bản nộp v1.0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PGS.TS. Phan Anh Tú — Trường Kinh tế, Đại học Cần Thơ (CTU)</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2026-05-12T19:03:32Z</dcterms:created>
  <dcterms:modified xsi:type="dcterms:W3CDTF">2026-05-12T19:03:32Z</dcterms:modified>
</cp:coreProperties>
</file>

<file path=docProps/custom.xml><?xml version="1.0" encoding="utf-8"?>
<Properties xmlns="http://schemas.openxmlformats.org/officeDocument/2006/custom-properties" xmlns:vt="http://schemas.openxmlformats.org/officeDocument/2006/docPropsVTypes"/>
</file>