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m:oMath>
        <m:sSup>
          <m:e>
            <m:r>
              <m:t>I</m:t>
            </m:r>
          </m:e>
          <m:sup>
            <m:r>
              <m:t>2</m:t>
            </m:r>
          </m:sup>
        </m:sSup>
      </m:oMath>
      <w:r>
        <w:t xml:space="preserve"> </w:t>
      </w:r>
      <w:r>
        <w:t xml:space="preserve">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w:t>
      </w:r>
      <m:oMath>
        <m:r>
          <m:t>τ</m:t>
        </m:r>
      </m:oMath>
      <w:r>
        <w:t xml:space="preserve"> </w:t>
      </w:r>
      <w:r>
        <w:t xml:space="preserve">=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m:oMath>
        <m:sSup>
          <m:e>
            <m:r>
              <m:t>I</m:t>
            </m:r>
          </m:e>
          <m:sup>
            <m:r>
              <m:t>2</m:t>
            </m:r>
          </m:sup>
        </m:sSup>
      </m:oMath>
      <w:r>
        <w:t xml:space="preserve"> </w:t>
      </w:r>
      <w:r>
        <w:t xml:space="preserve">= 87.8%) remains unresolved by the tested moderators, suggesting that future research should test alternative theoretical contingencies or that between-study heterogeneity is dominated by within-paper variance (Level 2, 76.1%) rather than between-country differences (Level 3, 11.8%).</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to III to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w:t>
      </w:r>
      <w:r>
        <w:t xml:space="preserve"> </w:t>
      </w:r>
      <m:oMath>
        <m:r>
          <m:t>α</m:t>
        </m:r>
      </m:oMath>
      <w:r>
        <w:t xml:space="preserve"> </w:t>
      </w:r>
      <w:r>
        <w:t xml:space="preserve">= .05, minimum k for stable random-effects moderation is typically k</w:t>
      </w:r>
      <w:r>
        <w:t xml:space="preserve"> </w:t>
      </w:r>
      <m:oMath>
        <m:r>
          <m:rPr>
            <m:sty m:val="p"/>
          </m:rPr>
          <m:t>≥</m:t>
        </m:r>
      </m:oMath>
      <w:r>
        <w:t xml:space="preserve"> </w:t>
      </w:r>
      <w:r>
        <w:t xml:space="preserve">10; Valentine et 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m:oMath>
        <m:sSup>
          <m:e>
            <m:r>
              <m:t>f</m:t>
            </m:r>
          </m:e>
          <m:sup>
            <m:r>
              <m:t>2</m:t>
            </m:r>
          </m:sup>
        </m:sSup>
      </m:oMath>
      <w:r>
        <w:t xml:space="preserve"> </w:t>
      </w:r>
      <w:r>
        <w:t xml:space="preserve">&lt;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the fail-safe N is expected to substantially exceed Rosenthal's (1991) tolerance criterion of 5</w:t>
      </w:r>
      <w:r>
        <w:rPr>
          <w:iCs/>
          <w:i/>
        </w:rPr>
        <w:t xml:space="preserve">k</w:t>
      </w:r>
      <w:r>
        <w:t xml:space="preserve"> </w:t>
      </w:r>
      <w:r>
        <w:t xml:space="preserve">+ 10 (here 1,200),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p>
          <m:e>
            <m:r>
              <m:t>I</m:t>
            </m:r>
          </m:e>
          <m:sup>
            <m:r>
              <m:t>2</m:t>
            </m:r>
          </m:sup>
        </m:sSup>
      </m:oMath>
      <w:r>
        <w:rPr>
          <w:iCs/>
          <w:i/>
        </w:rPr>
        <w:t xml:space="preserve">(2) = 76.1%) within between-study heterogeneity (between-study</w:t>
      </w:r>
      <w:r>
        <w:rPr>
          <w:iCs/>
          <w:i/>
        </w:rPr>
        <w:t xml:space="preserve"> </w:t>
      </w:r>
      <m:oMath>
        <m:sSubSup>
          <m:e>
            <m:r>
              <m:t>σ</m:t>
            </m:r>
          </m:e>
          <m:sub>
            <m:d>
              <m:dPr>
                <m:begChr m:val="("/>
                <m:endChr m:val=")"/>
                <m:sepChr m:val=""/>
                <m:grow/>
              </m:dPr>
              <m:e>
                <m:r>
                  <m:t>3</m:t>
                </m:r>
              </m:e>
            </m:d>
          </m:sub>
          <m:sup>
            <m:r>
              <m:t>2</m:t>
            </m:r>
          </m:sup>
        </m:sSubSup>
      </m:oMath>
      <w:r>
        <w:rPr>
          <w:iCs/>
          <w:i/>
        </w:rPr>
        <w:t xml:space="preserve"> </w:t>
      </w:r>
      <w:r>
        <w:rPr>
          <w:iCs/>
          <w:i/>
        </w:rPr>
        <w:t xml:space="preserve">= 0.00135,</w:t>
      </w:r>
      <w:r>
        <w:rPr>
          <w:iCs/>
          <w:i/>
        </w:rPr>
        <w:t xml:space="preserve"> </w:t>
      </w:r>
      <m:oMath>
        <m:sSup>
          <m:e>
            <m:r>
              <m:t>I</m:t>
            </m:r>
          </m:e>
          <m:sup>
            <m:r>
              <m:t>2</m:t>
            </m:r>
          </m:sup>
        </m:sSup>
      </m:oMath>
      <w:r>
        <w:t xml:space="preserve">(3) = 11.8%); total</w:t>
      </w:r>
      <w:r>
        <w:t xml:space="preserve"> </w:t>
      </w:r>
      <m:oMath>
        <m:sSup>
          <m:e>
            <m:r>
              <m:t>I</m:t>
            </m:r>
          </m:e>
          <m:sup>
            <m:r>
              <m:t>2</m:t>
            </m:r>
          </m:sup>
        </m:sSup>
      </m:oMath>
      <w:r>
        <w:t xml:space="preserve"> </w:t>
      </w:r>
      <w:r>
        <w:t xml:space="preserve">= 87.8%. Publication bias (H4 confirmed): Egger's b = 0.475 (SE = 0.250, p = .057), Begg's</w:t>
      </w:r>
      <w:r>
        <w:t xml:space="preserve"> </w:t>
      </w:r>
      <m:oMath>
        <m:r>
          <m:t>τ</m:t>
        </m:r>
      </m:oMath>
      <w:r>
        <w:t xml:space="preserve"> </w:t>
      </w:r>
      <w:r>
        <w:t xml:space="preserve">=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w:t>
      </w:r>
      <w:r>
        <w:t xml:space="preserve"> </w:t>
      </w:r>
      <m:oMath>
        <m:r>
          <m:rPr>
            <m:sty m:val="p"/>
          </m:rPr>
          <m:t>≥</m:t>
        </m:r>
      </m:oMath>
      <w:r>
        <w:t xml:space="preserve"> </w:t>
      </w:r>
      <w:r>
        <w:t xml:space="preserve">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to firm performance with organizational learning mediator; S0683, Latin American EMNEs multinationality to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5"/>
    <w:bookmarkStart w:id="36"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2"/>
        </w:numPr>
        <w:pStyle w:val="Compact"/>
      </w:pPr>
      <w:r>
        <w:rPr>
          <w:iCs/>
          <w:i/>
        </w:rPr>
        <w:t xml:space="preserve">Industry sector</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w:t>
      </w:r>
      <w:r>
        <w:t xml:space="preserve"> </w:t>
      </w:r>
      <m:oMath>
        <m:r>
          <m:rPr>
            <m:sty m:val="p"/>
          </m:rPr>
          <m:t>≈</m:t>
        </m:r>
      </m:oMath>
      <w:r>
        <w:t xml:space="preserve"> </w:t>
      </w:r>
      <w:r>
        <w:t xml:space="preserve">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w:t>
      </w:r>
      <w:r>
        <w:t xml:space="preserve"> </w:t>
      </w:r>
      <m:oMath>
        <m:sSubSup>
          <m:e>
            <m:r>
              <m:t>σ</m:t>
            </m:r>
          </m:e>
          <m:sub>
            <m:d>
              <m:dPr>
                <m:begChr m:val="("/>
                <m:endChr m:val=")"/>
                <m:sepChr m:val=""/>
                <m:grow/>
              </m:dPr>
              <m:e>
                <m:r>
                  <m:t>2</m:t>
                </m:r>
              </m:e>
            </m:d>
          </m:sub>
          <m:sup>
            <m:r>
              <m:t>2</m:t>
            </m:r>
          </m:sup>
        </m:sSubSup>
      </m:oMath>
      <w:r>
        <w:t xml:space="preserve"> </w:t>
      </w:r>
      <w:r>
        <w:t xml:space="preserve">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m:oMath>
        <m:r>
          <m:rPr>
            <m:sty m:val="p"/>
          </m:rPr>
          <m:t>×</m:t>
        </m:r>
      </m:oMath>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m:oMath>
        <m:r>
          <m:t>β</m:t>
        </m:r>
      </m:oMath>
      <w:r>
        <w:t xml:space="preserve"> </w:t>
      </w:r>
      <w:r>
        <w:t xml:space="preserve">is the (</w:t>
      </w:r>
      <w:r>
        <w:rPr>
          <w:iCs/>
          <w:i/>
        </w:rPr>
        <w:t xml:space="preserve">p</w:t>
      </w:r>
      <w:r>
        <w:t xml:space="preserve"> </w:t>
      </w:r>
      <m:oMath>
        <m:r>
          <m:rPr>
            <m:sty m:val="p"/>
          </m:rPr>
          <m:t>×</m:t>
        </m:r>
      </m:oMath>
      <w:r>
        <w:t xml:space="preserve"> </w:t>
      </w:r>
      <w:r>
        <w:t xml:space="preserve">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w:t>
      </w:r>
      <w:r>
        <w:t xml:space="preserve"> </w:t>
      </w:r>
      <m:oMath>
        <m:r>
          <m:rPr>
            <m:sty m:val="p"/>
          </m:rPr>
          <m:t>×</m:t>
        </m:r>
      </m:oMath>
      <w:r>
        <w:t xml:space="preserve"> </w:t>
      </w:r>
      <w:r>
        <w:t xml:space="preserve">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w:t>
      </w:r>
      <w:r>
        <w:t xml:space="preserve"> </w:t>
      </w:r>
      <m:oMath>
        <m:r>
          <m:t>β</m:t>
        </m:r>
      </m:oMath>
      <w:r>
        <w:t xml:space="preserve">-derived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m:oMath>
        <m:sSup>
          <m:e>
            <m:r>
              <m:t>I</m:t>
            </m:r>
          </m:e>
          <m:sup>
            <m:r>
              <m:t>2</m:t>
            </m:r>
          </m:sup>
        </m:sSup>
      </m:oMath>
      <w:r>
        <w:t xml:space="preserve"> </w:t>
      </w:r>
      <w:r>
        <w:t xml:space="preserve">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m:oMath>
        <m:r>
          <m:t>β</m:t>
        </m:r>
      </m:oMath>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w:t>
      </w:r>
      <m:oMath>
        <m:r>
          <m:t>Δ</m:t>
        </m:r>
      </m:oMath>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m:oMath>
        <m:r>
          <m:rPr>
            <m:sty m:val="p"/>
          </m:rPr>
          <m:t>≈</m:t>
        </m:r>
      </m:oMath>
      <w:r>
        <w:t xml:space="preserve"> </w:t>
      </w:r>
      <w:r>
        <w:t xml:space="preserve">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6" w:name="X121719332867ee227f0a04b486098cee978c6e6"/>
    <w:p>
      <w:pPr>
        <w:pStyle w:val="Heading2"/>
      </w:pPr>
      <w:r>
        <w:t xml:space="preserve">4. Results</w:t>
      </w:r>
    </w:p>
    <w:bookmarkStart w:id="47"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8"/>
    <w:bookmarkStart w:id="52"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2"/>
    <w:bookmarkStart w:id="5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w:t>
      </w:r>
      <w:r>
        <w:t xml:space="preserve"> </w:t>
      </w:r>
      <m:oMath>
        <m:r>
          <m:rPr>
            <m:sty m:val="p"/>
          </m:rPr>
          <m:t>×</m:t>
        </m:r>
      </m:oMath>
      <w:r>
        <w:t xml:space="preserve"> </w:t>
      </w:r>
      <w:r>
        <w:t xml:space="preserve">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3"/>
    <w:bookmarkStart w:id="57"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Median data year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Median data year 2009–2013</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Median data year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pooled I-P effect by digital adoption epoch"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7"/>
    <w:bookmarkStart w:id="6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1"/>
    <w:bookmarkStart w:id="65"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5: Leave-one-out sensitivity, pooled r̄ range across leave-one-out iterations" title="" id="63" name="Picture"/>
            <a:graphic>
              <a:graphicData uri="http://schemas.openxmlformats.org/drawingml/2006/picture">
                <pic:pic>
                  <pic:nvPicPr>
                    <pic:cNvPr descr="figures/figure5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5"/>
    <w:bookmarkEnd w:id="66"/>
    <w:bookmarkStart w:id="71" w:name="X735612638e4e736e4693e459c258977262c0dfc"/>
    <w:p>
      <w:pPr>
        <w:pStyle w:val="Heading2"/>
      </w:pPr>
      <w:r>
        <w:t xml:space="preserve">5. Discussion</w:t>
      </w:r>
    </w:p>
    <w:bookmarkStart w:id="67"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7"/>
    <w:bookmarkStart w:id="68"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8"/>
    <w:bookmarkStart w:id="69"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9"/>
    <w:bookmarkStart w:id="7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0"/>
    <w:bookmarkEnd w:id="71"/>
    <w:bookmarkStart w:id="72"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m:oMath>
        <m:sSubSup>
          <m:e>
            <m:r>
              <m:t>I</m:t>
            </m:r>
          </m:e>
          <m:sub>
            <m:r>
              <m:rPr>
                <m:nor/>
                <m:sty m:val="p"/>
              </m:rPr>
              <m:t>total</m:t>
            </m:r>
          </m:sub>
          <m:sup>
            <m:r>
              <m:t>2</m:t>
            </m:r>
          </m:sup>
        </m:sSubSup>
      </m:oMath>
      <w:r>
        <w:t xml:space="preserve"> </w:t>
      </w:r>
      <w:r>
        <w:t xml:space="preserve">= 87.8%)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m:oMath>
        <m:r>
          <m:rPr>
            <m:sty m:val="p"/>
          </m:rPr>
          <m:t>≈</m:t>
        </m:r>
      </m:oMath>
      <w:r>
        <w:t xml:space="preserve"> </w:t>
      </w:r>
      <w:r>
        <w:t xml:space="preserve">0.035 than the oft-cited figures in the 0.07–0.10 range. The heterogeneity puzzle (</w:t>
      </w:r>
      <m:oMath>
        <m:sSup>
          <m:e>
            <m:r>
              <m:t>I</m:t>
            </m:r>
          </m:e>
          <m:sup>
            <m:r>
              <m:t>2</m:t>
            </m:r>
          </m:sup>
        </m:sSup>
      </m:oMath>
      <w:r>
        <w:t xml:space="preserve"> </w:t>
      </w:r>
      <w:r>
        <w:t xml:space="preserve">= 87.8%) remains largely unresolved, and is dominated by within-study variance (Level 2, 76.1%) rather than between-study differences (Level 3, 11.8%),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all effect-size extraction and moderator coding were performed by a single coder (the first author); without a second independent coder, formal inter-coder reliability (Cohen's</w:t>
      </w:r>
      <w:r>
        <w:t xml:space="preserve"> </w:t>
      </w:r>
      <m:oMath>
        <m:r>
          <m:t>κ</m:t>
        </m:r>
      </m:oMath>
      <w:r>
        <w:t xml:space="preserve">) could not be computed and coding decisions could not be cross-validated. Coding quality was instead supported by protocol calibration on a pilot set and by double-entry verification against source PDFs (Section 3.3.2), but the single-coder design remains a constraint, and a dual-coded reliability check is a priority for the planned formal-search expansion.</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m:oMath>
        <m:r>
          <m:rPr>
            <m:sty m:val="p"/>
          </m:rPr>
          <m:t>≥</m:t>
        </m:r>
      </m:oMath>
      <w:r>
        <w:t xml:space="preserve"> </w:t>
      </w:r>
      <w:r>
        <w:t xml:space="preserve">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3"/>
    <w:bookmarkStart w:id="74" w:name="competing-interests"/>
    <w:p>
      <w:pPr>
        <w:pStyle w:val="Heading2"/>
      </w:pPr>
      <w:r>
        <w:t xml:space="preserve">Competing Interests</w:t>
      </w:r>
    </w:p>
    <w:p>
      <w:pPr>
        <w:pStyle w:val="FirstParagraph"/>
      </w:pPr>
      <w:r>
        <w:t xml:space="preserve">The authors declare no conflict of interest.</w:t>
      </w:r>
    </w:p>
    <w:bookmarkEnd w:id="74"/>
    <w:bookmarkStart w:id="7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5"/>
    <w:bookmarkStart w:id="8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w:t>
      </w:r>
      <w:r>
        <w:t xml:space="preserve"> </w:t>
      </w:r>
      <m:oMath>
        <m:r>
          <m:rPr>
            <m:sty m:val="p"/>
          </m:rPr>
          <m:t>≈</m:t>
        </m:r>
      </m:oMath>
      <w:r>
        <w:t xml:space="preserve"> </w:t>
      </w:r>
      <w:r>
        <w:t xml:space="preserve">497 (backward citation scan of anchor meta-analyses</w:t>
      </w:r>
      <w:r>
        <w:t xml:space="preserve"> </w:t>
      </w:r>
      <m:oMath>
        <m:r>
          <m:rPr>
            <m:sty m:val="p"/>
          </m:rPr>
          <m:t>≈</m:t>
        </m:r>
      </m:oMath>
      <w:r>
        <w:t xml:space="preserve"> </w:t>
      </w:r>
      <w:r>
        <w:t xml:space="preserve">478 + hand-search n = 19) to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$\geq$ 85%):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$\approx$ 478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$\approx$ 497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$\times$ performance signal  : n $\approx$ 1,200</w:t>
      </w:r>
      <w:r>
        <w:br/>
      </w:r>
      <w:r>
        <w:rPr>
          <w:rStyle w:val="VerbatimChar"/>
        </w:rPr>
        <w:t xml:space="preserve">    - Systematic reviews / meta-analyses            : n $\approx$   97</w:t>
      </w:r>
      <w:r>
        <w:br/>
      </w:r>
      <w:r>
        <w:rPr>
          <w:rStyle w:val="VerbatimChar"/>
        </w:rPr>
        <w:t xml:space="preserve">    - Qualitative / conceptual / medical            : n $\approx$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to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 to 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82"/>
    <w:bookmarkStart w:id="8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By median data year: Precede ≤ 2008; Span 2009–2013; Follow ≥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83"/>
    <w:bookmarkStart w:id="8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87.8%</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11.8%</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The three-level total</w:t>
      </w:r>
      <w:r>
        <w:t xml:space="preserve"> </w:t>
      </w:r>
      <m:oMath>
        <m:sSup>
          <m:e>
            <m:r>
              <m:t>I</m:t>
            </m:r>
          </m:e>
          <m:sup>
            <m:r>
              <m:t>2</m:t>
            </m:r>
          </m:sup>
        </m:sSup>
      </m:oMath>
      <w:r>
        <w:t xml:space="preserve"> </w:t>
      </w:r>
      <w:r>
        <w:t xml:space="preserve">(87.8%) is essentially identical to the single-level ICBEF 2025 estimate (87.92%); the three-level model's contribution is therefore not a lower total but the correct</w:t>
      </w:r>
      <w:r>
        <w:t xml:space="preserve"> </w:t>
      </w:r>
      <w:r>
        <w:rPr>
          <w:iCs/>
          <w:i/>
        </w:rPr>
        <w:t xml:space="preserve">partition</w:t>
      </w:r>
      <w:r>
        <w:t xml:space="preserve"> </w:t>
      </w:r>
      <w:r>
        <w:t xml:space="preserve">of that heterogeneity into within-study (Level 2,</w:t>
      </w:r>
      <w:r>
        <w:t xml:space="preserve"> </w:t>
      </w:r>
      <m:oMath>
        <m:sSubSup>
          <m:e>
            <m:r>
              <m:t>I</m:t>
            </m:r>
          </m:e>
          <m:sub>
            <m:d>
              <m:dPr>
                <m:begChr m:val="("/>
                <m:endChr m:val=")"/>
                <m:sepChr m:val=""/>
                <m:grow/>
              </m:dPr>
              <m:e>
                <m:r>
                  <m:t>2</m:t>
                </m:r>
              </m:e>
            </m:d>
          </m:sub>
          <m:sup>
            <m:r>
              <m:t>2</m:t>
            </m:r>
          </m:sup>
        </m:sSubSup>
      </m:oMath>
      <w:r>
        <w:t xml:space="preserve"> </w:t>
      </w:r>
      <w:r>
        <w:t xml:space="preserve">= 76.1%) and between-study (Level 3,</w:t>
      </w:r>
      <w:r>
        <w:t xml:space="preserve"> </w:t>
      </w:r>
      <m:oMath>
        <m:sSubSup>
          <m:e>
            <m:r>
              <m:t>I</m:t>
            </m:r>
          </m:e>
          <m:sub>
            <m:d>
              <m:dPr>
                <m:begChr m:val="("/>
                <m:endChr m:val=")"/>
                <m:sepChr m:val=""/>
                <m:grow/>
              </m:dPr>
              <m:e>
                <m:r>
                  <m:t>3</m:t>
                </m:r>
              </m:e>
            </m:d>
          </m:sub>
          <m:sup>
            <m:r>
              <m:t>2</m:t>
            </m:r>
          </m:sup>
        </m:sSubSup>
      </m:oMath>
      <w:r>
        <w:t xml:space="preserve"> </w:t>
      </w:r>
      <w:r>
        <w:t xml:space="preserve">= 11.8%) components, which a single-level model cannot separate.</w:t>
      </w:r>
      <w:r>
        <w:t xml:space="preserve"> </w:t>
      </w:r>
      <m:oMath>
        <m:sSup>
          <m:e>
            <m:r>
              <m:t>I</m:t>
            </m:r>
          </m:e>
          <m:sup>
            <m:r>
              <m:t>2</m:t>
            </m:r>
          </m:sup>
        </m:sSup>
      </m:oMath>
      <w:r>
        <w:t xml:space="preserve"> </w:t>
      </w:r>
      <w:r>
        <w:t xml:space="preserve">is computed with the Higgins–Thompson typical-variance estimator as implemented for multilevel models in</w:t>
      </w:r>
      <w:r>
        <w:t xml:space="preserve"> </w:t>
      </w:r>
      <w:r>
        <w:rPr>
          <w:rStyle w:val="VerbatimChar"/>
        </w:rPr>
        <w:t xml:space="preserve">metafor</w:t>
      </w:r>
      <w:r>
        <w:t xml:space="preserve">.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(main text prose, excluding tables, references, appendices):</w:t>
      </w:r>
      <w:r>
        <w:rPr>
          <w:iCs/>
          <w:i/>
        </w:rPr>
        <w:t xml:space="preserve"> </w:t>
      </w:r>
      <m:oMath>
        <m:r>
          <m:rPr>
            <m:sty m:val="p"/>
          </m:rPr>
          <m:t>≈</m:t>
        </m:r>
      </m:oMath>
      <w:r>
        <w:rPr>
          <w:iCs/>
          <w:i/>
        </w:rPr>
        <w:t xml:space="preserve"> </w:t>
      </w:r>
      <w:r>
        <w:rPr>
          <w:iCs/>
          <w:i/>
        </w:rPr>
        <w:t xml:space="preserve">11,700 words. Emerald-effective total (body + references + 9 tables × 280 + 6 figures × 280):</w:t>
      </w:r>
      <w:r>
        <w:rPr>
          <w:iCs/>
          <w:i/>
        </w:rPr>
        <w:t xml:space="preserve"> </w:t>
      </w:r>
      <m:oMath>
        <m:r>
          <m:rPr>
            <m:sty m:val="p"/>
          </m:rPr>
          <m:t>≈</m:t>
        </m:r>
      </m:oMath>
      <w:r>
        <w:rPr>
          <w:iCs/>
          <w:i/>
        </w:rPr>
        <w:t xml:space="preserve"> </w:t>
      </w:r>
      <w:r>
        <w:rPr>
          <w:iCs/>
          <w:i/>
        </w:rPr>
        <w:t xml:space="preserve">17,000 word-equivalents.</w:t>
      </w:r>
      <w:r>
        <w:t xml:space="preserve"> </w:t>
      </w:r>
      <w:r>
        <w:rPr>
          <w:iCs/>
          <w:i/>
        </w:rPr>
        <w:t xml:space="preserve">Target journal: Management International Review (MIR; Springer, Scopus Q1, ABS-3). MIR accommodates substantive IB-focused meta-analyses up to</w:t>
      </w:r>
      <w:r>
        <w:rPr>
          <w:iCs/>
          <w:i/>
        </w:rPr>
        <w:t xml:space="preserve"> </w:t>
      </w:r>
      <m:oMath>
        <m:r>
          <m:rPr>
            <m:sty m:val="p"/>
          </m:rPr>
          <m:t>≈</m:t>
        </m:r>
      </m:oMath>
      <w:r>
        <w:rPr>
          <w:iCs/>
          <w:i/>
        </w:rPr>
        <w:t xml:space="preserve"> </w:t>
      </w:r>
      <w:r>
        <w:rPr>
          <w:iCs/>
          <w:i/>
        </w:rPr>
        <w:t xml:space="preserve">12,000 words total; the submission build migrates Appendices A–C and a subset of tables to OSF supplementary materials, with light streamlining of Theory §2 overlap and Method §3.5–3.7 to meet this cap. Analyses use the verified baseline corpus (k = 238 studies, K = 288 effect sizes); the formal WoS/Scopus search expansion is ongoing and will be incorporated at revision. Effect-size coding follows the standardized protocol (Appendix B; full coded database lodged on OSF).</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2026-05-30T12:30:43Z</dcterms:created>
  <dcterms:modified xsi:type="dcterms:W3CDTF">2026-05-30T12:30:43Z</dcterms:modified>
</cp:coreProperties>
</file>

<file path=docProps/custom.xml><?xml version="1.0" encoding="utf-8"?>
<Properties xmlns="http://schemas.openxmlformats.org/officeDocument/2006/custom-properties" xmlns:vt="http://schemas.openxmlformats.org/officeDocument/2006/docPropsVTypes"/>
</file>