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w:t>
      </w:r>
      <w:r>
        <w:t xml:space="preserve"> </w:t>
      </w:r>
      <w:r>
        <w:rPr>
          <w:bCs/>
          <w:b/>
        </w:rPr>
        <w:t xml:space="preserve">khung lý thuyết phân tầng CIMT–ICRV–CDCM</w:t>
      </w:r>
      <w:r>
        <w:t xml:space="preserve"> </w:t>
      </w:r>
      <w:r>
        <w:t xml:space="preserve">(Chương 2 §2.5.1–2.5.4) cùng bốn lý thuyết nền là Uppsala, RBV, lý thuyết thể chế và lý thuyết thượng tầng quản trị. Trong khung này,</w:t>
      </w:r>
      <w:r>
        <w:t xml:space="preserve"> </w:t>
      </w:r>
      <w:r>
        <w:rPr>
          <w:bCs/>
          <w:b/>
        </w:rPr>
        <w:t xml:space="preserve">CIMT (Capability–Institution Mismatch Theory)</w:t>
      </w:r>
      <w:r>
        <w:t xml:space="preserve"> </w:t>
      </w:r>
      <w:r>
        <w:t xml:space="preserve">là cơ chế lý thuyết bao trùm tầm trung (Merton, 1968; Whetten, 1989; Corley &amp; Gioia, 2011) tích hợp ba kênh đã khẳng định (rent protection, LoF attenuation, institutional-void amplification);</w:t>
      </w:r>
      <w:r>
        <w:t xml:space="preserve"> </w:t>
      </w:r>
      <w:r>
        <w:rPr>
          <w:bCs/>
          <w:b/>
        </w:rPr>
        <w:t xml:space="preserve">ICRV</w:t>
      </w:r>
      <w:r>
        <w:t xml:space="preserve"> </w:t>
      </w:r>
      <w:r>
        <w:t xml:space="preserve">là taxonomy phân loại 45 nền kinh tế trên hai trục (institutional capability × resource vulnerability); và</w:t>
      </w:r>
      <w:r>
        <w:t xml:space="preserve"> </w:t>
      </w:r>
      <w:r>
        <w:rPr>
          <w:bCs/>
          <w:b/>
        </w:rPr>
        <w:t xml:space="preserve">CDCM</w:t>
      </w:r>
      <w:r>
        <w:t xml:space="preserve"> </w:t>
      </w:r>
      <w:r>
        <w:t xml:space="preserve">là biểu hiện thực nghiệm cấp doanh nghiệp dưới điều kiện số hóa. Chương gồm sáu phần: bàn luận kết quả theo khung phân tầng;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eb3250ac8e3491cd2431bc2ba518186336d526f"/>
    <w:p>
      <w:pPr>
        <w:pStyle w:val="Heading2"/>
      </w:pPr>
      <w:r>
        <w:t xml:space="preserve">5.1 Bàn luận kết quả theo khung lý thuyết phân tầng CIMT–ICRV–CDCM</w:t>
      </w:r>
    </w:p>
    <w:bookmarkStart w:id="22" w:name="X7839966215dea78300daf34b71435f48f44cd16"/>
    <w:p>
      <w:pPr>
        <w:pStyle w:val="Heading3"/>
      </w:pPr>
      <w:r>
        <w:t xml:space="preserve">5.1.1 Dải biến thiên ICRV, xác nhận H5 và cơ chế institutional-void amplification của CIMT</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w:t>
      </w:r>
      <w:r>
        <w:t xml:space="preserve"> </w:t>
      </w:r>
      <w:r>
        <w:rPr>
          <w:bCs/>
          <w:b/>
        </w:rPr>
        <w:t xml:space="preserve">cơ chế institutional-void amplification của CIMT</w:t>
      </w:r>
      <w:r>
        <w:t xml:space="preserve"> </w:t>
      </w:r>
      <w:r>
        <w:t xml:space="preserve">(một trong ba kênh trung tâm của CIMT, §2.5.1) một cách thuyết phục: điều kiện biên cho quan hệ I-P không do một yếu tố điều tiết đơn lẻ quy định, mà do</w:t>
      </w:r>
      <w:r>
        <w:t xml:space="preserve"> </w:t>
      </w:r>
      <w:r>
        <w:rPr>
          <w:bCs/>
          <w:b/>
        </w:rPr>
        <w:t xml:space="preserve">cả một chế độ thể chế</w:t>
      </w:r>
      <w:r>
        <w:t xml:space="preserve"> </w:t>
      </w:r>
      <w:r>
        <w:t xml:space="preserve">— được taxonomy ICRV (§2.5.2) phân loại thành sáu nhóm con.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 chính là</w:t>
      </w:r>
      <w:r>
        <w:t xml:space="preserve"> </w:t>
      </w:r>
      <w:r>
        <w:rPr>
          <w:iCs/>
          <w:i/>
        </w:rPr>
        <w:t xml:space="preserve">observable signature</w:t>
      </w:r>
      <w:r>
        <w:t xml:space="preserve"> </w:t>
      </w:r>
      <w:r>
        <w:t xml:space="preserve">mà CDCM (§2.5.3) dự đoán.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w:t>
      </w:r>
      <w:r>
        <w:t xml:space="preserve"> </w:t>
      </w:r>
      <w:r>
        <w:rPr>
          <w:bCs/>
          <w:b/>
        </w:rPr>
        <w:t xml:space="preserve">trường hợp cực đoan của CIMT mismatch</w:t>
      </w:r>
      <w:r>
        <w:t xml:space="preserve">: khi cả ba kênh CIMT đồng thời vận hành cực đại (rent protection thất bại, LoF cao, institutional-void cực rộng) thì</w:t>
      </w:r>
      <w:r>
        <w:t xml:space="preserve"> </w:t>
      </w:r>
      <w:r>
        <w:rPr>
          <w:iCs/>
          <w:i/>
        </w:rPr>
        <w:t xml:space="preserve">signature</w:t>
      </w:r>
      <w:r>
        <w:t xml:space="preserve"> </w:t>
      </w:r>
      <w:r>
        <w:t xml:space="preserve">không còn là chữ U ngược bị làm phẳng (như Singapore) hay bị dịch chuyển sớm (như Việt Nam), mà</w:t>
      </w:r>
      <w:r>
        <w:t xml:space="preserve"> </w:t>
      </w:r>
      <w:r>
        <w:rPr>
          <w:iCs/>
          <w:i/>
        </w:rPr>
        <w:t xml:space="preserve">đảo dấu</w:t>
      </w:r>
      <w:r>
        <w:t xml:space="preserve"> </w:t>
      </w:r>
      <w:r>
        <w:t xml:space="preserve">thành quan hệ âm đơn điệu. FIP là biểu hiện của trường hợp khi</w:t>
      </w:r>
      <w:r>
        <w:t xml:space="preserve"> </w:t>
      </w:r>
      <w:r>
        <w:rPr>
          <w:bCs/>
          <w:b/>
        </w:rPr>
        <w:t xml:space="preserve">cả ba lớp của khung phân tầng</w:t>
      </w:r>
      <w:r>
        <w:t xml:space="preserve"> </w:t>
      </w:r>
      <w:r>
        <w:t xml:space="preserve">— taxonomy ICRV ở vị trí Nhóm VI (SIDS), CIMT mismatch cực đại (capability–institution gap cực rộng), và CDCM signature trở nên triệt tiêu (DAI không phát huy tác dụng) — cùng đồng pha.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p>
      <w:pPr>
        <w:pStyle w:val="FirstParagraph"/>
      </w:pPr>
      <w:r>
        <w:rPr>
          <w:bCs/>
          <w:b/>
        </w:rPr>
        <w:t xml:space="preserve">Ấn Độ và điều kiện biên phạm vi áp dụng của khung CDCM.</w:t>
      </w:r>
      <w:r>
        <w:t xml:space="preserve"> </w:t>
      </w:r>
      <w:r>
        <w:t xml:space="preserve">Phát hiện ngưỡng phá vỡ tại Ấn Độ (P9’ India)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w:t>
      </w:r>
      <w:r>
        <w:t xml:space="preserve"> </w:t>
      </w:r>
      <w:r>
        <w:rPr>
          <w:bCs/>
          <w:b/>
        </w:rPr>
        <w:t xml:space="preserve">mức độ thiên lệch công bố được bao quát bởi sáu kiểm định bổ sung cho nhau</w:t>
      </w:r>
      <w:r>
        <w:t xml:space="preserve">: trim-and-fill cho</w:t>
      </w:r>
      <w:r>
        <w:t xml:space="preserve"> </w:t>
      </w:r>
      <m:oMath>
        <m:sSub>
          <m:e>
            <m:r>
              <m:t>r</m:t>
            </m:r>
          </m:e>
          <m:sub>
            <m:r>
              <m:rPr>
                <m:nor/>
                <m:sty m:val="p"/>
              </m:rPr>
              <m:t>adj</m:t>
            </m:r>
          </m:sub>
        </m:sSub>
        <m:r>
          <m:rPr>
            <m:sty m:val="p"/>
          </m:rPr>
          <m:t>=</m:t>
        </m:r>
        <m:r>
          <m:t>0</m:t>
        </m:r>
        <m:r>
          <m:rPr>
            <m:sty m:val="p"/>
          </m:rPr>
          <m:t>,</m:t>
        </m:r>
        <m:r>
          <m:t>035</m:t>
        </m:r>
      </m:oMath>
      <w:r>
        <w:t xml:space="preserve"> </w:t>
      </w:r>
      <w:r>
        <w:t xml:space="preserve">(mạnh nhất, có thể over-correct dưới dị biệt cao theo Terrin et al., 2003), PET-PEESE cho</w:t>
      </w:r>
      <w:r>
        <w:t xml:space="preserve"> </w:t>
      </w:r>
      <m:oMath>
        <m:sSub>
          <m:e>
            <m:r>
              <m:t>r</m:t>
            </m:r>
          </m:e>
          <m:sub>
            <m:r>
              <m:rPr>
                <m:nor/>
                <m:sty m:val="p"/>
              </m:rPr>
              <m:t>adj</m:t>
            </m:r>
          </m:sub>
        </m:sSub>
        <m:r>
          <m:rPr>
            <m:sty m:val="p"/>
          </m:rPr>
          <m:t>=</m:t>
        </m:r>
        <m:r>
          <m:t>0</m:t>
        </m:r>
        <m:r>
          <m:rPr>
            <m:sty m:val="p"/>
          </m:rPr>
          <m:t>,</m:t>
        </m:r>
        <m:r>
          <m:t>061</m:t>
        </m:r>
      </m:oMath>
      <w:r>
        <w:t xml:space="preserve">, và mô hình lựa chọn ba tham số Vevea-Hedges cho</w:t>
      </w:r>
      <w:r>
        <w:t xml:space="preserve"> </w:t>
      </w:r>
      <m:oMath>
        <m:sSub>
          <m:e>
            <m:r>
              <m:t>r</m:t>
            </m:r>
          </m:e>
          <m:sub>
            <m:r>
              <m:rPr>
                <m:nor/>
                <m:sty m:val="p"/>
              </m:rPr>
              <m:t>adj</m:t>
            </m:r>
          </m:sub>
        </m:sSub>
        <m:r>
          <m:rPr>
            <m:sty m:val="p"/>
          </m:rPr>
          <m:t>=</m:t>
        </m:r>
        <m:r>
          <m:t>0</m:t>
        </m:r>
        <m:r>
          <m:rPr>
            <m:sty m:val="p"/>
          </m:rPr>
          <m:t>,</m:t>
        </m:r>
        <m:r>
          <m:t>077</m:t>
        </m:r>
      </m:oMath>
      <w:r>
        <w:t xml:space="preserve"> </w:t>
      </w:r>
      <w:r>
        <w:t xml:space="preserve">(bảo thủ nhất). Khoảng hiệu chỉnh</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hàm ý quan hệ I-P trung bình được báo cáo suốt bốn thập kỷ có thể đã bị thổi phồng đáng kể,</w:t>
      </w:r>
      <w:r>
        <w:t xml:space="preserve"> </w:t>
      </w:r>
      <w:r>
        <w:rPr>
          <w:iCs/>
          <w:i/>
        </w:rPr>
        <w:t xml:space="preserve">mức</w:t>
      </w:r>
      <w:r>
        <w:t xml:space="preserve"> </w:t>
      </w:r>
      <w:r>
        <w:t xml:space="preserve">thổi phồng tùy giả định selection-process. Bằng chứng selection thực sự tồn tại được củng cố vững chắc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và mô hình Vevea-Hedges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kiểm định Egger chỉ ở mức biên (</w:t>
      </w:r>
      <m:oMath>
        <m:r>
          <m:t>p</m:t>
        </m:r>
        <m:r>
          <m:rPr>
            <m:sty m:val="p"/>
          </m:rPr>
          <m:t>=</m:t>
        </m:r>
        <m:r>
          <m:rPr>
            <m:sty m:val="p"/>
          </m:rPr>
          <m:t>,</m:t>
        </m:r>
        <m:r>
          <m:t>057</m:t>
        </m:r>
      </m:oMath>
      <w:r>
        <w:t xml:space="preserve">). Luận án trình bày khoảng bao quát này như một tín hiệu định hướng mạnh thay vì khẳng định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Marano et al. (2016) vẫn là tham chiếu nền tảng cho điều tiết thể chế trong tài liệu I-P; phát hiện của họ ở cấp tổng hợp (k = 359) chưa bị luận án này bác bỏ. Đóng góp của luận án là</w:t>
      </w:r>
      <w:r>
        <w:t xml:space="preserve"> </w:t>
      </w:r>
      <w:r>
        <w:rPr>
          <w:iCs/>
          <w:i/>
        </w:rPr>
        <w:t xml:space="preserve">bổ sung phân giải</w:t>
      </w:r>
      <w:r>
        <w:t xml:space="preserve"> </w:t>
      </w:r>
      <w:r>
        <w:t xml:space="preserve">chứ không phải lật ngược: sáu nhóm con ICRV nắm bắt được sự đa dạng ngay trong nội bộ nhóm</w:t>
      </w:r>
      <w:r>
        <w:t xml:space="preserve"> </w:t>
      </w:r>
      <w:r>
        <w:t xml:space="preserve">“</w:t>
      </w:r>
      <w:r>
        <w:t xml:space="preserve">mới nổi</w:t>
      </w:r>
      <w:r>
        <w:t xml:space="preserve">”</w:t>
      </w:r>
      <w:r>
        <w:t xml:space="preserve"> </w:t>
      </w:r>
      <w:r>
        <w:t xml:space="preserve">(phân biệt Trung Quốc với Việt Nam, Bangladesh và các nền kinh tế đảo nhỏ), đồng thời phân biệt trong nhóm</w:t>
      </w:r>
      <w:r>
        <w:t xml:space="preserve"> </w:t>
      </w:r>
      <w:r>
        <w:t xml:space="preserve">“</w:t>
      </w:r>
      <w:r>
        <w:t xml:space="preserve">tiên tiến</w:t>
      </w:r>
      <w:r>
        <w:t xml:space="preserve">”</w:t>
      </w:r>
      <w:r>
        <w:t xml:space="preserve"> </w:t>
      </w:r>
      <w:r>
        <w:t xml:space="preserve">(tách Singapore dẫn dắt bằng đổi mới khỏi các nền kinh tế vùng Vịnh dẫn dắt bằng tài nguyên). Phân loại nhị phân của Marano gộp các biến thiên này, làm mất thông tin về dải biến thiên ICRV mà luận án này phát hiện ở cấp doanh nghiệp (FSTS×ICRV và FSTS²×ICRV, p &lt;,001 trong phân tích đa quốc gia). Đáng chú ý, ở cấp meta-analytic của riêng luận án, omnibus ICRV lại</w:t>
      </w:r>
      <w:r>
        <w:t xml:space="preserve"> </w:t>
      </w:r>
      <w:r>
        <w:rPr>
          <w:bCs/>
          <w:b/>
        </w:rPr>
        <w:t xml:space="preserve">không bền vững</w:t>
      </w:r>
      <w:r>
        <w:t xml:space="preserve"> </w:t>
      </w:r>
      <w:r>
        <w:t xml:space="preserve">(bỏ ô Frontier; sau đó</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nghĩa là phân loại sáu chế độ chưa làm tăng độ phát hiện điều tiết ở cấp văn liệu so với phân loại nhị phân; lợi ích của ICRV chủ yếu nằm ở phân tích cấp doanh nghiệp.</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p>
      <w:pPr>
        <w:pStyle w:val="FirstParagraph"/>
      </w:pPr>
      <w:r>
        <w:t xml:space="preserve">Luận án đóng góp năm đề mục lý thuyết được tổ chức quanh</w:t>
      </w:r>
      <w:r>
        <w:t xml:space="preserve"> </w:t>
      </w:r>
      <w:r>
        <w:rPr>
          <w:bCs/>
          <w:b/>
        </w:rPr>
        <w:t xml:space="preserve">khung phân tầng CIMT–ICRV–CDCM</w:t>
      </w:r>
      <w:r>
        <w:t xml:space="preserve"> </w:t>
      </w:r>
      <w:r>
        <w:t xml:space="preserve">(§2.5.1–2.5.4). Đề mục đầu tiên là chính bản thân khung phân tầng:</w:t>
      </w:r>
      <w:r>
        <w:t xml:space="preserve"> </w:t>
      </w:r>
      <w:r>
        <w:rPr>
          <w:bCs/>
          <w:b/>
        </w:rPr>
        <w:t xml:space="preserve">CIMT (Capability–Institution Mismatch Theory)</w:t>
      </w:r>
      <w:r>
        <w:t xml:space="preserve"> </w:t>
      </w:r>
      <w:r>
        <w:t xml:space="preserve">được phát triển trong luận án này như một</w:t>
      </w:r>
      <w:r>
        <w:t xml:space="preserve"> </w:t>
      </w:r>
      <w:r>
        <w:rPr>
          <w:iCs/>
          <w:i/>
        </w:rPr>
        <w:t xml:space="preserve">middle-range integrative framework</w:t>
      </w:r>
      <w:r>
        <w:t xml:space="preserve"> </w:t>
      </w:r>
      <w:r>
        <w:t xml:space="preserve">(Merton, 1968; Whetten, 1989; Corley &amp; Gioia, 2011) tích hợp ba kênh đã được khẳng định (rent protection, LoF attenuation, institutional-void amplification) thành một mechanism thống nhất, neo trên taxonomy ICRV và quan sát được qua signature CDCM ở cấp doanh nghiệp. Đóng góp này không tuyên bố thay thế RBV hay institutional theory mà</w:t>
      </w:r>
      <w:r>
        <w:t xml:space="preserve"> </w:t>
      </w:r>
      <w:r>
        <w:rPr>
          <w:iCs/>
          <w:i/>
        </w:rPr>
        <w:t xml:space="preserve">adjudicate giữa các dự đoán cạnh tranh trên cùng một dataset đa quốc gia</w:t>
      </w:r>
      <w:r>
        <w:t xml:space="preserve"> </w:t>
      </w:r>
      <w:r>
        <w:t xml:space="preserve">— kiểu đóng góp Whetten (1989) và Corley &amp; Gioia (2011) công nhận là incremental but valid. Bốn đề mục còn lại — DAI là nguồn lực tình huống, FIP là điều kiện biên SIDS, ngưỡng phá vỡ tại Ấn Độ, vai trò của Bậc trên — đều là</w:t>
      </w:r>
      <w:r>
        <w:t xml:space="preserve"> </w:t>
      </w:r>
      <w:r>
        <w:rPr>
          <w:iCs/>
          <w:i/>
        </w:rPr>
        <w:t xml:space="preserve">signature</w:t>
      </w:r>
      <w:r>
        <w:t xml:space="preserve"> </w:t>
      </w:r>
      <w:r>
        <w:t xml:space="preserve">của CIMT trong các regime ICRV cụ thể.</w:t>
      </w:r>
    </w:p>
    <w:bookmarkStart w:id="32" w:name="Xbed440cdff66f7371be0a6ee45ac5a26d4c88b8"/>
    <w:p>
      <w:pPr>
        <w:pStyle w:val="Heading3"/>
      </w:pPr>
      <w:r>
        <w:t xml:space="preserve">5.3.1 CDCM signature: DAI là nguồn lực tình huống dưới mismatch số hóa</w:t>
      </w:r>
    </w:p>
    <w:p>
      <w:pPr>
        <w:pStyle w:val="FirstParagraph"/>
      </w:pPr>
      <w:r>
        <w:t xml:space="preserve">Đóng góp lý thuyết tiếp theo là làm rõ</w:t>
      </w:r>
      <w:r>
        <w:t xml:space="preserve"> </w:t>
      </w:r>
      <w:r>
        <w:rPr>
          <w:bCs/>
          <w:b/>
        </w:rPr>
        <w:t xml:space="preserve">bản chất của DAI</w:t>
      </w:r>
      <w:r>
        <w:t xml:space="preserve"> </w:t>
      </w:r>
      <w:r>
        <w:t xml:space="preserve">như observable signature của CIMT trong CDCM. DAI có hiệu ứng nâng mặt bằng phổ quát (β = +0,172, p &lt; 0,001, mẫu gộp N=82.302 từ 45 nền kinh tế), nhưng vai trò uốn đường cong I-P lại</w:t>
      </w:r>
      <w:r>
        <w:t xml:space="preserve"> </w:t>
      </w:r>
      <w:r>
        <w:rPr>
          <w:bCs/>
          <w:b/>
        </w:rPr>
        <w:t xml:space="preserve">phụ thuộc bối cảnh ICRV</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w:t>
      </w:r>
      <w:r>
        <w:t xml:space="preserve">— chính là</w:t>
      </w:r>
      <w:r>
        <w:t xml:space="preserve"> </w:t>
      </w:r>
      <w:r>
        <w:rPr>
          <w:iCs/>
          <w:i/>
        </w:rPr>
        <w:t xml:space="preserve">observable signature</w:t>
      </w:r>
      <w:r>
        <w:t xml:space="preserve"> </w:t>
      </w:r>
      <w:r>
        <w:t xml:space="preserve">mà khung CIMT dự đoán: năng lực số đóng vai trò bù đắp cho institutional voids (kênh ba của CIMT) khi mismatch sâu sắc.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e11ed3cb35243ecfe6b42fdec73f61db3ecc52a"/>
    <w:p>
      <w:pPr>
        <w:pStyle w:val="Heading3"/>
      </w:pPr>
      <w:r>
        <w:t xml:space="preserve">5.3.2 FIP, Điều kiện biên cho SIDS có nền tảng SIDS literature</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w:t>
      </w:r>
      <w:r>
        <w:t xml:space="preserve">như một điều kiện biên rõ ràng cho mô hình chữ U ngược I-P, nối tiếp dòng nghiên cứu nền tảng SIDS của Briguglio (1995) và mô hình MIRAB của Bertram (2006). Khái niệm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 Đóng góp tăng thêm của luận án so với SIDS literature trước là (i) chính thức kết nối ba ràng buộc SIDS với dấu của hệ số FSTS trong hồi quy I-P ở cấp doanh nghiệp, (ii) cung cấp ước lượng định lượng đầu tiên (β = −0,404, p =,032) trên dữ liệu WBES, (iii) đặt FIP làm điều kiện biên rõ ràng cho lý thuyết I-P phi tuyến.</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Đồng thời, luận án bao quát mức điều chỉnh do thiên lệch công bố trong khoảng r ∈ [0,035; 0,077] qua sáu kiểm định (trim-and-fill mạnh nhất; PET-PEESE; Vevea-Hedges bảo thủ nhất, LRT p = 0,002), gợi mở một câu hỏi nền tảng cho cả tài liệu: nếu bốn thập kỷ bằng chứng I-P bị thổi phồng (mức độ tùy phương pháp hiệu chỉnh) bởi chọn lọc công bố, thì hiệu ứng quần thể thực có thể nằm gần hoặc dưới ngưỡng Cohen</w:t>
      </w:r>
      <w:r>
        <w:t xml:space="preserve"> </w:t>
      </w:r>
      <w:r>
        <w:t xml:space="preserve">“</w:t>
      </w:r>
      <w:r>
        <w:t xml:space="preserve">nhỏ</w:t>
      </w:r>
      <w:r>
        <w:t xml:space="preserve">”</w:t>
      </w:r>
      <w:r>
        <w:t xml:space="preserve"> </w:t>
      </w:r>
      <w:r>
        <w:t xml:space="preserve">và đòi hỏi cỡ mẫu lớn hơn nhiều để phát hiện vai trò điều tiết một cách vững chắc. Luận án ghi nhận nghịch lý này mà không khẳng định đã giải quyết được nó; đây là cam kết chương trình nghiên cứu vượt khuôn khổ một luận án đơn lẻ. Với dòng nghiên cứu về năng lực số, luận án làm rõ rằng DAI là nguồn lực tình huống chứ không phải năng lực nền tảng. Và với dòng nghiên cứu về quốc tế hóa và các nền kinh tế đảo nhỏ, luận án đóng góp ước lượng định lượng đầu tiên cho FIP trên dữ liệu WBES SIDS, nối tiếp dòng nghiên cứu SIDS nền tảng (Briguglio, 1995; Bertram, 2006).</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2026-06-03T14:52:44Z</dcterms:created>
  <dcterms:modified xsi:type="dcterms:W3CDTF">2026-06-03T14:52:44Z</dcterms:modified>
</cp:coreProperties>
</file>

<file path=docProps/custom.xml><?xml version="1.0" encoding="utf-8"?>
<Properties xmlns="http://schemas.openxmlformats.org/officeDocument/2006/custom-properties" xmlns:vt="http://schemas.openxmlformats.org/officeDocument/2006/docPropsVTypes"/>
</file>