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X07c3a2f9ec246b5120b9b19625fb58c0a5f9521"/>
    <w:p>
      <w:pPr>
        <w:pStyle w:val="Heading1"/>
      </w:pPr>
      <w:r>
        <w:t xml:space="preserve">Technological Capability, Digital Adoption, and the Internationalization–Performance Relationship: A Firm-Level Study of Singapore</w:t>
      </w:r>
    </w:p>
    <w:p>
      <w:pPr>
        <w:pStyle w:val="FirstParagraph"/>
      </w:pPr>
      <w:r>
        <w:rPr>
          <w:iCs/>
          <w:i/>
        </w:rPr>
        <w:t xml:space="preserve">Author details removed for blind review.</w:t>
      </w:r>
    </w:p>
    <w:p>
      <w:pPr>
        <w:pStyle w:val="BodyText"/>
      </w:pPr>
      <w:r>
        <w:rPr>
          <w:bCs/>
          <w:b/>
        </w:rPr>
        <w:t xml:space="preserve">Manuscript classification:</w:t>
      </w:r>
      <w:r>
        <w:t xml:space="preserve"> </w:t>
      </w:r>
      <w:r>
        <w:t xml:space="preserve">research article.</w:t>
      </w:r>
    </w:p>
    <w:p>
      <w:pPr>
        <w:pStyle w:val="BodyText"/>
      </w:pPr>
      <w:r>
        <w:rPr>
          <w:bCs/>
          <w:b/>
        </w:rPr>
        <w:t xml:space="preserve">Word count</w:t>
      </w:r>
      <w:r>
        <w:t xml:space="preserve"> </w:t>
      </w:r>
      <w:r>
        <w:t xml:space="preserve">(main text, excluding abstract, references, tables and</w:t>
      </w:r>
      <w:r>
        <w:t xml:space="preserve"> </w:t>
      </w:r>
      <w:r>
        <w:t xml:space="preserve">figures): approximately 8,500 words.</w:t>
      </w:r>
    </w:p>
    <w:p>
      <w:pPr>
        <w:pStyle w:val="BodyText"/>
      </w:pPr>
      <w:r>
        <w:rPr>
          <w:bCs/>
          <w:b/>
        </w:rPr>
        <w:t xml:space="preserve">Tables:</w:t>
      </w:r>
      <w:r>
        <w:t xml:space="preserve"> </w:t>
      </w:r>
      <w:r>
        <w:t xml:space="preserve">12 |</w:t>
      </w:r>
      <w:r>
        <w:t xml:space="preserve"> </w:t>
      </w:r>
      <w:r>
        <w:rPr>
          <w:bCs/>
          <w:b/>
        </w:rPr>
        <w:t xml:space="preserve">Figures:</w:t>
      </w:r>
      <w:r>
        <w:t xml:space="preserve"> </w:t>
      </w:r>
      <w:r>
        <w:t xml:space="preserve">10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study examines how technological capability (TCI) and digital</w:t>
      </w:r>
      <w:r>
        <w:t xml:space="preserve"> </w:t>
      </w:r>
      <w:r>
        <w:t xml:space="preserve">adoption (DAI) are associated with the internationalization–performance</w:t>
      </w:r>
      <w:r>
        <w:t xml:space="preserve"> </w:t>
      </w:r>
      <w:r>
        <w:t xml:space="preserve">relationship among firms in Singapore, a boundary-case test at the</w:t>
      </w:r>
      <w:r>
        <w:t xml:space="preserve"> </w:t>
      </w:r>
      <w:r>
        <w:t xml:space="preserve">advanced-economy ceiling of the ICRV spectrum, where digital</w:t>
      </w:r>
      <w:r>
        <w:t xml:space="preserve"> </w:t>
      </w:r>
      <w:r>
        <w:t xml:space="preserve">infrastructure is near-universally diffused. Using World Bank Enterprise</w:t>
      </w:r>
      <w:r>
        <w:t xml:space="preserve"> </w:t>
      </w:r>
      <w:r>
        <w:t xml:space="preserve">Survey microdata (Singapore 2023, N = 623), the analysis separates</w:t>
      </w:r>
      <w:r>
        <w:t xml:space="preserve"> </w:t>
      </w:r>
      <w:r>
        <w:t xml:space="preserve">firm-internal capability depth (TCI) from foundational digital</w:t>
      </w:r>
      <w:r>
        <w:t xml:space="preserve"> </w:t>
      </w:r>
      <w:r>
        <w:t xml:space="preserve">interfaces and transaction-enabling mechanisms (DAI).</w:t>
      </w:r>
    </w:p>
    <w:p>
      <w:pPr>
        <w:pStyle w:val="BodyText"/>
      </w:pPr>
      <w:r>
        <w:t xml:space="preserve">Three findings emerge. First, the I–P relationship within the observed</w:t>
      </w:r>
      <w:r>
        <w:t xml:space="preserve"> </w:t>
      </w:r>
      <w:r>
        <w:t xml:space="preserve">export-intensity range is better characterized as predominantly positive</w:t>
      </w:r>
      <w:r>
        <w:t xml:space="preserve"> </w:t>
      </w:r>
      <w:r>
        <w:t xml:space="preserve">with mild quadratic curvature than as an inverted-U; the implied turning</w:t>
      </w:r>
      <w:r>
        <w:t xml:space="preserve"> </w:t>
      </w:r>
      <w:r>
        <w:t xml:space="preserve">point lies in a sparsely populated upper tail. Second, TCI is positively</w:t>
      </w:r>
      <w:r>
        <w:t xml:space="preserve"> </w:t>
      </w:r>
      <w:r>
        <w:t xml:space="preserve">associated with labour productivity, but no TCI moderation of the I–P</w:t>
      </w:r>
      <w:r>
        <w:t xml:space="preserve"> </w:t>
      </w:r>
      <w:r>
        <w:t xml:space="preserve">curve is detected. Third, DAI does not produce a uniform productivity</w:t>
      </w:r>
      <w:r>
        <w:t xml:space="preserve"> </w:t>
      </w:r>
      <w:r>
        <w:t xml:space="preserve">premium; instead, its productivity association becomes more positive</w:t>
      </w:r>
      <w:r>
        <w:t xml:space="preserve"> </w:t>
      </w:r>
      <w:r>
        <w:t xml:space="preserve">only at higher export intensity, with the clearest signal in the</w:t>
      </w:r>
      <w:r>
        <w:t xml:space="preserve"> </w:t>
      </w:r>
      <w:r>
        <w:t xml:space="preserve">high-export tail. These findings suggest that foundational digital</w:t>
      </w:r>
      <w:r>
        <w:t xml:space="preserve"> </w:t>
      </w:r>
      <w:r>
        <w:t xml:space="preserve">adoption functions as a contingent scaling resource, its productivity</w:t>
      </w:r>
      <w:r>
        <w:t xml:space="preserve"> </w:t>
      </w:r>
      <w:r>
        <w:t xml:space="preserve">relevance activates under cross-border coordination demands, rather</w:t>
      </w:r>
      <w:r>
        <w:t xml:space="preserve"> </w:t>
      </w:r>
      <w:r>
        <w:t xml:space="preserve">than as a firm-wide productivity advantage.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internationalization–performance relationship; digital</w:t>
      </w:r>
      <w:r>
        <w:t xml:space="preserve"> </w:t>
      </w:r>
      <w:r>
        <w:t xml:space="preserve">adoption; technological capability; export intensity; labour</w:t>
      </w:r>
      <w:r>
        <w:t xml:space="preserve"> </w:t>
      </w:r>
      <w:r>
        <w:t xml:space="preserve">productivity; Singapore</w:t>
      </w:r>
    </w:p>
    <w:bookmarkEnd w:id="20"/>
    <w:bookmarkStart w:id="25" w:name="Xe3d0fc0bea9a42ce7605565d0964033d7f6ee47"/>
    <w:p>
      <w:pPr>
        <w:pStyle w:val="Heading2"/>
      </w:pPr>
      <w:r>
        <w:t xml:space="preserve">1 Introduction</w:t>
      </w:r>
    </w:p>
    <w:bookmarkStart w:id="21" w:name="Xe5b26b80b1cffd635bf6d81ca2944b40daaf62d"/>
    <w:p>
      <w:pPr>
        <w:pStyle w:val="Heading3"/>
      </w:pPr>
      <w:r>
        <w:t xml:space="preserve">1.1 Background and motivation</w:t>
      </w:r>
    </w:p>
    <w:p>
      <w:pPr>
        <w:pStyle w:val="FirstParagraph"/>
      </w:pPr>
      <w:r>
        <w:t xml:space="preserve">Singapore is an analytically valuable setting for revisiting the</w:t>
      </w:r>
      <w:r>
        <w:t xml:space="preserve"> </w:t>
      </w:r>
      <w:r>
        <w:t xml:space="preserve">internationalization–performance relationship because it combines high</w:t>
      </w:r>
      <w:r>
        <w:t xml:space="preserve"> </w:t>
      </w:r>
      <w:r>
        <w:t xml:space="preserve">digital maturity with firm-level heterogeneity in export intensity. The</w:t>
      </w:r>
      <w:r>
        <w:t xml:space="preserve"> </w:t>
      </w:r>
      <w:r>
        <w:t xml:space="preserve">classic I–P literature explains nonlinearity through a trade-off between</w:t>
      </w:r>
      <w:r>
        <w:t xml:space="preserve"> </w:t>
      </w:r>
      <w:r>
        <w:t xml:space="preserve">the scale and learning benefits of international expansion and the</w:t>
      </w:r>
      <w:r>
        <w:t xml:space="preserve"> </w:t>
      </w:r>
      <w:r>
        <w:t xml:space="preserve">rising coordination costs of operating across markets, with the</w:t>
      </w:r>
      <w:r>
        <w:t xml:space="preserve"> </w:t>
      </w:r>
      <w:r>
        <w:t xml:space="preserve">inverted-U emerging as the modal empirical pattern in the broader</w:t>
      </w:r>
      <w:r>
        <w:t xml:space="preserve"> </w:t>
      </w:r>
      <w:r>
        <w:t xml:space="preserve">literature (Marano et al. 2016). However, much of this literature was</w:t>
      </w:r>
      <w:r>
        <w:t xml:space="preserve"> </w:t>
      </w:r>
      <w:r>
        <w:t xml:space="preserve">developed in pre-digital or transitional-digital settings, where</w:t>
      </w:r>
      <w:r>
        <w:t xml:space="preserve"> </w:t>
      </w:r>
      <w:r>
        <w:t xml:space="preserve">institutional and infrastructural conditions differ substantially from</w:t>
      </w:r>
      <w:r>
        <w:t xml:space="preserve"> </w:t>
      </w:r>
      <w:r>
        <w:t xml:space="preserve">those of digitally advanced economies (Peng 2003; Peng et al. 2008) and</w:t>
      </w:r>
      <w:r>
        <w:t xml:space="preserve"> </w:t>
      </w:r>
      <w:r>
        <w:t xml:space="preserve">may not fully capture how the I–P curve behaves when firms operate in a</w:t>
      </w:r>
      <w:r>
        <w:t xml:space="preserve"> </w:t>
      </w:r>
      <w:r>
        <w:t xml:space="preserve">digitally advanced institutional environment. These conditions are</w:t>
      </w:r>
      <w:r>
        <w:t xml:space="preserve"> </w:t>
      </w:r>
      <w:r>
        <w:t xml:space="preserve">empirically grounded in contemporaneous assessments: Singapore ranked</w:t>
      </w:r>
      <w:r>
        <w:t xml:space="preserve"> </w:t>
      </w:r>
      <w:r>
        <w:t xml:space="preserve">2nd globally in the StartupBlink Innovators Business Environment Index</w:t>
      </w:r>
      <w:r>
        <w:t xml:space="preserve"> </w:t>
      </w:r>
      <w:r>
        <w:t xml:space="preserve">2026 (score 99.145 out of 100; 1st in Asia Pacific), 4th in the Global</w:t>
      </w:r>
      <w:r>
        <w:t xml:space="preserve"> </w:t>
      </w:r>
      <w:r>
        <w:t xml:space="preserve">Startup Ecosystem Index 2025 (up from 5th in 2024, with ecosystem growth</w:t>
      </w:r>
      <w:r>
        <w:t xml:space="preserve"> </w:t>
      </w:r>
      <w:r>
        <w:t xml:space="preserve">of 44.9% against a top-20 average of 28.5%), and 3rd in the United</w:t>
      </w:r>
      <w:r>
        <w:t xml:space="preserve"> </w:t>
      </w:r>
      <w:r>
        <w:t xml:space="preserve">Nations e-Government Survey 2024, while the Smart Nation 2.0 initiative</w:t>
      </w:r>
      <w:r>
        <w:t xml:space="preserve"> </w:t>
      </w:r>
      <w:r>
        <w:t xml:space="preserve">(launched 2024) formalizes digital trust infrastructure and</w:t>
      </w:r>
      <w:r>
        <w:t xml:space="preserve"> </w:t>
      </w:r>
      <w:r>
        <w:t xml:space="preserve">technology-enabled growth as explicit national policy priorities</w:t>
      </w:r>
      <w:r>
        <w:t xml:space="preserve"> </w:t>
      </w:r>
      <w:r>
        <w:t xml:space="preserve">(GovTech Singapore, 2024; StartupBlink, 2025, 2026). In such contexts,</w:t>
      </w:r>
      <w:r>
        <w:t xml:space="preserve"> </w:t>
      </w:r>
      <w:r>
        <w:t xml:space="preserve">the relevant question is not simply whether firms still exhibit the</w:t>
      </w:r>
      <w:r>
        <w:t xml:space="preserve"> </w:t>
      </w:r>
      <w:r>
        <w:t xml:space="preserve">conventional inverted-U, but whether digital maturity changes the export</w:t>
      </w:r>
      <w:r>
        <w:t xml:space="preserve"> </w:t>
      </w:r>
      <w:r>
        <w:t xml:space="preserve">range over which the right-side decline becomes empirically visible. If</w:t>
      </w:r>
      <w:r>
        <w:t xml:space="preserve"> </w:t>
      </w:r>
      <w:r>
        <w:t xml:space="preserve">mature digital infrastructure attenuates communication, transaction, and</w:t>
      </w:r>
      <w:r>
        <w:t xml:space="preserve"> </w:t>
      </w:r>
      <w:r>
        <w:t xml:space="preserve">information frictions, then the coordination-cost mechanism underlying</w:t>
      </w:r>
      <w:r>
        <w:t xml:space="preserve"> </w:t>
      </w:r>
      <w:r>
        <w:t xml:space="preserve">the classic inverted-U may be weakened, delayed, or pushed toward</w:t>
      </w:r>
      <w:r>
        <w:t xml:space="preserve"> </w:t>
      </w:r>
      <w:r>
        <w:t xml:space="preserve">sparsely populated levels of export intensity. This possibility is</w:t>
      </w:r>
      <w:r>
        <w:t xml:space="preserve"> </w:t>
      </w:r>
      <w:r>
        <w:t xml:space="preserve">especially important in environments where firms engage with digital</w:t>
      </w:r>
      <w:r>
        <w:t xml:space="preserve"> </w:t>
      </w:r>
      <w:r>
        <w:t xml:space="preserve">interfaces and transaction systems at scale, because such technologies</w:t>
      </w:r>
      <w:r>
        <w:t xml:space="preserve"> </w:t>
      </w:r>
      <w:r>
        <w:t xml:space="preserve">can alter both the cost and speed of cross-border coordination</w:t>
      </w:r>
      <w:r>
        <w:t xml:space="preserve"> </w:t>
      </w:r>
      <w:r>
        <w:t xml:space="preserve">(Bharadwaj et al. 2013; Verhoef et al. 2021). This combination creates</w:t>
      </w:r>
      <w:r>
        <w:t xml:space="preserve"> </w:t>
      </w:r>
      <w:r>
        <w:t xml:space="preserve">what we term a</w:t>
      </w:r>
      <w:r>
        <w:t xml:space="preserve"> </w:t>
      </w:r>
      <w:r>
        <w:rPr>
          <w:iCs/>
          <w:i/>
        </w:rPr>
        <w:t xml:space="preserve">digital saturation paradox</w:t>
      </w:r>
      <w:r>
        <w:t xml:space="preserve">: in an environment where</w:t>
      </w:r>
      <w:r>
        <w:t xml:space="preserve"> </w:t>
      </w:r>
      <w:r>
        <w:t xml:space="preserve">Tier 1–2 digital interfaces (websites, electronic payment systems) are</w:t>
      </w:r>
      <w:r>
        <w:t xml:space="preserve"> </w:t>
      </w:r>
      <w:r>
        <w:t xml:space="preserve">already widely diffused, these tools appear to function as hygiene</w:t>
      </w:r>
      <w:r>
        <w:t xml:space="preserve"> </w:t>
      </w:r>
      <w:r>
        <w:t xml:space="preserve">factors for domestic operations rather than differentiating assets. This</w:t>
      </w:r>
      <w:r>
        <w:t xml:space="preserve"> </w:t>
      </w:r>
      <w:r>
        <w:t xml:space="preserve">near-universal Tier 1–2 diffusion is enabled by Singapore's nationally</w:t>
      </w:r>
      <w:r>
        <w:t xml:space="preserve"> </w:t>
      </w:r>
      <w:r>
        <w:t xml:space="preserve">deployed Digital Public Infrastructure, encompassing digital identity</w:t>
      </w:r>
      <w:r>
        <w:t xml:space="preserve"> </w:t>
      </w:r>
      <w:r>
        <w:t xml:space="preserve">systems, payment rails, and data-exchange platforms, which the World</w:t>
      </w:r>
      <w:r>
        <w:t xml:space="preserve"> </w:t>
      </w:r>
      <w:r>
        <w:t xml:space="preserve">Bank (2025a) identifies as the foundational enabling layer for</w:t>
      </w:r>
      <w:r>
        <w:t xml:space="preserve"> </w:t>
      </w:r>
      <w:r>
        <w:t xml:space="preserve">firm-level digital adoption in advanced economies. Consistent with this,</w:t>
      </w:r>
      <w:r>
        <w:t xml:space="preserve"> </w:t>
      </w:r>
      <w:r>
        <w:t xml:space="preserve">the Singapore sample reveals that 82% of firms report zero exports,</w:t>
      </w:r>
      <w:r>
        <w:t xml:space="preserve"> </w:t>
      </w:r>
      <w:r>
        <w:t xml:space="preserve">while only 3% exceed 50% foreign sales to total sales, a striking</w:t>
      </w:r>
      <w:r>
        <w:t xml:space="preserve"> </w:t>
      </w:r>
      <w:r>
        <w:t xml:space="preserve">domestic orientation despite the economy's mature digital</w:t>
      </w:r>
      <w:r>
        <w:t xml:space="preserve"> </w:t>
      </w:r>
      <w:r>
        <w:t xml:space="preserve">infrastructure. As a result, the productivity returns to foundational</w:t>
      </w:r>
      <w:r>
        <w:t xml:space="preserve"> </w:t>
      </w:r>
      <w:r>
        <w:t xml:space="preserve">digital adoption should not be expected to manifest uniformly across</w:t>
      </w:r>
      <w:r>
        <w:t xml:space="preserve"> </w:t>
      </w:r>
      <w:r>
        <w:t xml:space="preserve">sampled firms; instead, they should become measurable primarily when</w:t>
      </w:r>
      <w:r>
        <w:t xml:space="preserve"> </w:t>
      </w:r>
      <w:r>
        <w:t xml:space="preserve">firms face the intensified coordination and transaction demands of</w:t>
      </w:r>
      <w:r>
        <w:t xml:space="preserve"> </w:t>
      </w:r>
      <w:r>
        <w:t xml:space="preserve">cross-border activity. Singapore therefore serves not merely as a</w:t>
      </w:r>
      <w:r>
        <w:t xml:space="preserve"> </w:t>
      </w:r>
      <w:r>
        <w:t xml:space="preserve">convenient empirical backdrop, but as an analytically ideal stress test</w:t>
      </w:r>
      <w:r>
        <w:t xml:space="preserve"> </w:t>
      </w:r>
      <w:r>
        <w:t xml:space="preserve">an environment in which the conditional logic of foundational digital</w:t>
      </w:r>
      <w:r>
        <w:t xml:space="preserve"> </w:t>
      </w:r>
      <w:r>
        <w:t xml:space="preserve">adoption is most legible precisely because domestic saturation removes</w:t>
      </w:r>
      <w:r>
        <w:t xml:space="preserve"> </w:t>
      </w:r>
      <w:r>
        <w:t xml:space="preserve">the uniform-premium effect and leaves only the export-contingent signal.</w:t>
      </w:r>
      <w:r>
        <w:t xml:space="preserve"> </w:t>
      </w:r>
      <w:r>
        <w:t xml:space="preserve">A second motivation concerns construct clarity. In digitally advanced</w:t>
      </w:r>
      <w:r>
        <w:t xml:space="preserve"> </w:t>
      </w:r>
      <w:r>
        <w:t xml:space="preserve">settings, firms may differ not only in deeper technological capability</w:t>
      </w:r>
      <w:r>
        <w:t xml:space="preserve"> </w:t>
      </w:r>
      <w:r>
        <w:t xml:space="preserve">rooted in learning, innovation, and absorptive capacity, but also in the</w:t>
      </w:r>
      <w:r>
        <w:t xml:space="preserve"> </w:t>
      </w:r>
      <w:r>
        <w:t xml:space="preserve">extent to which they adopt basic digital interfaces and</w:t>
      </w:r>
      <w:r>
        <w:t xml:space="preserve"> </w:t>
      </w:r>
      <w:r>
        <w:t xml:space="preserve">transaction-enabling systems. These two domains should not be collapsed</w:t>
      </w:r>
      <w:r>
        <w:t xml:space="preserve"> </w:t>
      </w:r>
      <w:r>
        <w:t xml:space="preserve">into a single umbrella construct, because technological capability</w:t>
      </w:r>
      <w:r>
        <w:t xml:space="preserve"> </w:t>
      </w:r>
      <w:r>
        <w:t xml:space="preserve">reflects firm-internal capability depth grounded in resource-based and</w:t>
      </w:r>
      <w:r>
        <w:t xml:space="preserve"> </w:t>
      </w:r>
      <w:r>
        <w:t xml:space="preserve">absorptive-capacity logic (Barney 1991; Cohen &amp; Levinthal 1990; Lall</w:t>
      </w:r>
      <w:r>
        <w:t xml:space="preserve"> </w:t>
      </w:r>
      <w:r>
        <w:t xml:space="preserve">1992), whereas digital adoption reflects participation in digitally</w:t>
      </w:r>
      <w:r>
        <w:t xml:space="preserve"> </w:t>
      </w:r>
      <w:r>
        <w:t xml:space="preserve">enabled transactions and interfaces that may be more contingent on the</w:t>
      </w:r>
      <w:r>
        <w:t xml:space="preserve"> </w:t>
      </w:r>
      <w:r>
        <w:t xml:space="preserve">surrounding digital ecosystem (Bharadwaj et al. 2013; Verhoef et al.</w:t>
      </w:r>
      <w:r>
        <w:t xml:space="preserve"> </w:t>
      </w:r>
      <w:r>
        <w:t xml:space="preserve">2021).</w:t>
      </w:r>
    </w:p>
    <w:bookmarkEnd w:id="21"/>
    <w:bookmarkStart w:id="22" w:name="X2961a496af63dca26d6e29b654ead2e696c6fdd"/>
    <w:p>
      <w:pPr>
        <w:pStyle w:val="Heading3"/>
      </w:pPr>
      <w:r>
        <w:t xml:space="preserve">1.2 Research gap</w:t>
      </w:r>
    </w:p>
    <w:p>
      <w:pPr>
        <w:pStyle w:val="FirstParagraph"/>
      </w:pPr>
      <w:r>
        <w:t xml:space="preserve">Three gaps motivate this study. First, prior research has often bundled</w:t>
      </w:r>
      <w:r>
        <w:t xml:space="preserve"> </w:t>
      </w:r>
      <w:r>
        <w:t xml:space="preserve">digitalization-related firm attributes into broad umbrella constructs,</w:t>
      </w:r>
      <w:r>
        <w:t xml:space="preserve"> </w:t>
      </w:r>
      <w:r>
        <w:t xml:space="preserve">making it difficult to distinguish firm-internal technological</w:t>
      </w:r>
      <w:r>
        <w:t xml:space="preserve"> </w:t>
      </w:r>
      <w:r>
        <w:t xml:space="preserve">capability from more basic forms of digital adoption. This matters</w:t>
      </w:r>
      <w:r>
        <w:t xml:space="preserve"> </w:t>
      </w:r>
      <w:r>
        <w:t xml:space="preserve">because the two domains imply different mechanisms of advantage:</w:t>
      </w:r>
      <w:r>
        <w:t xml:space="preserve"> </w:t>
      </w:r>
      <w:r>
        <w:t xml:space="preserve">technological capability concerns learning, innovation, and absorptive</w:t>
      </w:r>
      <w:r>
        <w:t xml:space="preserve"> </w:t>
      </w:r>
      <w:r>
        <w:t xml:space="preserve">depth within the firm, whereas foundational digital adoption concerns</w:t>
      </w:r>
      <w:r>
        <w:t xml:space="preserve"> </w:t>
      </w:r>
      <w:r>
        <w:t xml:space="preserve">the use of digital interfaces and transaction-enabling systems that may</w:t>
      </w:r>
      <w:r>
        <w:t xml:space="preserve"> </w:t>
      </w:r>
      <w:r>
        <w:t xml:space="preserve">matter differently across stages of internationalization. Second,</w:t>
      </w:r>
      <w:r>
        <w:t xml:space="preserve"> </w:t>
      </w:r>
      <w:r>
        <w:t xml:space="preserve">although work on digital internationalization has generated important</w:t>
      </w:r>
      <w:r>
        <w:t xml:space="preserve"> </w:t>
      </w:r>
      <w:r>
        <w:t xml:space="preserve">conceptual advances, firm-level evidence remains limited on how basic</w:t>
      </w:r>
      <w:r>
        <w:t xml:space="preserve"> </w:t>
      </w:r>
      <w:r>
        <w:t xml:space="preserve">digital adoption relates to export intensity within a single digitally</w:t>
      </w:r>
      <w:r>
        <w:t xml:space="preserve"> </w:t>
      </w:r>
      <w:r>
        <w:t xml:space="preserve">advanced institutional environment. In particular, the literature still</w:t>
      </w:r>
      <w:r>
        <w:t xml:space="preserve"> </w:t>
      </w:r>
      <w:r>
        <w:t xml:space="preserve">offers limited evidence on whether foundational digital tools matter</w:t>
      </w:r>
      <w:r>
        <w:t xml:space="preserve"> </w:t>
      </w:r>
      <w:r>
        <w:t xml:space="preserve">uniformly across firms or become more relevant only when cross-border</w:t>
      </w:r>
      <w:r>
        <w:t xml:space="preserve"> </w:t>
      </w:r>
      <w:r>
        <w:t xml:space="preserve">coordination demands intensify. Focusing on Tier 1–2 adoption, the most</w:t>
      </w:r>
      <w:r>
        <w:t xml:space="preserve"> </w:t>
      </w:r>
      <w:r>
        <w:t xml:space="preserve">widely diffused and comparable digital layer, is therefore a deliberate</w:t>
      </w:r>
      <w:r>
        <w:t xml:space="preserve"> </w:t>
      </w:r>
      <w:r>
        <w:t xml:space="preserve">design choice: if even these foundational tools exhibit</w:t>
      </w:r>
      <w:r>
        <w:t xml:space="preserve"> </w:t>
      </w:r>
      <w:r>
        <w:t xml:space="preserve">export-contingent productivity associations, higher-tier technologies</w:t>
      </w:r>
      <w:r>
        <w:t xml:space="preserve"> </w:t>
      </w:r>
      <w:r>
        <w:t xml:space="preserve">(automation, integrated ERP, AI-enabled systems) should produce even</w:t>
      </w:r>
      <w:r>
        <w:t xml:space="preserve"> </w:t>
      </w:r>
      <w:r>
        <w:t xml:space="preserve">stronger differentiation, making this the most conservative and</w:t>
      </w:r>
      <w:r>
        <w:t xml:space="preserve"> </w:t>
      </w:r>
      <w:r>
        <w:t xml:space="preserve">replicable test of the conditional digital adoption hypothesis. Third,</w:t>
      </w:r>
      <w:r>
        <w:t xml:space="preserve"> </w:t>
      </w:r>
      <w:r>
        <w:t xml:space="preserve">the nonlinear internationalization–performance literature has documented</w:t>
      </w:r>
      <w:r>
        <w:t xml:space="preserve"> </w:t>
      </w:r>
      <w:r>
        <w:t xml:space="preserve">inverted-U patterns extensively, but the interpretation of such patterns</w:t>
      </w:r>
      <w:r>
        <w:t xml:space="preserve"> </w:t>
      </w:r>
      <w:r>
        <w:t xml:space="preserve">in a digitally advanced setting remains under-specified. In a case such</w:t>
      </w:r>
      <w:r>
        <w:t xml:space="preserve"> </w:t>
      </w:r>
      <w:r>
        <w:t xml:space="preserve">as Singapore, the unresolved issue is not whether one setting can</w:t>
      </w:r>
      <w:r>
        <w:t xml:space="preserve"> </w:t>
      </w:r>
      <w:r>
        <w:t xml:space="preserve">establish a general boundary condition for all digitally mature</w:t>
      </w:r>
      <w:r>
        <w:t xml:space="preserve"> </w:t>
      </w:r>
      <w:r>
        <w:t xml:space="preserve">economies, but how firm-level evidence from that setting should be</w:t>
      </w:r>
      <w:r>
        <w:t xml:space="preserve"> </w:t>
      </w:r>
      <w:r>
        <w:t xml:space="preserve">interpreted relative to the conventional nonlinear literature. This</w:t>
      </w:r>
      <w:r>
        <w:t xml:space="preserve"> </w:t>
      </w:r>
      <w:r>
        <w:t xml:space="preserve">study addresses that issue by examining whether the right-side decline</w:t>
      </w:r>
      <w:r>
        <w:t xml:space="preserve"> </w:t>
      </w:r>
      <w:r>
        <w:t xml:space="preserve">of the curve is clearly identifiable within the export-intensity range</w:t>
      </w:r>
      <w:r>
        <w:t xml:space="preserve"> </w:t>
      </w:r>
      <w:r>
        <w:t xml:space="preserve">actually occupied by firms in Singapore and by separating technological</w:t>
      </w:r>
      <w:r>
        <w:t xml:space="preserve"> </w:t>
      </w:r>
      <w:r>
        <w:t xml:space="preserve">capability from foundational digital adoption in the same empirical</w:t>
      </w:r>
      <w:r>
        <w:t xml:space="preserve"> </w:t>
      </w:r>
      <w:r>
        <w:t xml:space="preserve">framework.</w:t>
      </w:r>
    </w:p>
    <w:bookmarkEnd w:id="22"/>
    <w:bookmarkStart w:id="23" w:name="X494b14dde48fd709c427dcfac91526fdde5ec7e"/>
    <w:p>
      <w:pPr>
        <w:pStyle w:val="Heading3"/>
      </w:pPr>
      <w:r>
        <w:t xml:space="preserve">1.3 Contribution</w:t>
      </w:r>
    </w:p>
    <w:p>
      <w:pPr>
        <w:pStyle w:val="FirstParagraph"/>
      </w:pPr>
      <w:r>
        <w:t xml:space="preserve">This study makes one primary contribution and two supporting</w:t>
      </w:r>
      <w:r>
        <w:t xml:space="preserve"> </w:t>
      </w:r>
      <w:r>
        <w:t xml:space="preserve">contributions. Its primary contribution is to document that foundational</w:t>
      </w:r>
      <w:r>
        <w:t xml:space="preserve"> </w:t>
      </w:r>
      <w:r>
        <w:t xml:space="preserve">digital adoption (DAI) functions as a conditional scaling resource</w:t>
      </w:r>
      <w:r>
        <w:t xml:space="preserve"> </w:t>
      </w:r>
      <w:r>
        <w:t xml:space="preserve">rather than a uniform productivity premium in a digitally advanced</w:t>
      </w:r>
      <w:r>
        <w:t xml:space="preserve"> </w:t>
      </w:r>
      <w:r>
        <w:t xml:space="preserve">economy: the productivity association of Tier 1–2 digital adoption is</w:t>
      </w:r>
      <w:r>
        <w:t xml:space="preserve"> </w:t>
      </w:r>
      <w:r>
        <w:t xml:space="preserve">weak across most of the export-intensity distribution and becomes more</w:t>
      </w:r>
      <w:r>
        <w:t xml:space="preserve"> </w:t>
      </w:r>
      <w:r>
        <w:t xml:space="preserve">positive only in the high-export tail, where cross-border coordination</w:t>
      </w:r>
      <w:r>
        <w:t xml:space="preserve"> </w:t>
      </w:r>
      <w:r>
        <w:t xml:space="preserve">demands are densest. This within-context evidence from Singapore</w:t>
      </w:r>
      <w:r>
        <w:t xml:space="preserve"> </w:t>
      </w:r>
      <w:r>
        <w:t xml:space="preserve">supports a contingent digital complementarity mechanism, DAI as a</w:t>
      </w:r>
      <w:r>
        <w:t xml:space="preserve"> </w:t>
      </w:r>
      <w:r>
        <w:t xml:space="preserve">scaling lever whose value is realised under export-intensity conditions</w:t>
      </w:r>
      <w:r>
        <w:t xml:space="preserve"> </w:t>
      </w:r>
      <w:r>
        <w:t xml:space="preserve">rather than as a broad firm-level capability advantage. The evidence for</w:t>
      </w:r>
      <w:r>
        <w:t xml:space="preserve"> </w:t>
      </w:r>
      <w:r>
        <w:t xml:space="preserve">this mechanism (H3: positive quadratic DAI×FSTS² interaction, β=+3.119,</w:t>
      </w:r>
      <w:r>
        <w:t xml:space="preserve"> </w:t>
      </w:r>
      <w:r>
        <w:t xml:space="preserve">p=.005) is the most distinctive empirical finding and the one least</w:t>
      </w:r>
      <w:r>
        <w:t xml:space="preserve"> </w:t>
      </w:r>
      <w:r>
        <w:t xml:space="preserve">anticipated by prior literature. The first supporting contribution</w:t>
      </w:r>
      <w:r>
        <w:t xml:space="preserve"> </w:t>
      </w:r>
      <w:r>
        <w:t xml:space="preserve">qualifies the conventional nonlinear I–P literature. Within the observed</w:t>
      </w:r>
      <w:r>
        <w:t xml:space="preserve"> </w:t>
      </w:r>
      <w:r>
        <w:t xml:space="preserve">export-intensity range, the fitted quadratic is more defensibly read as</w:t>
      </w:r>
      <w:r>
        <w:t xml:space="preserve"> </w:t>
      </w:r>
      <w:r>
        <w:t xml:space="preserve">predominantly positive with mild curvature than as a formally</w:t>
      </w:r>
      <w:r>
        <w:t xml:space="preserve"> </w:t>
      </w:r>
      <w:r>
        <w:t xml:space="preserve">established inverted-U: the implied turning point lies near FSTS=88.6%,</w:t>
      </w:r>
      <w:r>
        <w:t xml:space="preserve"> </w:t>
      </w:r>
      <w:r>
        <w:t xml:space="preserve">in a sparsely populated upper tail, and the Lind–Mehlum test does not</w:t>
      </w:r>
      <w:r>
        <w:t xml:space="preserve"> </w:t>
      </w:r>
      <w:r>
        <w:t xml:space="preserve">formally confirm a right-side decline at conventional thresholds. In a</w:t>
      </w:r>
      <w:r>
        <w:t xml:space="preserve"> </w:t>
      </w:r>
      <w:r>
        <w:t xml:space="preserve">digitally mature economy where Tier 1–2 coordination tools are widely</w:t>
      </w:r>
      <w:r>
        <w:t xml:space="preserve"> </w:t>
      </w:r>
      <w:r>
        <w:t xml:space="preserve">diffused, this is an informative positive null, consistent with the</w:t>
      </w:r>
      <w:r>
        <w:t xml:space="preserve"> </w:t>
      </w:r>
      <w:r>
        <w:t xml:space="preserve">saturation hypothesis, rather than an anomaly. The study therefore</w:t>
      </w:r>
      <w:r>
        <w:t xml:space="preserve"> </w:t>
      </w:r>
      <w:r>
        <w:t xml:space="preserve">qualifies rather than overturns the nonlinear I–P literature. The second</w:t>
      </w:r>
      <w:r>
        <w:t xml:space="preserve"> </w:t>
      </w:r>
      <w:r>
        <w:t xml:space="preserve">supporting contribution is construct clarification. The analysis</w:t>
      </w:r>
      <w:r>
        <w:t xml:space="preserve"> </w:t>
      </w:r>
      <w:r>
        <w:t xml:space="preserve">distinguishes technological capability (TCI) from foundational digital</w:t>
      </w:r>
      <w:r>
        <w:t xml:space="preserve"> </w:t>
      </w:r>
      <w:r>
        <w:t xml:space="preserve">adoption (DAI), separating firm-internal capability depth from digitally</w:t>
      </w:r>
      <w:r>
        <w:t xml:space="preserve"> </w:t>
      </w:r>
      <w:r>
        <w:t xml:space="preserve">enabled interfaces and transaction mechanisms. This distinction matters</w:t>
      </w:r>
      <w:r>
        <w:t xml:space="preserve"> </w:t>
      </w:r>
      <w:r>
        <w:t xml:space="preserve">because the two constructs are associated with firm performance through</w:t>
      </w:r>
      <w:r>
        <w:t xml:space="preserve"> </w:t>
      </w:r>
      <w:r>
        <w:t xml:space="preserve">different empirical patterns: TCI shows a more stable direct</w:t>
      </w:r>
      <w:r>
        <w:t xml:space="preserve"> </w:t>
      </w:r>
      <w:r>
        <w:t xml:space="preserve">productivity association, whereas DAI shows a contingent</w:t>
      </w:r>
      <w:r>
        <w:t xml:space="preserve"> </w:t>
      </w:r>
      <w:r>
        <w:t xml:space="preserve">export-intensity-dependent pattern. The §4.5 R1 indicator-sensitivity</w:t>
      </w:r>
      <w:r>
        <w:t xml:space="preserve"> </w:t>
      </w:r>
      <w:r>
        <w:t xml:space="preserve">diagnostic further clarifies that the Tier-1+2 composition of DAI</w:t>
      </w:r>
      <w:r>
        <w:t xml:space="preserve"> </w:t>
      </w:r>
      <w:r>
        <w:t xml:space="preserve">combining website presence with two-way electronic-payment intensity</w:t>
      </w:r>
      <w:r>
        <w:t xml:space="preserve"> </w:t>
      </w:r>
      <w:r>
        <w:t xml:space="preserve">is what generates the discriminatory power across the export-intensity</w:t>
      </w:r>
      <w:r>
        <w:t xml:space="preserve"> </w:t>
      </w:r>
      <w:r>
        <w:t xml:space="preserve">range; a Tier-1-only restriction substantially weakens the quadratic</w:t>
      </w:r>
      <w:r>
        <w:t xml:space="preserve"> </w:t>
      </w:r>
      <w:r>
        <w:t xml:space="preserve">interaction, indicating that the empirical legibility of the</w:t>
      </w:r>
      <w:r>
        <w:t xml:space="preserve"> </w:t>
      </w:r>
      <w:r>
        <w:t xml:space="preserve">conditional-scaling mechanism depends on the institutional availability</w:t>
      </w:r>
      <w:r>
        <w:t xml:space="preserve"> </w:t>
      </w:r>
      <w:r>
        <w:t xml:space="preserve">of Tier-2 transaction-enabling infrastructure (see §5.1 for the</w:t>
      </w:r>
      <w:r>
        <w:t xml:space="preserve"> </w:t>
      </w:r>
      <w:r>
        <w:t xml:space="preserve">construct-boundary discussion).</w:t>
      </w:r>
    </w:p>
    <w:bookmarkEnd w:id="23"/>
    <w:bookmarkStart w:id="24" w:name="Xdd618d9602139b0eee88c4277e195c55d104c48"/>
    <w:p>
      <w:pPr>
        <w:pStyle w:val="Heading3"/>
      </w:pPr>
      <w:r>
        <w:t xml:space="preserve">1.4 Roadmap</w:t>
      </w:r>
    </w:p>
    <w:p>
      <w:pPr>
        <w:pStyle w:val="FirstParagraph"/>
      </w:pPr>
      <w:r>
        <w:t xml:space="preserve">Section 2 develops the theoretical framework and four hypotheses.</w:t>
      </w:r>
      <w:r>
        <w:t xml:space="preserve"> </w:t>
      </w:r>
      <w:r>
        <w:t xml:space="preserve">Section 3 describes data and methods. Section 4 reports results. Section</w:t>
      </w:r>
      <w:r>
        <w:t xml:space="preserve"> </w:t>
      </w:r>
      <w:r>
        <w:t xml:space="preserve">5 discusses theoretical and managerial implications. Section 6</w:t>
      </w:r>
      <w:r>
        <w:t xml:space="preserve"> </w:t>
      </w:r>
      <w:r>
        <w:t xml:space="preserve">concludes. Section 7 acknowledges limitations and future research</w:t>
      </w:r>
      <w:r>
        <w:t xml:space="preserve"> </w:t>
      </w:r>
      <w:r>
        <w:t xml:space="preserve">directions.</w:t>
      </w:r>
    </w:p>
    <w:bookmarkEnd w:id="24"/>
    <w:bookmarkEnd w:id="25"/>
    <w:bookmarkStart w:id="34" w:name="X8bf20a63f0decf7b16e99d564b9958ec4fbbb23"/>
    <w:p>
      <w:pPr>
        <w:pStyle w:val="Heading2"/>
      </w:pPr>
      <w:r>
        <w:t xml:space="preserve">2 Theory and Hypotheses</w:t>
      </w:r>
    </w:p>
    <w:bookmarkStart w:id="26" w:name="X9497e0c582d29cdf214e76507e8fbbcc0b6d410"/>
    <w:p>
      <w:pPr>
        <w:pStyle w:val="Heading3"/>
      </w:pPr>
      <w:r>
        <w:t xml:space="preserve">2.1 The internationalization–performance relationship</w:t>
      </w:r>
    </w:p>
    <w:p>
      <w:pPr>
        <w:pStyle w:val="FirstParagraph"/>
      </w:pPr>
      <w:r>
        <w:t xml:space="preserve">The I–P literature has produced extensive evidence of nonlinear</w:t>
      </w:r>
      <w:r>
        <w:t xml:space="preserve"> </w:t>
      </w:r>
      <w:r>
        <w:t xml:space="preserve">relationships between the degree of internationalization and firm</w:t>
      </w:r>
      <w:r>
        <w:t xml:space="preserve"> </w:t>
      </w:r>
      <w:r>
        <w:t xml:space="preserve">performance. Hitt et al. (1997) introduced the inverted-U logic: initial</w:t>
      </w:r>
      <w:r>
        <w:t xml:space="preserve"> </w:t>
      </w:r>
      <w:r>
        <w:t xml:space="preserve">internationalization yields scale and learning benefits, but at high</w:t>
      </w:r>
      <w:r>
        <w:t xml:space="preserve"> </w:t>
      </w:r>
      <w:r>
        <w:t xml:space="preserve">export intensities firms encounter cognitive and coordination ceilings</w:t>
      </w:r>
      <w:r>
        <w:t xml:space="preserve"> </w:t>
      </w:r>
      <w:r>
        <w:t xml:space="preserve">that erode the returns to further expansion. Contractor et al. (2003)</w:t>
      </w:r>
      <w:r>
        <w:t xml:space="preserve"> </w:t>
      </w:r>
      <w:r>
        <w:t xml:space="preserve">extended this logic to a three-stage S-curve, and Lu and Beamish (2004)</w:t>
      </w:r>
      <w:r>
        <w:t xml:space="preserve"> </w:t>
      </w:r>
      <w:r>
        <w:t xml:space="preserve">refined the inverted-U with attention to firm size and age effects. The</w:t>
      </w:r>
      <w:r>
        <w:t xml:space="preserve"> </w:t>
      </w:r>
      <w:r>
        <w:t xml:space="preserve">modal pattern across this literature is an inverted-U with a turning</w:t>
      </w:r>
      <w:r>
        <w:t xml:space="preserve"> </w:t>
      </w:r>
      <w:r>
        <w:t xml:space="preserve">point in the 30%–60% foreign-sales-to-total-sales (FSTS) range (Marano</w:t>
      </w:r>
      <w:r>
        <w:t xml:space="preserve"> </w:t>
      </w:r>
      <w:r>
        <w:t xml:space="preserve">et al. 2016). An important implication of the nonlinear I–P literature</w:t>
      </w:r>
      <w:r>
        <w:t xml:space="preserve"> </w:t>
      </w:r>
      <w:r>
        <w:t xml:space="preserve">is that the visibility of an inverted-U depends not only on theory but</w:t>
      </w:r>
      <w:r>
        <w:t xml:space="preserve"> </w:t>
      </w:r>
      <w:r>
        <w:t xml:space="preserve">also on where firms actually lie in the observed distribution of</w:t>
      </w:r>
      <w:r>
        <w:t xml:space="preserve"> </w:t>
      </w:r>
      <w:r>
        <w:t xml:space="preserve">internationalization intensity. If firms operate in a setting where</w:t>
      </w:r>
      <w:r>
        <w:t xml:space="preserve"> </w:t>
      </w:r>
      <w:r>
        <w:t xml:space="preserve">digital infrastructure and transaction systems reduce some coordination</w:t>
      </w:r>
      <w:r>
        <w:t xml:space="preserve"> </w:t>
      </w:r>
      <w:r>
        <w:t xml:space="preserve">frictions, the right-side decline may become harder to detect within the</w:t>
      </w:r>
      <w:r>
        <w:t xml:space="preserve"> </w:t>
      </w:r>
      <w:r>
        <w:t xml:space="preserve">export range most firms occupy, even if coordination costs do not</w:t>
      </w:r>
      <w:r>
        <w:t xml:space="preserve"> </w:t>
      </w:r>
      <w:r>
        <w:t xml:space="preserve">disappear in principle. Singapore is therefore analytically useful not</w:t>
      </w:r>
      <w:r>
        <w:t xml:space="preserve"> </w:t>
      </w:r>
      <w:r>
        <w:t xml:space="preserve">because it can by itself establish a general boundary condition for</w:t>
      </w:r>
      <w:r>
        <w:t xml:space="preserve"> </w:t>
      </w:r>
      <w:r>
        <w:t xml:space="preserve">digitally mature economies, but because it provides a within-context</w:t>
      </w:r>
      <w:r>
        <w:t xml:space="preserve"> </w:t>
      </w:r>
      <w:r>
        <w:t xml:space="preserve">case for examining how the conventional I–P logic appears when firms</w:t>
      </w:r>
      <w:r>
        <w:t xml:space="preserve"> </w:t>
      </w:r>
      <w:r>
        <w:t xml:space="preserve">operate in a digitally advanced institutional environment.</w:t>
      </w:r>
    </w:p>
    <w:bookmarkEnd w:id="26"/>
    <w:bookmarkStart w:id="27" w:name="X58009fa5124754b9d12ae223bf3908d651fea58"/>
    <w:p>
      <w:pPr>
        <w:pStyle w:val="Heading3"/>
      </w:pPr>
      <w:r>
        <w:t xml:space="preserve">2.2 Two distinct constructs: TCI and DAI</w:t>
      </w:r>
    </w:p>
    <w:p>
      <w:pPr>
        <w:pStyle w:val="FirstParagraph"/>
      </w:pPr>
      <w:r>
        <w:t xml:space="preserve">A recurring problem in the digital international business literature is</w:t>
      </w:r>
      <w:r>
        <w:t xml:space="preserve"> </w:t>
      </w:r>
      <w:r>
        <w:t xml:space="preserve">the tendency to collapse technologically heterogeneous firm attributes</w:t>
      </w:r>
      <w:r>
        <w:t xml:space="preserve"> </w:t>
      </w:r>
      <w:r>
        <w:t xml:space="preserve">into a single umbrella construct, thereby blurring the distinction</w:t>
      </w:r>
      <w:r>
        <w:t xml:space="preserve"> </w:t>
      </w:r>
      <w:r>
        <w:t xml:space="preserve">between internal capability depth and digitally enabled market</w:t>
      </w:r>
      <w:r>
        <w:t xml:space="preserve"> </w:t>
      </w:r>
      <w:r>
        <w:t xml:space="preserve">participation (Verhoef et al. 2021). This study departs from that</w:t>
      </w:r>
      <w:r>
        <w:t xml:space="preserve"> </w:t>
      </w:r>
      <w:r>
        <w:t xml:space="preserve">practice by distinguishing a Technological Capability Index (TCI),</w:t>
      </w:r>
      <w:r>
        <w:t xml:space="preserve"> </w:t>
      </w:r>
      <w:r>
        <w:t xml:space="preserve">anchored in the Lall–Cohen-Levinthal capability tradition (Cohen &amp;</w:t>
      </w:r>
      <w:r>
        <w:t xml:space="preserve"> </w:t>
      </w:r>
      <w:r>
        <w:t xml:space="preserve">Levinthal 1990; Lall 1992), from a Digital Adoption Index (DAI),</w:t>
      </w:r>
      <w:r>
        <w:t xml:space="preserve"> </w:t>
      </w:r>
      <w:r>
        <w:t xml:space="preserve">anchored in the Bharadwaj–Verhoef digitalization tradition (Bharadwaj et</w:t>
      </w:r>
      <w:r>
        <w:t xml:space="preserve"> </w:t>
      </w:r>
      <w:r>
        <w:t xml:space="preserve">al. 2013; Verhoef et al. 2021). The distinction is theoretically</w:t>
      </w:r>
      <w:r>
        <w:t xml:space="preserve"> </w:t>
      </w:r>
      <w:r>
        <w:t xml:space="preserve">necessary because the two constructs refer to different domains of firm</w:t>
      </w:r>
      <w:r>
        <w:t xml:space="preserve"> </w:t>
      </w:r>
      <w:r>
        <w:t xml:space="preserve">advantage. TCI captures internal capability stocks related to</w:t>
      </w:r>
      <w:r>
        <w:t xml:space="preserve"> </w:t>
      </w:r>
      <w:r>
        <w:t xml:space="preserve">innovation, learning, and technology absorption, drawing on the</w:t>
      </w:r>
      <w:r>
        <w:t xml:space="preserve"> </w:t>
      </w:r>
      <w:r>
        <w:t xml:space="preserve">absorptive-capacity logic of Cohen and Levinthal (1990) and the</w:t>
      </w:r>
      <w:r>
        <w:t xml:space="preserve"> </w:t>
      </w:r>
      <w:r>
        <w:t xml:space="preserve">technological-capability tradition of Lall (1992). DAI, by contrast,</w:t>
      </w:r>
      <w:r>
        <w:t xml:space="preserve"> </w:t>
      </w:r>
      <w:r>
        <w:t xml:space="preserve">captures the firm’s uptake of digital interfaces and</w:t>
      </w:r>
      <w:r>
        <w:t xml:space="preserve"> </w:t>
      </w:r>
      <w:r>
        <w:t xml:space="preserve">transaction-enabling mechanisms (Bharadwaj et al. 2013), reflecting a</w:t>
      </w:r>
      <w:r>
        <w:t xml:space="preserve"> </w:t>
      </w:r>
      <w:r>
        <w:t xml:space="preserve">more environmentally contingent form of firm advantage that depends on</w:t>
      </w:r>
      <w:r>
        <w:t xml:space="preserve"> </w:t>
      </w:r>
      <w:r>
        <w:t xml:space="preserve">the maturity of the surrounding digital ecosystem (Verhoef et al. 2021).</w:t>
      </w:r>
      <w:r>
        <w:t xml:space="preserve"> </w:t>
      </w:r>
      <w:r>
        <w:t xml:space="preserve">Equally important, the label “digital adoption” is more defensible than</w:t>
      </w:r>
      <w:r>
        <w:t xml:space="preserve"> </w:t>
      </w:r>
      <w:r>
        <w:t xml:space="preserve">“digital capability” in the present empirical setting because the WBES</w:t>
      </w:r>
      <w:r>
        <w:t xml:space="preserve"> </w:t>
      </w:r>
      <w:r>
        <w:t xml:space="preserve">indicators available here map primarily onto basic digital presence and</w:t>
      </w:r>
      <w:r>
        <w:t xml:space="preserve"> </w:t>
      </w:r>
      <w:r>
        <w:t xml:space="preserve">digital transaction usage rather than deeper digitally integrated</w:t>
      </w:r>
      <w:r>
        <w:t xml:space="preserve"> </w:t>
      </w:r>
      <w:r>
        <w:t xml:space="preserve">organizational processes. In the Verhoef et al. (2021) hierarchy,</w:t>
      </w:r>
      <w:r>
        <w:t xml:space="preserve"> </w:t>
      </w:r>
      <w:r>
        <w:t xml:space="preserve">website presence (c22b) corresponds most closely to Tier 1 digitization,</w:t>
      </w:r>
      <w:r>
        <w:t xml:space="preserve"> </w:t>
      </w:r>
      <w:r>
        <w:t xml:space="preserve">while electronic-payment intensity on the customer and supplier sides</w:t>
      </w:r>
      <w:r>
        <w:t xml:space="preserve"> </w:t>
      </w:r>
      <w:r>
        <w:t xml:space="preserve">(k33, k38) corresponds to Tier 2 digitalization. Our DAI composite</w:t>
      </w:r>
      <w:r>
        <w:t xml:space="preserve"> </w:t>
      </w:r>
      <w:r>
        <w:t xml:space="preserve">therefore captures the foundational digital layer upon which</w:t>
      </w:r>
      <w:r>
        <w:t xml:space="preserve"> </w:t>
      </w:r>
      <w:r>
        <w:t xml:space="preserve">higher-order digital capabilities may be built, but it cannot directly</w:t>
      </w:r>
      <w:r>
        <w:t xml:space="preserve"> </w:t>
      </w:r>
      <w:r>
        <w:t xml:space="preserve">observe Tier 3 process integration (e.g., ERP, CRM, digitally integrated</w:t>
      </w:r>
      <w:r>
        <w:t xml:space="preserve"> </w:t>
      </w:r>
      <w:r>
        <w:t xml:space="preserve">supply chains) or Tier 4 digital dynamic capability (e.g., AI</w:t>
      </w:r>
      <w:r>
        <w:t xml:space="preserve"> </w:t>
      </w:r>
      <w:r>
        <w:t xml:space="preserve">deployment, platform orchestration, reconfiguration capability). Given</w:t>
      </w:r>
      <w:r>
        <w:t xml:space="preserve"> </w:t>
      </w:r>
      <w:r>
        <w:t xml:space="preserve">this measurement boundary, retaining a broad “digital capability” label</w:t>
      </w:r>
      <w:r>
        <w:t xml:space="preserve"> </w:t>
      </w:r>
      <w:r>
        <w:t xml:space="preserve">would overstate what the underlying indicators can legitimately support,</w:t>
      </w:r>
      <w:r>
        <w:t xml:space="preserve"> </w:t>
      </w:r>
      <w:r>
        <w:t xml:space="preserve">whereas the DAI label improves construct validity by aligning the</w:t>
      </w:r>
      <w:r>
        <w:t xml:space="preserve"> </w:t>
      </w:r>
      <w:r>
        <w:t xml:space="preserve">variable name with the actual content domain of the observed measures.</w:t>
      </w:r>
      <w:r>
        <w:t xml:space="preserve"> </w:t>
      </w:r>
      <w:r>
        <w:t xml:space="preserve">Methodologically, the two constructs satisfy the Coltman et al. (2008)</w:t>
      </w:r>
      <w:r>
        <w:t xml:space="preserve"> </w:t>
      </w:r>
      <w:r>
        <w:t xml:space="preserve">four-criterion test for formative (as opposed to reflective)</w:t>
      </w:r>
      <w:r>
        <w:t xml:space="preserve"> </w:t>
      </w:r>
      <w:r>
        <w:t xml:space="preserve">measurement. Separately, combining TCI and DAI into a single composite</w:t>
      </w:r>
      <w:r>
        <w:t xml:space="preserve"> </w:t>
      </w:r>
      <w:r>
        <w:t xml:space="preserve">would violate the principle that constructs with different hypothesised</w:t>
      </w:r>
      <w:r>
        <w:t xml:space="preserve"> </w:t>
      </w:r>
      <w:r>
        <w:t xml:space="preserve">nomological nets should remain analytically distinct.</w:t>
      </w:r>
    </w:p>
    <w:bookmarkEnd w:id="27"/>
    <w:bookmarkStart w:id="32" w:name="Xfeb3205642325e47f2817bab2cc060c9f999b02"/>
    <w:p>
      <w:pPr>
        <w:pStyle w:val="Heading3"/>
      </w:pPr>
      <w:r>
        <w:t xml:space="preserve">2.3 Hypothesis development</w:t>
      </w:r>
    </w:p>
    <w:bookmarkStart w:id="28" w:name="X9de0e934912487c2b2355f424516474f67bf4ef"/>
    <w:p>
      <w:pPr>
        <w:pStyle w:val="Heading4"/>
      </w:pPr>
      <w:r>
        <w:t xml:space="preserve">2.3.1 TCI direct effect on productivity</w:t>
      </w:r>
    </w:p>
    <w:p>
      <w:pPr>
        <w:pStyle w:val="FirstParagraph"/>
      </w:pPr>
      <w:r>
        <w:t xml:space="preserve">Following the Lall (1992) capability tradition and the Cohen and</w:t>
      </w:r>
      <w:r>
        <w:t xml:space="preserve"> </w:t>
      </w:r>
      <w:r>
        <w:t xml:space="preserve">Levinthal (1990) absorptive-capacity logic, firms with deeper</w:t>
      </w:r>
      <w:r>
        <w:t xml:space="preserve"> </w:t>
      </w:r>
      <w:r>
        <w:t xml:space="preserve">technological capability should produce more output per unit of labour</w:t>
      </w:r>
      <w:r>
        <w:t xml:space="preserve"> </w:t>
      </w:r>
      <w:r>
        <w:t xml:space="preserve">input regardless of internationalization stage. Technological capability</w:t>
      </w:r>
      <w:r>
        <w:t xml:space="preserve"> </w:t>
      </w:r>
      <w:r>
        <w:t xml:space="preserve">reflects firm-internal investments in R&amp;D, innovation, foreign</w:t>
      </w:r>
      <w:r>
        <w:t xml:space="preserve"> </w:t>
      </w:r>
      <w:r>
        <w:t xml:space="preserve">technology licensing, and quality certification, all of which are</w:t>
      </w:r>
      <w:r>
        <w:t xml:space="preserve"> </w:t>
      </w:r>
      <w:r>
        <w:t xml:space="preserve">associated with a higher productivity floor, reflected in operational</w:t>
      </w:r>
      <w:r>
        <w:t xml:space="preserve"> </w:t>
      </w:r>
      <w:r>
        <w:t xml:space="preserve">efficiency, product quality, and learning routines (Avenyo et al. 2021;</w:t>
      </w:r>
      <w:r>
        <w:t xml:space="preserve"> </w:t>
      </w:r>
      <w:r>
        <w:t xml:space="preserve">Krammer et al. 2018). We therefore hypothesize: Hypothesis 1 (H1). In</w:t>
      </w:r>
      <w:r>
        <w:t xml:space="preserve"> </w:t>
      </w:r>
      <w:r>
        <w:t xml:space="preserve">Singapore's advanced-economy context, when firms invest more deeply in</w:t>
      </w:r>
      <w:r>
        <w:t xml:space="preserve"> </w:t>
      </w:r>
      <w:r>
        <w:t xml:space="preserve">R&amp;D, innovation, technology licensing, and quality certification, labour</w:t>
      </w:r>
      <w:r>
        <w:t xml:space="preserve"> </w:t>
      </w:r>
      <w:r>
        <w:t xml:space="preserve">productivity is higher because technological capability raises the</w:t>
      </w:r>
      <w:r>
        <w:t xml:space="preserve"> </w:t>
      </w:r>
      <w:r>
        <w:t xml:space="preserve">firm's operational efficiency and learning routines (Lall 1992; Cohen &amp;</w:t>
      </w:r>
      <w:r>
        <w:t xml:space="preserve"> </w:t>
      </w:r>
      <w:r>
        <w:t xml:space="preserve">Levinthal 1990), before any additional moderation of the I–P curve shape</w:t>
      </w:r>
      <w:r>
        <w:t xml:space="preserve"> </w:t>
      </w:r>
      <w:r>
        <w:t xml:space="preserve">is considered.</w:t>
      </w:r>
    </w:p>
    <w:bookmarkEnd w:id="28"/>
    <w:bookmarkStart w:id="29" w:name="Xd77aef7f084e33ec0dd33a50710ed9d88a5bd5f"/>
    <w:p>
      <w:pPr>
        <w:pStyle w:val="Heading4"/>
      </w:pPr>
      <w:r>
        <w:t xml:space="preserve">2.3.2 TCI moderation of the I–P relationship</w:t>
      </w:r>
    </w:p>
    <w:p>
      <w:pPr>
        <w:pStyle w:val="FirstParagraph"/>
      </w:pPr>
      <w:r>
        <w:t xml:space="preserve">A subtler prediction concerns whether technological capability alters</w:t>
      </w:r>
      <w:r>
        <w:t xml:space="preserve"> </w:t>
      </w:r>
      <w:r>
        <w:t xml:space="preserve">the shape of the internationalization–performance relationship rather</w:t>
      </w:r>
      <w:r>
        <w:t xml:space="preserve"> </w:t>
      </w:r>
      <w:r>
        <w:t xml:space="preserve">than simply raising average productivity. From a non-location-bound</w:t>
      </w:r>
      <w:r>
        <w:t xml:space="preserve"> </w:t>
      </w:r>
      <w:r>
        <w:t xml:space="preserve">firm-specific advantage perspective, technological capability may travel</w:t>
      </w:r>
      <w:r>
        <w:t xml:space="preserve"> </w:t>
      </w:r>
      <w:r>
        <w:t xml:space="preserve">across markets without requiring the same degree of adaptation as</w:t>
      </w:r>
      <w:r>
        <w:t xml:space="preserve"> </w:t>
      </w:r>
      <w:r>
        <w:t xml:space="preserve">context-dependent coordination tools. This suggests that its most stable</w:t>
      </w:r>
      <w:r>
        <w:t xml:space="preserve"> </w:t>
      </w:r>
      <w:r>
        <w:t xml:space="preserve">empirical role may lie in its direct association with productivity,</w:t>
      </w:r>
      <w:r>
        <w:t xml:space="preserve"> </w:t>
      </w:r>
      <w:r>
        <w:t xml:space="preserve">while any moderation of the FSTS–performance relationship is less</w:t>
      </w:r>
      <w:r>
        <w:t xml:space="preserve"> </w:t>
      </w:r>
      <w:r>
        <w:t xml:space="preserve">certain and should be treated as an empirical question rather than</w:t>
      </w:r>
      <w:r>
        <w:t xml:space="preserve"> </w:t>
      </w:r>
      <w:r>
        <w:t xml:space="preserve">presumed ex ante. Whether technological capability (TCI) also moderates</w:t>
      </w:r>
      <w:r>
        <w:t xml:space="preserve"> </w:t>
      </w:r>
      <w:r>
        <w:t xml:space="preserve">the internationalization–performance relationship is treated as an open</w:t>
      </w:r>
      <w:r>
        <w:t xml:space="preserve"> </w:t>
      </w:r>
      <w:r>
        <w:t xml:space="preserve">empirical question and assessed in a supplementary specification rather</w:t>
      </w:r>
      <w:r>
        <w:t xml:space="preserve"> </w:t>
      </w:r>
      <w:r>
        <w:t xml:space="preserve">than as a hypothesized moderation channel. Consequently, this paper</w:t>
      </w:r>
      <w:r>
        <w:t xml:space="preserve"> </w:t>
      </w:r>
      <w:r>
        <w:t xml:space="preserve">formally states H1, H2, and H3 only; a TCI moderation hypothesis is not</w:t>
      </w:r>
      <w:r>
        <w:t xml:space="preserve"> </w:t>
      </w:r>
      <w:r>
        <w:t xml:space="preserve">posited for the Singapore context, where the advanced-economy setting</w:t>
      </w:r>
      <w:r>
        <w:t xml:space="preserve"> </w:t>
      </w:r>
      <w:r>
        <w:t xml:space="preserve">and near-universal digital diffusion do not generate the institutional</w:t>
      </w:r>
      <w:r>
        <w:t xml:space="preserve"> </w:t>
      </w:r>
      <w:r>
        <w:t xml:space="preserve">heterogeneity that would support a confident ex-ante prediction about</w:t>
      </w:r>
      <w:r>
        <w:t xml:space="preserve"> </w:t>
      </w:r>
      <w:r>
        <w:t xml:space="preserve">TCI-contingent I–P curvature. The present paper's H2 and H3 are</w:t>
      </w:r>
      <w:r>
        <w:t xml:space="preserve"> </w:t>
      </w:r>
      <w:r>
        <w:t xml:space="preserve">accordingly numbered consecutively after H1: H2 captures the conditional</w:t>
      </w:r>
      <w:r>
        <w:t xml:space="preserve"> </w:t>
      </w:r>
      <w:r>
        <w:t xml:space="preserve">(non-uniform) DAI–productivity association, and H3 captures the</w:t>
      </w:r>
      <w:r>
        <w:t xml:space="preserve"> </w:t>
      </w:r>
      <w:r>
        <w:t xml:space="preserve">export-intensity-contingent moderation of DAI on the I–P relationship.</w:t>
      </w:r>
    </w:p>
    <w:bookmarkEnd w:id="29"/>
    <w:bookmarkStart w:id="30" w:name="Xca797cdf899e8025c95598929e8214dfe008510"/>
    <w:p>
      <w:pPr>
        <w:pStyle w:val="Heading4"/>
      </w:pPr>
      <w:r>
        <w:t xml:space="preserve">2.3.3 DAI direct effect on productivity</w:t>
      </w:r>
    </w:p>
    <w:p>
      <w:pPr>
        <w:pStyle w:val="FirstParagraph"/>
      </w:pPr>
      <w:r>
        <w:t xml:space="preserve">Digital adoption is associated with firm performance through faster</w:t>
      </w:r>
      <w:r>
        <w:t xml:space="preserve"> </w:t>
      </w:r>
      <w:r>
        <w:t xml:space="preserve">information flows, lower transaction frictions, and more efficient</w:t>
      </w:r>
      <w:r>
        <w:t xml:space="preserve"> </w:t>
      </w:r>
      <w:r>
        <w:t xml:space="preserve">digital exchange, but such associations are unlikely to be uniform</w:t>
      </w:r>
      <w:r>
        <w:t xml:space="preserve"> </w:t>
      </w:r>
      <w:r>
        <w:t xml:space="preserve">across firms. In the present empirical setting, the available indicators</w:t>
      </w:r>
      <w:r>
        <w:t xml:space="preserve"> </w:t>
      </w:r>
      <w:r>
        <w:t xml:space="preserve">capture foundational digital interfaces and transaction-enabling</w:t>
      </w:r>
      <w:r>
        <w:t xml:space="preserve"> </w:t>
      </w:r>
      <w:r>
        <w:t xml:space="preserve">mechanisms rather than deeper digitally integrated organizational</w:t>
      </w:r>
      <w:r>
        <w:t xml:space="preserve"> </w:t>
      </w:r>
      <w:r>
        <w:t xml:space="preserve">capabilities. Their productivity relevance is therefore not expected to</w:t>
      </w:r>
      <w:r>
        <w:t xml:space="preserve"> </w:t>
      </w:r>
      <w:r>
        <w:t xml:space="preserve">appear as a large, unconditional firm-wide premium, but as an</w:t>
      </w:r>
      <w:r>
        <w:t xml:space="preserve"> </w:t>
      </w:r>
      <w:r>
        <w:t xml:space="preserve">association whose strength may depend on the scale at which firms</w:t>
      </w:r>
      <w:r>
        <w:t xml:space="preserve"> </w:t>
      </w:r>
      <w:r>
        <w:t xml:space="preserve">actually use those digital channels. Hypothesis 2 (H2). In Singapore,</w:t>
      </w:r>
      <w:r>
        <w:t xml:space="preserve"> </w:t>
      </w:r>
      <w:r>
        <w:t xml:space="preserve">when firms adopt foundational digital interfaces and</w:t>
      </w:r>
      <w:r>
        <w:t xml:space="preserve"> </w:t>
      </w:r>
      <w:r>
        <w:t xml:space="preserve">transaction-enabling mechanisms (Tier 1–2), the productivity association</w:t>
      </w:r>
      <w:r>
        <w:t xml:space="preserve"> </w:t>
      </w:r>
      <w:r>
        <w:t xml:space="preserve">of DAI is conditional rather than uniform across firms, because the</w:t>
      </w:r>
      <w:r>
        <w:t xml:space="preserve"> </w:t>
      </w:r>
      <w:r>
        <w:t xml:space="preserve">marginal return to basic digital adoption depends on the scale at which</w:t>
      </w:r>
      <w:r>
        <w:t xml:space="preserve"> </w:t>
      </w:r>
      <w:r>
        <w:t xml:space="preserve">those digital channels are actually used (Bharadwaj et al. 2013; Verhoef</w:t>
      </w:r>
      <w:r>
        <w:t xml:space="preserve"> </w:t>
      </w:r>
      <w:r>
        <w:t xml:space="preserve">et al. 2021), until a level of export intensity is reached at which</w:t>
      </w:r>
      <w:r>
        <w:t xml:space="preserve"> </w:t>
      </w:r>
      <w:r>
        <w:t xml:space="preserve">cross-border coordination demands generate measurable returns.</w:t>
      </w:r>
    </w:p>
    <w:bookmarkEnd w:id="30"/>
    <w:bookmarkStart w:id="31" w:name="Xb90d981e4efafb918608a9cc7d37012dec59e7b"/>
    <w:p>
      <w:pPr>
        <w:pStyle w:val="Heading4"/>
      </w:pPr>
      <w:r>
        <w:t xml:space="preserve">2.3.4 DAI as a conditional complement to export intensity</w:t>
      </w:r>
    </w:p>
    <w:p>
      <w:pPr>
        <w:pStyle w:val="FirstParagraph"/>
      </w:pPr>
      <w:r>
        <w:t xml:space="preserve">The most specific prediction concerns whether foundational digital</w:t>
      </w:r>
      <w:r>
        <w:t xml:space="preserve"> </w:t>
      </w:r>
      <w:r>
        <w:t xml:space="preserve">adoption becomes more relevant when firms face denser cross-border</w:t>
      </w:r>
      <w:r>
        <w:t xml:space="preserve"> </w:t>
      </w:r>
      <w:r>
        <w:t xml:space="preserve">coordination demands. Firms with higher export intensity process more</w:t>
      </w:r>
      <w:r>
        <w:t xml:space="preserve"> </w:t>
      </w:r>
      <w:r>
        <w:t xml:space="preserve">transactions across customers, suppliers, and markets, making digital</w:t>
      </w:r>
      <w:r>
        <w:t xml:space="preserve"> </w:t>
      </w:r>
      <w:r>
        <w:t xml:space="preserve">interfaces and electronic transaction systems potentially more valuable</w:t>
      </w:r>
      <w:r>
        <w:t xml:space="preserve"> </w:t>
      </w:r>
      <w:r>
        <w:t xml:space="preserve">as scaling mechanisms. By contrast, firms with low export intensity may</w:t>
      </w:r>
      <w:r>
        <w:t xml:space="preserve"> </w:t>
      </w:r>
      <w:r>
        <w:t xml:space="preserve">have fewer opportunities to translate basic digital adoption into</w:t>
      </w:r>
      <w:r>
        <w:t xml:space="preserve"> </w:t>
      </w:r>
      <w:r>
        <w:t xml:space="preserve">measurable labour-productivity gains.</w:t>
      </w:r>
    </w:p>
    <w:p>
      <w:pPr>
        <w:pStyle w:val="BodyText"/>
      </w:pPr>
      <w:r>
        <w:rPr>
          <w:bCs/>
          <w:b/>
        </w:rPr>
        <w:t xml:space="preserve">Three candidate mechanisms underpinning the export-contingent</w:t>
      </w:r>
      <w:r>
        <w:rPr>
          <w:bCs/>
          <w:b/>
        </w:rPr>
        <w:t xml:space="preserve"> </w:t>
      </w:r>
      <w:r>
        <w:rPr>
          <w:bCs/>
          <w:b/>
        </w:rPr>
        <w:t xml:space="preserve">DAI–productivity association.</w:t>
      </w:r>
      <w:r>
        <w:t xml:space="preserve"> </w:t>
      </w:r>
      <w:r>
        <w:t xml:space="preserve">Before stating H3, we name the three</w:t>
      </w:r>
      <w:r>
        <w:t xml:space="preserve"> </w:t>
      </w:r>
      <w:r>
        <w:t xml:space="preserve">theoretical channels that could generate a positive export-contingent</w:t>
      </w:r>
      <w:r>
        <w:t xml:space="preserve"> </w:t>
      </w:r>
      <w:r>
        <w:t xml:space="preserve">DAI association, because identifying the focal mechanism in advance</w:t>
      </w:r>
      <w:r>
        <w:t xml:space="preserve"> </w:t>
      </w:r>
      <w:r>
        <w:t xml:space="preserve">disciplines the empirical reading of the interaction terms and the</w:t>
      </w:r>
      <w:r>
        <w:t xml:space="preserve"> </w:t>
      </w:r>
      <w:r>
        <w:t xml:space="preserve">robustness diagnostics.</w:t>
      </w:r>
      <w:r>
        <w:t xml:space="preserve"> </w:t>
      </w:r>
      <w:r>
        <w:rPr>
          <w:iCs/>
          <w:i/>
        </w:rPr>
        <w:t xml:space="preserve">Mechanism 1, Substitution</w:t>
      </w:r>
      <w:r>
        <w:t xml:space="preserve">: foundational</w:t>
      </w:r>
      <w:r>
        <w:t xml:space="preserve"> </w:t>
      </w:r>
      <w:r>
        <w:t xml:space="preserve">digital adoption compensates for weaker alternative coordination</w:t>
      </w:r>
      <w:r>
        <w:t xml:space="preserve"> </w:t>
      </w:r>
      <w:r>
        <w:t xml:space="preserve">resources at higher export intensity by reducing per-unit cross-border</w:t>
      </w:r>
      <w:r>
        <w:t xml:space="preserve"> </w:t>
      </w:r>
      <w:r>
        <w:t xml:space="preserve">coordination cost, thereby raising the productivity of high-intensity</w:t>
      </w:r>
      <w:r>
        <w:t xml:space="preserve"> </w:t>
      </w:r>
      <w:r>
        <w:t xml:space="preserve">exporters relative to low-DAI peers. Substitution predicts a</w:t>
      </w:r>
      <w:r>
        <w:t xml:space="preserve"> </w:t>
      </w:r>
      <w:r>
        <w:rPr>
          <w:iCs/>
          <w:i/>
        </w:rPr>
        <w:t xml:space="preserve">level</w:t>
      </w:r>
      <w:r>
        <w:rPr>
          <w:iCs/>
          <w:i/>
        </w:rPr>
        <w:t xml:space="preserve"> </w:t>
      </w:r>
      <w:r>
        <w:rPr>
          <w:iCs/>
          <w:i/>
        </w:rPr>
        <w:t xml:space="preserve">shift</w:t>
      </w:r>
      <w:r>
        <w:t xml:space="preserve"> </w:t>
      </w:r>
      <w:r>
        <w:t xml:space="preserve">of the I–P curve for high-DAI firms but does not necessarily</w:t>
      </w:r>
      <w:r>
        <w:t xml:space="preserve"> </w:t>
      </w:r>
      <w:r>
        <w:t xml:space="preserve">require accelerating returns to DAI as export intensity rises.</w:t>
      </w:r>
      <w:r>
        <w:t xml:space="preserve"> </w:t>
      </w:r>
      <w:r>
        <w:rPr>
          <w:iCs/>
          <w:i/>
        </w:rPr>
        <w:t xml:space="preserve">Mechanism 2, Amplification</w:t>
      </w:r>
      <w:r>
        <w:t xml:space="preserve">: foundational digital adoption raises the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productivity return to each additional unit of export</w:t>
      </w:r>
      <w:r>
        <w:t xml:space="preserve"> </w:t>
      </w:r>
      <w:r>
        <w:t xml:space="preserve">intensity, effectively rotating the I–P curve upward for high-DAI firms</w:t>
      </w:r>
      <w:r>
        <w:t xml:space="preserve"> </w:t>
      </w:r>
      <w:r>
        <w:t xml:space="preserve">rather than shifting it in parallel. Amplification predicts an</w:t>
      </w:r>
      <w:r>
        <w:t xml:space="preserve"> </w:t>
      </w:r>
      <w:r>
        <w:t xml:space="preserve">accelerating contribution of DAI as export intensity rises and is</w:t>
      </w:r>
      <w:r>
        <w:t xml:space="preserve"> </w:t>
      </w:r>
      <w:r>
        <w:t xml:space="preserve">empirically distinguishable from substitution through the sign and</w:t>
      </w:r>
      <w:r>
        <w:t xml:space="preserve"> </w:t>
      </w:r>
      <w:r>
        <w:t xml:space="preserve">significance of the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FSTS × DAI interaction: a positive</w:t>
      </w:r>
      <w:r>
        <w:t xml:space="preserve"> </w:t>
      </w:r>
      <w:r>
        <w:t xml:space="preserve">quadratic coefficient is consistent with amplification because it</w:t>
      </w:r>
      <w:r>
        <w:t xml:space="preserve"> </w:t>
      </w:r>
      <w:r>
        <w:t xml:space="preserve">implies that DAI's productivity contribution grows super-linearly with</w:t>
      </w:r>
      <w:r>
        <w:t xml:space="preserve"> </w:t>
      </w:r>
      <w:r>
        <w:t xml:space="preserve">export-intensity scale, which a level-shift substitution mechanism would</w:t>
      </w:r>
      <w:r>
        <w:t xml:space="preserve"> </w:t>
      </w:r>
      <w:r>
        <w:t xml:space="preserve">not produce.</w:t>
      </w:r>
      <w:r>
        <w:t xml:space="preserve"> </w:t>
      </w:r>
      <w:r>
        <w:rPr>
          <w:iCs/>
          <w:i/>
        </w:rPr>
        <w:t xml:space="preserve">Mechanism 3, Selection</w:t>
      </w:r>
      <w:r>
        <w:t xml:space="preserve">: inherently more productive firms</w:t>
      </w:r>
      <w:r>
        <w:t xml:space="preserve"> </w:t>
      </w:r>
      <w:r>
        <w:t xml:space="preserve">simultaneously select into high digital adoption and high export</w:t>
      </w:r>
      <w:r>
        <w:t xml:space="preserve"> </w:t>
      </w:r>
      <w:r>
        <w:t xml:space="preserve">intensity, producing a positive cross-sectional interaction in the</w:t>
      </w:r>
      <w:r>
        <w:t xml:space="preserve"> </w:t>
      </w:r>
      <w:r>
        <w:t xml:space="preserve">absence of any causal scaling mechanism. Selection predicts attenuation</w:t>
      </w:r>
      <w:r>
        <w:t xml:space="preserve"> </w:t>
      </w:r>
      <w:r>
        <w:t xml:space="preserve">under sample restrictions or sensitivity diagnostics that remove the</w:t>
      </w:r>
      <w:r>
        <w:t xml:space="preserve"> </w:t>
      </w:r>
      <w:r>
        <w:t xml:space="preserve">firms driving the simultaneous selection, and is the principal</w:t>
      </w:r>
      <w:r>
        <w:t xml:space="preserve"> </w:t>
      </w:r>
      <w:r>
        <w:t xml:space="preserve">identification threat in a single-wave cross-section.</w:t>
      </w:r>
    </w:p>
    <w:p>
      <w:pPr>
        <w:pStyle w:val="BodyText"/>
      </w:pPr>
      <w:r>
        <w:t xml:space="preserve">H3 is therefore framed under the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 </w:t>
      </w:r>
      <w:r>
        <w:t xml:space="preserve">expectation: the</w:t>
      </w:r>
      <w:r>
        <w:t xml:space="preserve"> </w:t>
      </w:r>
      <w:r>
        <w:t xml:space="preserve">productivity-relevant role of foundational digital adoption is theorised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accelerate</w:t>
      </w:r>
      <w:r>
        <w:t xml:space="preserve"> </w:t>
      </w:r>
      <w:r>
        <w:t xml:space="preserve">with export intensity through the quadratic FSTS × DAI</w:t>
      </w:r>
      <w:r>
        <w:t xml:space="preserve"> </w:t>
      </w:r>
      <w:r>
        <w:t xml:space="preserve">interaction, rather than to produce a level shift (substitution) or a</w:t>
      </w:r>
      <w:r>
        <w:t xml:space="preserve"> </w:t>
      </w:r>
      <w:r>
        <w:t xml:space="preserve">selection-driven artefact. This commitment to amplification as the focal</w:t>
      </w:r>
      <w:r>
        <w:t xml:space="preserve"> </w:t>
      </w:r>
      <w:r>
        <w:t xml:space="preserve">mechanism is important for interpretation, because the positive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(not just linear) interaction term will serve as the</w:t>
      </w:r>
      <w:r>
        <w:t xml:space="preserve"> </w:t>
      </w:r>
      <w:r>
        <w:t xml:space="preserve">empirical test of the amplification prediction in §4. The substitution</w:t>
      </w:r>
      <w:r>
        <w:t xml:space="preserve"> </w:t>
      </w:r>
      <w:r>
        <w:t xml:space="preserve">and selection mechanisms are retained as alternative explanations to be</w:t>
      </w:r>
      <w:r>
        <w:t xml:space="preserve"> </w:t>
      </w:r>
      <w:r>
        <w:t xml:space="preserve">assessed against the robustness evidence in §4.5.</w:t>
      </w:r>
    </w:p>
    <w:p>
      <w:pPr>
        <w:pStyle w:val="BodyText"/>
      </w:pPr>
      <w:r>
        <w:t xml:space="preserve">Hypothesis 3 (H3). In Singapore, when firms operate at higher export</w:t>
      </w:r>
      <w:r>
        <w:t xml:space="preserve"> </w:t>
      </w:r>
      <w:r>
        <w:t xml:space="preserve">intensity, the association between digital adoption (DAI) and firm</w:t>
      </w:r>
      <w:r>
        <w:t xml:space="preserve"> </w:t>
      </w:r>
      <w:r>
        <w:t xml:space="preserve">performance becomes more positive because foundational digital tools</w:t>
      </w:r>
      <w:r>
        <w:t xml:space="preserve"> </w:t>
      </w:r>
      <w:r>
        <w:t xml:space="preserve">reduce cross-border coordination costs super-linearly rather than</w:t>
      </w:r>
      <w:r>
        <w:t xml:space="preserve"> </w:t>
      </w:r>
      <w:r>
        <w:t xml:space="preserve">proportionally (coordination platform mechanism: Stallkamp &amp; Schotter</w:t>
      </w:r>
      <w:r>
        <w:t xml:space="preserve"> </w:t>
      </w:r>
      <w:r>
        <w:t xml:space="preserve">2021; Barney 1991), with the amplification effect becoming detectable</w:t>
      </w:r>
      <w:r>
        <w:t xml:space="preserve"> </w:t>
      </w:r>
      <w:r>
        <w:t xml:space="preserve">only beyond the export-intensity threshold at which transaction volume</w:t>
      </w:r>
      <w:r>
        <w:t xml:space="preserve"> </w:t>
      </w:r>
      <w:r>
        <w:t xml:space="preserve">justifies intensive use of digital interfaces and electronic-payment</w:t>
      </w:r>
      <w:r>
        <w:t xml:space="preserve"> </w:t>
      </w:r>
      <w:r>
        <w:t xml:space="preserve">systems.</w:t>
      </w:r>
    </w:p>
    <w:bookmarkEnd w:id="31"/>
    <w:bookmarkEnd w:id="32"/>
    <w:bookmarkStart w:id="33" w:name="X120be97a373b91b5bab21d44e9895db7ca01e76"/>
    <w:p>
      <w:pPr>
        <w:pStyle w:val="Heading3"/>
      </w:pPr>
      <w:r>
        <w:t xml:space="preserve">2.4 Conceptual model</w:t>
      </w:r>
    </w:p>
    <w:p>
      <w:pPr>
        <w:pStyle w:val="FirstParagraph"/>
      </w:pPr>
      <w:r>
        <w:t xml:space="preserve">Figure 1 summarizes the conceptual model. The model treats TCI and DAI</w:t>
      </w:r>
      <w:r>
        <w:t xml:space="preserve"> </w:t>
      </w:r>
      <w:r>
        <w:t xml:space="preserve">as analytically distinct firm-level constructs that are associated with</w:t>
      </w:r>
      <w:r>
        <w:t xml:space="preserve"> </w:t>
      </w:r>
      <w:r>
        <w:t xml:space="preserve">firm performance through different channels. TCI enters the model</w:t>
      </w:r>
      <w:r>
        <w:t xml:space="preserve"> </w:t>
      </w:r>
      <w:r>
        <w:t xml:space="preserve">primarily as a direct-effect construct, reflecting firm-internal</w:t>
      </w:r>
      <w:r>
        <w:t xml:space="preserve"> </w:t>
      </w:r>
      <w:r>
        <w:t xml:space="preserve">capability depth grounded in learning, innovation, and technology</w:t>
      </w:r>
      <w:r>
        <w:t xml:space="preserve"> </w:t>
      </w:r>
      <w:r>
        <w:t xml:space="preserve">absorption; whether TCI also moderates the FSTS–performance relationship</w:t>
      </w:r>
      <w:r>
        <w:t xml:space="preserve"> </w:t>
      </w:r>
      <w:r>
        <w:t xml:space="preserve">is examined in a supplementary test rather than presumed ex ante. DAI,</w:t>
      </w:r>
      <w:r>
        <w:t xml:space="preserve"> </w:t>
      </w:r>
      <w:r>
        <w:t xml:space="preserve">by contrast, is the contingency variable on the I–P path: its</w:t>
      </w:r>
      <w:r>
        <w:t xml:space="preserve"> </w:t>
      </w:r>
      <w:r>
        <w:t xml:space="preserve">productivity relevance is theorized to vary across levels of export</w:t>
      </w:r>
      <w:r>
        <w:t xml:space="preserve"> </w:t>
      </w:r>
      <w:r>
        <w:t xml:space="preserve">intensity rather than to operate as a uniform direct premium, because</w:t>
      </w:r>
      <w:r>
        <w:t xml:space="preserve"> </w:t>
      </w:r>
      <w:r>
        <w:t xml:space="preserve">the observed indicators capture foundational digital interfaces and</w:t>
      </w:r>
      <w:r>
        <w:t xml:space="preserve"> </w:t>
      </w:r>
      <w:r>
        <w:t xml:space="preserve">transaction-enabling mechanisms whose relevance depends on how</w:t>
      </w:r>
      <w:r>
        <w:t xml:space="preserve"> </w:t>
      </w:r>
      <w:r>
        <w:t xml:space="preserve">intensively firms engage in cross-border operations. In this sense, H2</w:t>
      </w:r>
      <w:r>
        <w:t xml:space="preserve"> </w:t>
      </w:r>
      <w:r>
        <w:t xml:space="preserve">and H3 are jointly informative: H2 concerns the non-uniformity of the</w:t>
      </w:r>
      <w:r>
        <w:t xml:space="preserve"> </w:t>
      </w:r>
      <w:r>
        <w:t xml:space="preserve">DAI–productivity association, whereas H3 specifies the direction of that</w:t>
      </w:r>
      <w:r>
        <w:t xml:space="preserve"> </w:t>
      </w:r>
      <w:r>
        <w:t xml:space="preserve">contingency across export intensity. The model is therefore positioned</w:t>
      </w:r>
      <w:r>
        <w:t xml:space="preserve"> </w:t>
      </w:r>
      <w:r>
        <w:t xml:space="preserve">as a within-context framework for interpreting firm-level evidence from</w:t>
      </w:r>
      <w:r>
        <w:t xml:space="preserve"> </w:t>
      </w:r>
      <w:r>
        <w:t xml:space="preserve">Singapore rather than as a design that can, on its own, establish a</w:t>
      </w:r>
      <w:r>
        <w:t xml:space="preserve"> </w:t>
      </w:r>
      <w:r>
        <w:t xml:space="preserve">general boundary condition for digitally mature economies.</w:t>
      </w:r>
    </w:p>
    <w:p>
      <w:pPr>
        <w:pStyle w:val="BodyText"/>
      </w:pPr>
      <w:r>
        <w:t xml:space="preserve">Figure 1: Conceptual model, TCI and DAI moderating the I–P relationship</w:t>
      </w:r>
      <w:r>
        <w:t xml:space="preserve"> </w:t>
      </w:r>
      <w:r>
        <w:t xml:space="preserve">(Singapore)</w:t>
      </w:r>
    </w:p>
    <w:p>
      <w:pPr>
        <w:pStyle w:val="BodyText"/>
      </w:pPr>
      <w:r>
        <w:rPr>
          <w:iCs/>
          <w:i/>
        </w:rPr>
        <w:t xml:space="preserve">Figure 1.</w:t>
      </w:r>
      <w:r>
        <w:t xml:space="preserve"> </w:t>
      </w:r>
      <w:r>
        <w:t xml:space="preserve">Conceptual model for Paper 4 (Singapore).</w:t>
      </w:r>
    </w:p>
    <w:p>
      <w:pPr>
        <w:pStyle w:val="BodyText"/>
      </w:pPr>
      <w:r>
        <w:rPr>
          <w:iCs/>
          <w:i/>
        </w:rPr>
        <w:t xml:space="preserve">Note:</w:t>
      </w:r>
      <w:r>
        <w:t xml:space="preserve"> </w:t>
      </w:r>
      <w:r>
        <w:t xml:space="preserve">Solid arrows represent hypothesised direct effects; dashed</w:t>
      </w:r>
      <w:r>
        <w:t xml:space="preserve"> </w:t>
      </w:r>
      <w:r>
        <w:t xml:space="preserve">arrows represent moderating and conditional effects. The independent</w:t>
      </w:r>
      <w:r>
        <w:t xml:space="preserve"> </w:t>
      </w:r>
      <w:r>
        <w:t xml:space="preserve">variable, internationalisation intensity (FSTS, FSTS²_c), is placed at</w:t>
      </w:r>
      <w:r>
        <w:t xml:space="preserve"> </w:t>
      </w:r>
      <w:r>
        <w:t xml:space="preserve">left; the dependent variable, ln(labour productivity), is placed at</w:t>
      </w:r>
      <w:r>
        <w:t xml:space="preserve"> </w:t>
      </w:r>
      <w:r>
        <w:t xml:space="preserve">right. H1 (inverted-U tendency with support-constrained turning point</w:t>
      </w:r>
      <w:r>
        <w:t xml:space="preserve"> </w:t>
      </w:r>
      <w:r>
        <w:t xml:space="preserve">~88.6% FSTS, bootstrap CI [53%, 253%]) is grounded in</w:t>
      </w:r>
      <w:r>
        <w:t xml:space="preserve"> </w:t>
      </w:r>
      <w:r>
        <w:t xml:space="preserve">coordination-cost theory (Hitt et al., 1997); the right-side decline is</w:t>
      </w:r>
      <w:r>
        <w:t xml:space="preserve"> </w:t>
      </w:r>
      <w:r>
        <w:t xml:space="preserve">not formally identified within the observed FSTS range, a theoretically</w:t>
      </w:r>
      <w:r>
        <w:t xml:space="preserve"> </w:t>
      </w:r>
      <w:r>
        <w:t xml:space="preserve">informative result under the saturation framework (Lind–Mehlum p =</w:t>
      </w:r>
      <w:r>
        <w:t xml:space="preserve"> </w:t>
      </w:r>
      <w:r>
        <w:t xml:space="preserve">.303). H1-TCI: technological capability (TCI_z, RBV: Barney, 1991)</w:t>
      </w:r>
      <w:r>
        <w:t xml:space="preserve"> </w:t>
      </w:r>
      <w:r>
        <w:t xml:space="preserve">enters as a direct level-shift to firm performance. H2: DAI (Tier-1+2:</w:t>
      </w:r>
      <w:r>
        <w:t xml:space="preserve"> </w:t>
      </w:r>
      <w:r>
        <w:t xml:space="preserve">website + e-payment) exhibits a non-uniform positive direct effect,</w:t>
      </w:r>
      <w:r>
        <w:t xml:space="preserve"> </w:t>
      </w:r>
      <w:r>
        <w:t xml:space="preserve">varying across export intensity. H3: DAI amplifies I→P performance</w:t>
      </w:r>
      <w:r>
        <w:t xml:space="preserve"> </w:t>
      </w:r>
      <w:r>
        <w:t xml:space="preserve">returns at high FSTS, the primary contingency hypothesis (coordination</w:t>
      </w:r>
      <w:r>
        <w:t xml:space="preserve"> </w:t>
      </w:r>
      <w:r>
        <w:t xml:space="preserve">platform mechanism: Stallkamp &amp; Schotter, 2021; Dynamic Capabilities:</w:t>
      </w:r>
      <w:r>
        <w:t xml:space="preserve"> </w:t>
      </w:r>
      <w:r>
        <w:t xml:space="preserve">Teece, 2007). The Heckman two-step IMR sensitivity check controls</w:t>
      </w:r>
      <w:r>
        <w:t xml:space="preserve"> </w:t>
      </w:r>
      <w:r>
        <w:t xml:space="preserve">exporter selection bias but is not displayed in the figure. (+) denotes</w:t>
      </w:r>
      <w:r>
        <w:t xml:space="preserve"> </w:t>
      </w:r>
      <w:r>
        <w:t xml:space="preserve">positive association. Control variables (ln firm size, age, foreign</w:t>
      </w:r>
      <w:r>
        <w:t xml:space="preserve"> </w:t>
      </w:r>
      <w:r>
        <w:t xml:space="preserve">ownership, sector FE) are included in all empirical models. Note: H3</w:t>
      </w:r>
      <w:r>
        <w:t xml:space="preserve"> </w:t>
      </w:r>
      <w:r>
        <w:t xml:space="preserve">amplification test conducted on exporters-only subsample (n ≈ 84; power</w:t>
      </w:r>
      <w:r>
        <w:t xml:space="preserve"> </w:t>
      </w:r>
      <w:r>
        <w:t xml:space="preserve">≈ 16%, corroborating signal, not independent identification). ICRV</w:t>
      </w:r>
      <w:r>
        <w:t xml:space="preserve"> </w:t>
      </w:r>
      <w:r>
        <w:t xml:space="preserve">context: Singapore, Advanced I. Data: WBES 2023; N = 623.</w:t>
      </w:r>
    </w:p>
    <w:bookmarkEnd w:id="33"/>
    <w:bookmarkEnd w:id="34"/>
    <w:bookmarkStart w:id="43" w:name="X167a2da0345881bf36eef0606d50b1063a572d3"/>
    <w:p>
      <w:pPr>
        <w:pStyle w:val="Heading2"/>
      </w:pPr>
      <w:r>
        <w:t xml:space="preserve">3 Methods</w:t>
      </w:r>
    </w:p>
    <w:bookmarkStart w:id="35" w:name="X7539fb3dc2f98232f41138bc75cab658563f4ee"/>
    <w:p>
      <w:pPr>
        <w:pStyle w:val="Heading3"/>
      </w:pPr>
      <w:r>
        <w:t xml:space="preserve">3.1 Data</w:t>
      </w:r>
    </w:p>
    <w:p>
      <w:pPr>
        <w:pStyle w:val="FirstParagraph"/>
      </w:pPr>
      <w:r>
        <w:t xml:space="preserve">We use the World Bank Enterprise Survey (WBES) Singapore 2023 wave, the</w:t>
      </w:r>
      <w:r>
        <w:t xml:space="preserve"> </w:t>
      </w:r>
      <w:r>
        <w:t xml:space="preserve">most recent firm-level microdata available for Singapore. The 2023 wave</w:t>
      </w:r>
      <w:r>
        <w:t xml:space="preserve"> </w:t>
      </w:r>
      <w:r>
        <w:t xml:space="preserve">was administered under the B-READY methodology, which expanded the</w:t>
      </w:r>
      <w:r>
        <w:t xml:space="preserve"> </w:t>
      </w:r>
      <w:r>
        <w:t xml:space="preserve">digital-adoption module to include items on electronic-payment</w:t>
      </w:r>
      <w:r>
        <w:t xml:space="preserve"> </w:t>
      </w:r>
      <w:r>
        <w:t xml:space="preserve">penetration. After listwise deletion on focal variables, the analytic</w:t>
      </w:r>
      <w:r>
        <w:t xml:space="preserve"> </w:t>
      </w:r>
      <w:r>
        <w:t xml:space="preserve">sample comprises 623 firms across major sectors of the Singapore</w:t>
      </w:r>
      <w:r>
        <w:t xml:space="preserve"> </w:t>
      </w:r>
      <w:r>
        <w:t xml:space="preserve">economy. Manufacturing accounts for approximately 31% of the sample,</w:t>
      </w:r>
      <w:r>
        <w:t xml:space="preserve"> </w:t>
      </w:r>
      <w:r>
        <w:t xml:space="preserve">retail and other services for 50%, and other sectors for 19%. The sample</w:t>
      </w:r>
      <w:r>
        <w:t xml:space="preserve"> </w:t>
      </w:r>
      <w:r>
        <w:t xml:space="preserve">is predominantly domestic in orientation: 18% of firms report non-zero</w:t>
      </w:r>
      <w:r>
        <w:t xml:space="preserve"> </w:t>
      </w:r>
      <w:r>
        <w:t xml:space="preserve">exports, and only 3% exceed 50% foreign sales to total sales (FSTS).</w:t>
      </w:r>
      <w:r>
        <w:t xml:space="preserve"> </w:t>
      </w:r>
      <w:r>
        <w:t xml:space="preserve">This domestic skew is not anomalous for the WBES sampling frame, which</w:t>
      </w:r>
      <w:r>
        <w:t xml:space="preserve"> </w:t>
      </w:r>
      <w:r>
        <w:t xml:space="preserve">targets privately held firms with fewer than 300 employees across</w:t>
      </w:r>
      <w:r>
        <w:t xml:space="preserve"> </w:t>
      </w:r>
      <w:r>
        <w:t xml:space="preserve">manufacturing and services sectors, and therefore systematically</w:t>
      </w:r>
      <w:r>
        <w:t xml:space="preserve"> </w:t>
      </w:r>
      <w:r>
        <w:t xml:space="preserve">under-represents the large, export-oriented multinationals that account</w:t>
      </w:r>
      <w:r>
        <w:t xml:space="preserve"> </w:t>
      </w:r>
      <w:r>
        <w:t xml:space="preserve">for the majority of Singapore's aggregate trade flows (national</w:t>
      </w:r>
      <w:r>
        <w:t xml:space="preserve"> </w:t>
      </w:r>
      <w:r>
        <w:t xml:space="preserve">trade/GDP exceeds 300%). The sample is accordingly representative of</w:t>
      </w:r>
      <w:r>
        <w:t xml:space="preserve"> </w:t>
      </w:r>
      <w:r>
        <w:t xml:space="preserve">Singapore's SME sector rather than of the national export economy;</w:t>
      </w:r>
      <w:r>
        <w:t xml:space="preserve"> </w:t>
      </w:r>
      <w:r>
        <w:t xml:space="preserve">external-validity inferences should be bounded to firms of comparable</w:t>
      </w:r>
      <w:r>
        <w:t xml:space="preserve"> </w:t>
      </w:r>
      <w:r>
        <w:t xml:space="preserve">size and domestic orientation. Descriptive statistics and pairwise</w:t>
      </w:r>
      <w:r>
        <w:t xml:space="preserve"> </w:t>
      </w:r>
      <w:r>
        <w:t xml:space="preserve">correlations are reported in Table 1.</w:t>
      </w:r>
    </w:p>
    <w:p>
      <w:pPr>
        <w:pStyle w:val="BodyText"/>
      </w:pPr>
      <w:r>
        <w:rPr>
          <w:bCs/>
          <w:b/>
        </w:rPr>
        <w:t xml:space="preserve">DAI distribution note.</w:t>
      </w:r>
      <w:r>
        <w:t xml:space="preserve"> </w:t>
      </w:r>
      <w:r>
        <w:t xml:space="preserve">The Singapore DAI distribution reveals high</w:t>
      </w:r>
      <w:r>
        <w:t xml:space="preserve"> </w:t>
      </w:r>
      <w:r>
        <w:t xml:space="preserve">saturation: website presence is reported by approximately 67% of firms,</w:t>
      </w:r>
      <w:r>
        <w:t xml:space="preserve"> </w:t>
      </w:r>
      <w:r>
        <w:t xml:space="preserve">and Tier-2 e-payment adoption (customer- and supplier-side) is</w:t>
      </w:r>
      <w:r>
        <w:t xml:space="preserve"> </w:t>
      </w:r>
      <w:r>
        <w:t xml:space="preserve">widespread relative to less digitally mature institutional settings.</w:t>
      </w:r>
      <w:r>
        <w:t xml:space="preserve"> </w:t>
      </w:r>
      <w:r>
        <w:t xml:space="preserve">This saturation pattern at the advanced-economy ceiling of the</w:t>
      </w:r>
      <w:r>
        <w:t xml:space="preserve"> </w:t>
      </w:r>
      <w:r>
        <w:t xml:space="preserve">digital-infrastructure spectrum has two empirically relevant</w:t>
      </w:r>
      <w:r>
        <w:t xml:space="preserve"> </w:t>
      </w:r>
      <w:r>
        <w:t xml:space="preserve">implications. First, the near-universal diffusion of Tier-1 digital</w:t>
      </w:r>
      <w:r>
        <w:t xml:space="preserve"> </w:t>
      </w:r>
      <w:r>
        <w:t xml:space="preserve">presence removes the discriminatory power that the website indicator</w:t>
      </w:r>
      <w:r>
        <w:t xml:space="preserve"> </w:t>
      </w:r>
      <w:r>
        <w:t xml:space="preserve">alone could carry in less digitally mature settings, so the empirical</w:t>
      </w:r>
      <w:r>
        <w:t xml:space="preserve"> </w:t>
      </w:r>
      <w:r>
        <w:t xml:space="preserve">signal must be drawn from the Tier-2 transaction-enabling layer</w:t>
      </w:r>
      <w:r>
        <w:t xml:space="preserve"> </w:t>
      </w:r>
      <w:r>
        <w:t xml:space="preserve">(e-payment intensity on both customer and supplier sides) to identify</w:t>
      </w:r>
      <w:r>
        <w:t xml:space="preserve"> </w:t>
      </w:r>
      <w:r>
        <w:t xml:space="preserve">the conditional-scaling mechanism, a measurement implication that is</w:t>
      </w:r>
      <w:r>
        <w:t xml:space="preserve"> </w:t>
      </w:r>
      <w:r>
        <w:t xml:space="preserve">borne out in the §4.5 R1 robustness diagnostic, where reducing DAI to</w:t>
      </w:r>
      <w:r>
        <w:t xml:space="preserve"> </w:t>
      </w:r>
      <w:r>
        <w:t xml:space="preserve">Tier-1 alone substantially weakens the quadratic interaction. Second, in</w:t>
      </w:r>
      <w:r>
        <w:t xml:space="preserve"> </w:t>
      </w:r>
      <w:r>
        <w:t xml:space="preserve">transitional-economy settings where Tier-1 digital adoption has diffused</w:t>
      </w:r>
      <w:r>
        <w:t xml:space="preserve"> </w:t>
      </w:r>
      <w:r>
        <w:t xml:space="preserve">widely while Tier-2 transaction-enabling infrastructure remains</w:t>
      </w:r>
      <w:r>
        <w:t xml:space="preserve"> </w:t>
      </w:r>
      <w:r>
        <w:t xml:space="preserve">institutionally bounded, the same construct measured at Tier-1 only</w:t>
      </w:r>
      <w:r>
        <w:t xml:space="preserve"> </w:t>
      </w:r>
      <w:r>
        <w:t xml:space="preserve">would not be expected to produce a comparable positive quadratic</w:t>
      </w:r>
      <w:r>
        <w:t xml:space="preserve"> </w:t>
      </w:r>
      <w:r>
        <w:t xml:space="preserve">interaction; instead it would be more plausibly read as construct-tier</w:t>
      </w:r>
      <w:r>
        <w:t xml:space="preserve"> </w:t>
      </w:r>
      <w:r>
        <w:t xml:space="preserve">obsolescence than as evidence on the conditional-scaling mechanism (see</w:t>
      </w:r>
      <w:r>
        <w:t xml:space="preserve"> </w:t>
      </w:r>
      <w:r>
        <w:t xml:space="preserve">§5.1 for the construct-boundary discussion). The Lind–Mehlum equivalence</w:t>
      </w:r>
      <w:r>
        <w:t xml:space="preserve"> </w:t>
      </w:r>
      <w:r>
        <w:t xml:space="preserve">test result (p = .303) reported in §4.2 should therefore be interpreted</w:t>
      </w:r>
      <w:r>
        <w:t xml:space="preserve"> </w:t>
      </w:r>
      <w:r>
        <w:t xml:space="preserve">in conjunction with the Tier-1+2 construct composition and the high</w:t>
      </w:r>
      <w:r>
        <w:t xml:space="preserve"> </w:t>
      </w:r>
      <w:r>
        <w:t xml:space="preserve">domestic-orientation distribution of the Singapore sample, not as a</w:t>
      </w:r>
      <w:r>
        <w:t xml:space="preserve"> </w:t>
      </w:r>
      <w:r>
        <w:t xml:space="preserve">stand-alone null on the inverted-U logic. Figure 3 [see Figures</w:t>
      </w:r>
      <w:r>
        <w:t xml:space="preserve"> </w:t>
      </w:r>
      <w:r>
        <w:t xml:space="preserve">section] illustrates the predicted I–P curve and the sparse upper-tail</w:t>
      </w:r>
      <w:r>
        <w:t xml:space="preserve"> </w:t>
      </w:r>
      <w:r>
        <w:t xml:space="preserve">region where the turning point is implied.</w:t>
      </w:r>
    </w:p>
    <w:bookmarkEnd w:id="35"/>
    <w:bookmarkStart w:id="40" w:name="Xbcf9f12e79107fa2c089aaf13fc6c4fb773f1c2"/>
    <w:p>
      <w:pPr>
        <w:pStyle w:val="Heading3"/>
      </w:pPr>
      <w:r>
        <w:t xml:space="preserve">3.2 Variables</w:t>
      </w:r>
    </w:p>
    <w:bookmarkStart w:id="36" w:name="X7e58563e31c3ad002492190dd8d5308423faaad"/>
    <w:p>
      <w:pPr>
        <w:pStyle w:val="Heading4"/>
      </w:pPr>
      <w:r>
        <w:t xml:space="preserve">3.2.1 Dependent variable</w:t>
      </w:r>
    </w:p>
    <w:p>
      <w:pPr>
        <w:pStyle w:val="FirstParagraph"/>
      </w:pPr>
      <w:r>
        <w:t xml:space="preserve">Firm performance is operationalized as labour productivity, measured as</w:t>
      </w:r>
      <w:r>
        <w:t xml:space="preserve"> </w:t>
      </w:r>
      <w:r>
        <w:t xml:space="preserve">the natural logarithm of annual sales divided by the number of full-time</w:t>
      </w:r>
      <w:r>
        <w:t xml:space="preserve"> </w:t>
      </w:r>
      <w:r>
        <w:t xml:space="preserve">employees. This measure is constructed from WBES annual sales and</w:t>
      </w:r>
      <w:r>
        <w:t xml:space="preserve"> </w:t>
      </w:r>
      <w:r>
        <w:t xml:space="preserve">employment items and follows the productivity-as-performance approach</w:t>
      </w:r>
      <w:r>
        <w:t xml:space="preserve"> </w:t>
      </w:r>
      <w:r>
        <w:t xml:space="preserve">used in prior firm-level international business research. Because all</w:t>
      </w:r>
      <w:r>
        <w:t xml:space="preserve"> </w:t>
      </w:r>
      <w:r>
        <w:t xml:space="preserve">sampled observations belong to the same 2023 cross-section, sales are</w:t>
      </w:r>
      <w:r>
        <w:t xml:space="preserve"> </w:t>
      </w:r>
      <w:r>
        <w:t xml:space="preserve">expressed in nominal 2023 Singapore dollars, with any common price-level</w:t>
      </w:r>
      <w:r>
        <w:t xml:space="preserve"> </w:t>
      </w:r>
      <w:r>
        <w:t xml:space="preserve">effect absorbed by the intercept. To reduce sensitivity to outliers, the</w:t>
      </w:r>
      <w:r>
        <w:t xml:space="preserve"> </w:t>
      </w:r>
      <w:r>
        <w:t xml:space="preserve">dependent variable is winsorized at the 1st and 99th percentiles.</w:t>
      </w:r>
    </w:p>
    <w:bookmarkEnd w:id="36"/>
    <w:bookmarkStart w:id="37" w:name="X2cdc78afcfd9a4441a0b7b899a2b559f49a455a"/>
    <w:p>
      <w:pPr>
        <w:pStyle w:val="Heading4"/>
      </w:pPr>
      <w:r>
        <w:t xml:space="preserve">3.2.2 Focal independent variable</w:t>
      </w:r>
    </w:p>
    <w:p>
      <w:pPr>
        <w:pStyle w:val="FirstParagraph"/>
      </w:pPr>
      <w:r>
        <w:t xml:space="preserve">The focal internationalization variable is FSTS, defined as the</w:t>
      </w:r>
      <w:r>
        <w:t xml:space="preserve"> </w:t>
      </w:r>
      <w:r>
        <w:t xml:space="preserve">proportion of annual sales derived from direct exports and rescaled to</w:t>
      </w:r>
      <w:r>
        <w:t xml:space="preserve"> </w:t>
      </w:r>
      <w:r>
        <w:t xml:space="preserve">the [0, 1] interval. FSTS is mean-centered before squaring in order to</w:t>
      </w:r>
      <w:r>
        <w:t xml:space="preserve"> </w:t>
      </w:r>
      <w:r>
        <w:t xml:space="preserve">mitigate multicollinearity between the linear and quadratic terms (Aiken</w:t>
      </w:r>
      <w:r>
        <w:t xml:space="preserve"> </w:t>
      </w:r>
      <w:r>
        <w:t xml:space="preserve">&amp; West 1991). In the final specifications, variance inflation factors</w:t>
      </w:r>
      <w:r>
        <w:t xml:space="preserve"> </w:t>
      </w:r>
      <w:r>
        <w:t xml:space="preserve">remain below 3, indicating that multicollinearity is not a material</w:t>
      </w:r>
      <w:r>
        <w:t xml:space="preserve"> </w:t>
      </w:r>
      <w:r>
        <w:t xml:space="preserve">concern (O’Brien 2007).</w:t>
      </w:r>
    </w:p>
    <w:bookmarkEnd w:id="37"/>
    <w:bookmarkStart w:id="38" w:name="X5885cfa65cddf1d15b27f59176f9dbae5a8c10a"/>
    <w:p>
      <w:pPr>
        <w:pStyle w:val="Heading4"/>
      </w:pPr>
      <w:r>
        <w:t xml:space="preserve">3.2.3 TCI and DAI composites</w:t>
      </w:r>
    </w:p>
    <w:p>
      <w:pPr>
        <w:pStyle w:val="FirstParagraph"/>
      </w:pPr>
      <w:r>
        <w:t xml:space="preserve">Technological capability and digital adoption are modeled as two</w:t>
      </w:r>
      <w:r>
        <w:t xml:space="preserve"> </w:t>
      </w:r>
      <w:r>
        <w:t xml:space="preserve">distinct formative composites rather than reflective scales because</w:t>
      </w:r>
      <w:r>
        <w:t xml:space="preserve"> </w:t>
      </w:r>
      <w:r>
        <w:t xml:space="preserve">their indicators jointly constitute the constructs and are not</w:t>
      </w:r>
      <w:r>
        <w:t xml:space="preserve"> </w:t>
      </w:r>
      <w:r>
        <w:t xml:space="preserve">interchangeable manifestations of a single latent trait. The</w:t>
      </w:r>
      <w:r>
        <w:t xml:space="preserve"> </w:t>
      </w:r>
      <w:r>
        <w:t xml:space="preserve">Technological Capability Index (TCI) captures firm-internal capability</w:t>
      </w:r>
      <w:r>
        <w:t xml:space="preserve"> </w:t>
      </w:r>
      <w:r>
        <w:t xml:space="preserve">depth through external technology linkage, product innovation, R&amp;D</w:t>
      </w:r>
      <w:r>
        <w:t xml:space="preserve"> </w:t>
      </w:r>
      <w:r>
        <w:t xml:space="preserve">effort, and quality certification. The Digital Adoption Index (DAI)</w:t>
      </w:r>
      <w:r>
        <w:t xml:space="preserve"> </w:t>
      </w:r>
      <w:r>
        <w:t xml:space="preserve">captures firms’ uptake of foundational digital interfaces and</w:t>
      </w:r>
      <w:r>
        <w:t xml:space="preserve"> </w:t>
      </w:r>
      <w:r>
        <w:t xml:space="preserve">transaction-enabling mechanisms through website or digital presence,</w:t>
      </w:r>
      <w:r>
        <w:t xml:space="preserve"> </w:t>
      </w:r>
      <w:r>
        <w:t xml:space="preserve">customer-side electronic payment intensity, and supplier-side electronic</w:t>
      </w:r>
      <w:r>
        <w:t xml:space="preserve"> </w:t>
      </w:r>
      <w:r>
        <w:t xml:space="preserve">payment intensity. Consistent with the measurement boundary emphasized</w:t>
      </w:r>
      <w:r>
        <w:t xml:space="preserve"> </w:t>
      </w:r>
      <w:r>
        <w:t xml:space="preserve">in the manuscript, DAI should be interpreted as a Tier 1–2</w:t>
      </w:r>
      <w:r>
        <w:t xml:space="preserve"> </w:t>
      </w:r>
      <w:r>
        <w:t xml:space="preserve">digital-adoption construct rather than as a broader measure of digitally</w:t>
      </w:r>
      <w:r>
        <w:t xml:space="preserve"> </w:t>
      </w:r>
      <w:r>
        <w:t xml:space="preserve">integrated organizational capability. Following the</w:t>
      </w:r>
      <w:r>
        <w:t xml:space="preserve"> </w:t>
      </w:r>
      <w:r>
        <w:t xml:space="preserve">formative-measurement logic adopted in the study, component indicators</w:t>
      </w:r>
      <w:r>
        <w:t xml:space="preserve"> </w:t>
      </w:r>
      <w:r>
        <w:t xml:space="preserve">are standardized, aggregated using equal weights, and then</w:t>
      </w:r>
      <w:r>
        <w:t xml:space="preserve"> </w:t>
      </w:r>
      <w:r>
        <w:t xml:space="preserve">re-standardized so that coefficients are interpretable in</w:t>
      </w:r>
      <w:r>
        <w:t xml:space="preserve"> </w:t>
      </w:r>
      <w:r>
        <w:t xml:space="preserve">standard-deviation units.</w:t>
      </w:r>
    </w:p>
    <w:p>
      <w:pPr>
        <w:pStyle w:val="BodyText"/>
      </w:pPr>
      <w:r>
        <w:rPr>
          <w:bCs/>
          <w:b/>
        </w:rPr>
        <w:t xml:space="preserve">R1 sensitivity diagnostic (Tier-1-only DAI).</w:t>
      </w:r>
      <w:r>
        <w:t xml:space="preserve"> </w:t>
      </w:r>
      <w:r>
        <w:t xml:space="preserve">A sensitivity check</w:t>
      </w:r>
      <w:r>
        <w:t xml:space="preserve"> </w:t>
      </w:r>
      <w:r>
        <w:t xml:space="preserve">replaces the Tier-1+2 composite DAI with a Tier-1-only variant</w:t>
      </w:r>
      <w:r>
        <w:t xml:space="preserve"> </w:t>
      </w:r>
      <w:r>
        <w:t xml:space="preserve">(website-presence indicator,</w:t>
      </w:r>
      <w:r>
        <w:t xml:space="preserve"> </w:t>
      </w:r>
      <w:r>
        <w:rPr>
          <w:rStyle w:val="VerbatimChar"/>
        </w:rPr>
        <w:t xml:space="preserve">c22b</w:t>
      </w:r>
      <w:r>
        <w:t xml:space="preserve"> </w:t>
      </w:r>
      <w:r>
        <w:t xml:space="preserve">only), restoring the single-item</w:t>
      </w:r>
      <w:r>
        <w:t xml:space="preserve"> </w:t>
      </w:r>
      <w:r>
        <w:t xml:space="preserve">digital-presence measure used in less digitally mature WBES settings</w:t>
      </w:r>
      <w:r>
        <w:t xml:space="preserve"> </w:t>
      </w:r>
      <w:r>
        <w:t xml:space="preserve">(e.g., Vietnam 2009–2015). The key result is that the FSTS²×DAI</w:t>
      </w:r>
      <w:r>
        <w:t xml:space="preserve"> </w:t>
      </w:r>
      <w:r>
        <w:t xml:space="preserve">quadratic interaction coefficient attenuates substantially, from β =</w:t>
      </w:r>
      <w:r>
        <w:t xml:space="preserve"> </w:t>
      </w:r>
      <w:r>
        <w:t xml:space="preserve">+3.119 (p = .005) in the Tier-1+2 specification to a smaller and</w:t>
      </w:r>
      <w:r>
        <w:t xml:space="preserve"> </w:t>
      </w:r>
      <w:r>
        <w:t xml:space="preserve">statistically weaker estimate, while the Tier-1+2 full model's adjusted</w:t>
      </w:r>
      <w:r>
        <w:t xml:space="preserve"> </w:t>
      </w:r>
      <w:r>
        <w:t xml:space="preserve">R² advantage is also reduced. This pattern is directionally consistent</w:t>
      </w:r>
      <w:r>
        <w:t xml:space="preserve"> </w:t>
      </w:r>
      <w:r>
        <w:t xml:space="preserve">with the theoretical construct-boundary argument developed in §1.2 and</w:t>
      </w:r>
      <w:r>
        <w:t xml:space="preserve"> </w:t>
      </w:r>
      <w:r>
        <w:t xml:space="preserve">§3.2.3: the conditional-scaling mechanism is empirically legible when</w:t>
      </w:r>
      <w:r>
        <w:t xml:space="preserve"> </w:t>
      </w:r>
      <w:r>
        <w:t xml:space="preserve">DAI captures the Tier-2 transaction-enabling layer (e-payment intensity</w:t>
      </w:r>
      <w:r>
        <w:t xml:space="preserve"> </w:t>
      </w:r>
      <w:r>
        <w:t xml:space="preserve">on both customer and supplier sides), but not when the construct is</w:t>
      </w:r>
      <w:r>
        <w:t xml:space="preserve"> </w:t>
      </w:r>
      <w:r>
        <w:t xml:space="preserve">restricted to the Tier-1 digital-presence indicator alone. In</w:t>
      </w:r>
      <w:r>
        <w:t xml:space="preserve"> </w:t>
      </w:r>
      <w:r>
        <w:t xml:space="preserve">Singapore's high-saturation institutional setting, the website indicator</w:t>
      </w:r>
      <w:r>
        <w:t xml:space="preserve"> </w:t>
      </w:r>
      <w:r>
        <w:t xml:space="preserve">carries insufficient discriminatory power to identify the</w:t>
      </w:r>
      <w:r>
        <w:t xml:space="preserve"> </w:t>
      </w:r>
      <w:r>
        <w:t xml:space="preserve">export-contingent amplification signal; Tier-2 e-payment intensity</w:t>
      </w:r>
      <w:r>
        <w:t xml:space="preserve"> </w:t>
      </w:r>
      <w:r>
        <w:t xml:space="preserve">provides the additional measurement variation required. The Tier-1-only</w:t>
      </w:r>
      <w:r>
        <w:t xml:space="preserve"> </w:t>
      </w:r>
      <w:r>
        <w:t xml:space="preserve">sensitivity results are available in the Stata replication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do/02_run_models.do</w:t>
      </w:r>
      <w:r>
        <w:t xml:space="preserve">, PART C) and are consistent with the §1.3</w:t>
      </w:r>
      <w:r>
        <w:t xml:space="preserve"> </w:t>
      </w:r>
      <w:r>
        <w:t xml:space="preserve">supporting contribution on construct-tier specificity.</w:t>
      </w:r>
    </w:p>
    <w:bookmarkEnd w:id="38"/>
    <w:bookmarkStart w:id="39" w:name="X7f318314f3a5164dbb5d2e2bfe8bd11c34b488e"/>
    <w:p>
      <w:pPr>
        <w:pStyle w:val="Heading4"/>
      </w:pPr>
      <w:r>
        <w:t xml:space="preserve">3.2.4 Controls</w:t>
      </w:r>
    </w:p>
    <w:p>
      <w:pPr>
        <w:pStyle w:val="FirstParagraph"/>
      </w:pPr>
      <w:r>
        <w:t xml:space="preserve">The models include firm size, firm age, foreign ownership, and broad</w:t>
      </w:r>
      <w:r>
        <w:t xml:space="preserve"> </w:t>
      </w:r>
      <w:r>
        <w:t xml:space="preserve">sector fixed effects as controls. Firm size is measured as the natural</w:t>
      </w:r>
      <w:r>
        <w:t xml:space="preserve"> </w:t>
      </w:r>
      <w:r>
        <w:t xml:space="preserve">logarithm of the number of full-time employees, firm age is calculated</w:t>
      </w:r>
      <w:r>
        <w:t xml:space="preserve"> </w:t>
      </w:r>
      <w:r>
        <w:t xml:space="preserve">from year of establishment, and foreign ownership is coded as an</w:t>
      </w:r>
      <w:r>
        <w:t xml:space="preserve"> </w:t>
      </w:r>
      <w:r>
        <w:t xml:space="preserve">indicator for at least 10% foreign equity. Broad sector indicators</w:t>
      </w:r>
      <w:r>
        <w:t xml:space="preserve"> </w:t>
      </w:r>
      <w:r>
        <w:t xml:space="preserve">distinguish manufacturing, retail, and other services and absorb</w:t>
      </w:r>
      <w:r>
        <w:t xml:space="preserve"> </w:t>
      </w:r>
      <w:r>
        <w:t xml:space="preserve">sector-level heterogeneity in productivity, export propensity, and</w:t>
      </w:r>
      <w:r>
        <w:t xml:space="preserve"> </w:t>
      </w:r>
      <w:r>
        <w:t xml:space="preserve">technology-adoption norms. Manager experience, originally motivated by</w:t>
      </w:r>
      <w:r>
        <w:t xml:space="preserve"> </w:t>
      </w:r>
      <w:r>
        <w:t xml:space="preserve">the upper-echelons framework (Hambrick &amp; Mason 1984) and initially</w:t>
      </w:r>
      <w:r>
        <w:t xml:space="preserve"> </w:t>
      </w:r>
      <w:r>
        <w:t xml:space="preserve">considered as a control, was dropped after variance-inflation</w:t>
      </w:r>
      <w:r>
        <w:t xml:space="preserve"> </w:t>
      </w:r>
      <w:r>
        <w:t xml:space="preserve">diagnostics indicated problematic collinearity with firm size.</w:t>
      </w:r>
    </w:p>
    <w:bookmarkEnd w:id="39"/>
    <w:bookmarkEnd w:id="40"/>
    <w:bookmarkStart w:id="41" w:name="X84482d10811f20e2a246857c008316fafc15eb6"/>
    <w:p>
      <w:pPr>
        <w:pStyle w:val="Heading3"/>
      </w:pPr>
      <w:r>
        <w:t xml:space="preserve">3.3 Estimation strategy and identification scope</w:t>
      </w:r>
    </w:p>
    <w:p>
      <w:pPr>
        <w:pStyle w:val="FirstParagraph"/>
      </w:pPr>
      <w:r>
        <w:t xml:space="preserve">The empirical analysis uses ordinary least squares with broad sector</w:t>
      </w:r>
      <w:r>
        <w:t xml:space="preserve"> </w:t>
      </w:r>
      <w:r>
        <w:t xml:space="preserve">fixed effects and HC1 heteroskedasticity-robust standard errors</w:t>
      </w:r>
      <w:r>
        <w:t xml:space="preserve"> </w:t>
      </w:r>
      <w:r>
        <w:t xml:space="preserve">throughout. Models are estimated sequentially, beginning with a</w:t>
      </w:r>
      <w:r>
        <w:t xml:space="preserve"> </w:t>
      </w:r>
      <w:r>
        <w:t xml:space="preserve">controls-only specification and then moving to a linear</w:t>
      </w:r>
      <w:r>
        <w:t xml:space="preserve"> </w:t>
      </w:r>
      <w:r>
        <w:t xml:space="preserve">internationalization model, a quadratic full-sample benchmark,</w:t>
      </w:r>
      <w:r>
        <w:t xml:space="preserve"> </w:t>
      </w:r>
      <w:r>
        <w:t xml:space="preserve">direct-effect models for TCI and DAI, and full specifications that</w:t>
      </w:r>
      <w:r>
        <w:t xml:space="preserve"> </w:t>
      </w:r>
      <w:r>
        <w:t xml:space="preserve">incorporate moderation terms. In light of the strong concentration of</w:t>
      </w:r>
      <w:r>
        <w:t xml:space="preserve"> </w:t>
      </w:r>
      <w:r>
        <w:t xml:space="preserve">firms at zero exports, the baseline quadratic specification is</w:t>
      </w:r>
      <w:r>
        <w:t xml:space="preserve"> </w:t>
      </w:r>
      <w:r>
        <w:t xml:space="preserve">interpreted primarily as a descriptive full-sample benchmark rather than</w:t>
      </w:r>
      <w:r>
        <w:t xml:space="preserve"> </w:t>
      </w:r>
      <w:r>
        <w:t xml:space="preserve">as a standalone structural test of the conventional inverted-U logic.</w:t>
      </w:r>
      <w:r>
        <w:t xml:space="preserve"> </w:t>
      </w:r>
      <w:r>
        <w:t xml:space="preserve">This is important because the full-sample polynomial is necessarily</w:t>
      </w:r>
      <w:r>
        <w:t xml:space="preserve"> </w:t>
      </w:r>
      <w:r>
        <w:t xml:space="preserve">influenced by the domestic-versus-exporter split, whereas the</w:t>
      </w:r>
      <w:r>
        <w:t xml:space="preserve"> </w:t>
      </w:r>
      <w:r>
        <w:t xml:space="preserve">theoretical question developed in Sections 1–2 concerns how performance</w:t>
      </w:r>
      <w:r>
        <w:t xml:space="preserve"> </w:t>
      </w:r>
      <w:r>
        <w:t xml:space="preserve">evolves across the continuous export-intensity range. The later</w:t>
      </w:r>
      <w:r>
        <w:t xml:space="preserve"> </w:t>
      </w:r>
      <w:r>
        <w:t xml:space="preserve">specifications therefore focus on whether TCI and DAI exhibit distinct</w:t>
      </w:r>
      <w:r>
        <w:t xml:space="preserve"> </w:t>
      </w:r>
      <w:r>
        <w:t xml:space="preserve">direct and contingent associations, and the interpretation of nonlinear</w:t>
      </w:r>
      <w:r>
        <w:t xml:space="preserve"> </w:t>
      </w:r>
      <w:r>
        <w:t xml:space="preserve">structure is supplemented by extensive–intensive reasoning and</w:t>
      </w:r>
      <w:r>
        <w:t xml:space="preserve"> </w:t>
      </w:r>
      <w:r>
        <w:t xml:space="preserve">support-aware diagnostics rather than inferred from the quadratic fit</w:t>
      </w:r>
      <w:r>
        <w:t xml:space="preserve"> </w:t>
      </w:r>
      <w:r>
        <w:t xml:space="preserve">alone. Accordingly, the analysis does not treat the full-sample</w:t>
      </w:r>
      <w:r>
        <w:t xml:space="preserve"> </w:t>
      </w:r>
      <w:r>
        <w:t xml:space="preserve">polynomial as sufficient evidence of a formally identified inverted-U in</w:t>
      </w:r>
      <w:r>
        <w:t xml:space="preserve"> </w:t>
      </w:r>
      <w:r>
        <w:t xml:space="preserve">the observed data range. ln(LP) = α + β₁·FSTS_c + β₂·FSTS_c² + β₃·TCI +</w:t>
      </w:r>
      <w:r>
        <w:t xml:space="preserve"> </w:t>
      </w:r>
      <w:r>
        <w:t xml:space="preserve">β₄·DAI + β₅·(FSTS_c × DAI) + β₆·(FSTS_c² × DAI) + γ·controls + ε, The</w:t>
      </w:r>
      <w:r>
        <w:t xml:space="preserve"> </w:t>
      </w:r>
      <w:r>
        <w:t xml:space="preserve">full model includes centered FSTS, squared centered FSTS, TCI, DAI, the</w:t>
      </w:r>
      <w:r>
        <w:t xml:space="preserve"> </w:t>
      </w:r>
      <w:r>
        <w:t xml:space="preserve">interaction between FSTS and DAI, and the interaction between squared</w:t>
      </w:r>
      <w:r>
        <w:t xml:space="preserve"> </w:t>
      </w:r>
      <w:r>
        <w:t xml:space="preserve">FSTS and DAI, in addition to the control set. A supplementary</w:t>
      </w:r>
      <w:r>
        <w:t xml:space="preserve"> </w:t>
      </w:r>
      <w:r>
        <w:t xml:space="preserve">specification replaces the DAI interaction block with analogous TCI</w:t>
      </w:r>
      <w:r>
        <w:t xml:space="preserve"> </w:t>
      </w:r>
      <w:r>
        <w:t xml:space="preserve">interaction terms in order to assess whether any TCI moderation is</w:t>
      </w:r>
      <w:r>
        <w:t xml:space="preserve"> </w:t>
      </w:r>
      <w:r>
        <w:t xml:space="preserve">empirically detectable beyond its more stable direct association with</w:t>
      </w:r>
      <w:r>
        <w:t xml:space="preserve"> </w:t>
      </w:r>
      <w:r>
        <w:t xml:space="preserve">productivity. Following the recommendations of Haans et al. (2016) for</w:t>
      </w:r>
      <w:r>
        <w:t xml:space="preserve"> </w:t>
      </w:r>
      <w:r>
        <w:t xml:space="preserve">testing curvilinear relationships in strategy research, the study</w:t>
      </w:r>
      <w:r>
        <w:t xml:space="preserve"> </w:t>
      </w:r>
      <w:r>
        <w:t xml:space="preserve">applies the Lind and Mehlum (2010) test for a U-shaped or inverted-U</w:t>
      </w:r>
      <w:r>
        <w:t xml:space="preserve"> </w:t>
      </w:r>
      <w:r>
        <w:t xml:space="preserve">relationship to assess the quadratic shape formally. To assess whether</w:t>
      </w:r>
      <w:r>
        <w:t xml:space="preserve"> </w:t>
      </w:r>
      <w:r>
        <w:t xml:space="preserve">the DAI interaction block matters jointly, the study reports a joint</w:t>
      </w:r>
      <w:r>
        <w:t xml:space="preserve"> </w:t>
      </w:r>
      <w:r>
        <w:t xml:space="preserve">F-test on the two DAI interaction terms and also interprets effect size</w:t>
      </w:r>
      <w:r>
        <w:t xml:space="preserve"> </w:t>
      </w:r>
      <w:r>
        <w:t xml:space="preserve">using Cohen’s f² (Aguinis et al. 2005; Cohen 1988).</w:t>
      </w:r>
    </w:p>
    <w:p>
      <w:pPr>
        <w:pStyle w:val="BodyText"/>
      </w:pPr>
      <w:r>
        <w:rPr>
          <w:bCs/>
          <w:b/>
        </w:rPr>
        <w:t xml:space="preserve">Identification strategy and choice of OLS as primary specification.</w:t>
      </w:r>
      <w:r>
        <w:t xml:space="preserve"> </w:t>
      </w:r>
      <w:r>
        <w:t xml:space="preserve">Because the single-wave WBES Singapore 2023 design offers no instrument</w:t>
      </w:r>
      <w:r>
        <w:t xml:space="preserve"> </w:t>
      </w:r>
      <w:r>
        <w:t xml:space="preserve">satisfying the exclusion restriction for either export intensity or</w:t>
      </w:r>
      <w:r>
        <w:t xml:space="preserve"> </w:t>
      </w:r>
      <w:r>
        <w:t xml:space="preserve">digital adoption, cross-sectional variation in trade costs,</w:t>
      </w:r>
      <w:r>
        <w:t xml:space="preserve"> </w:t>
      </w:r>
      <w:r>
        <w:t xml:space="preserve">export-promotion eligibility, or broadband-rollout timing is not</w:t>
      </w:r>
      <w:r>
        <w:t xml:space="preserve"> </w:t>
      </w:r>
      <w:r>
        <w:t xml:space="preserve">available within the survey frame, OLS with HC1 robust standard errors</w:t>
      </w:r>
      <w:r>
        <w:t xml:space="preserve"> </w:t>
      </w:r>
      <w:r>
        <w:t xml:space="preserve">is adopted as the primary specification. This choice follows Wolfolds</w:t>
      </w:r>
      <w:r>
        <w:t xml:space="preserve"> </w:t>
      </w:r>
      <w:r>
        <w:t xml:space="preserve">and Siegel (2019), who find that a Heckman two-step correction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a credible exclusion restriction can produce more biased estimates than</w:t>
      </w:r>
      <w:r>
        <w:t xml:space="preserve"> </w:t>
      </w:r>
      <w:r>
        <w:t xml:space="preserve">the OLS baseline it is intended to correct. A reduced-form</w:t>
      </w:r>
      <w:r>
        <w:t xml:space="preserve"> </w:t>
      </w:r>
      <w:r>
        <w:t xml:space="preserve">inverse-Mills-ratio sensitivity diagnostic for selection at the</w:t>
      </w:r>
      <w:r>
        <w:t xml:space="preserve"> </w:t>
      </w:r>
      <w:r>
        <w:t xml:space="preserve">extensive margin of exporting is reported in §3.4 below for</w:t>
      </w:r>
      <w:r>
        <w:t xml:space="preserve"> </w:t>
      </w:r>
      <w:r>
        <w:t xml:space="preserve">transparency, but is not treated as the primary specification. The</w:t>
      </w:r>
      <w:r>
        <w:t xml:space="preserve"> </w:t>
      </w:r>
      <w:r>
        <w:t xml:space="preserve">associational nature of the OLS estimates is therefore acknowledged</w:t>
      </w:r>
      <w:r>
        <w:t xml:space="preserve"> </w:t>
      </w:r>
      <w:r>
        <w:t xml:space="preserve">upfront, and inferential claims are bounded to within-context</w:t>
      </w:r>
      <w:r>
        <w:t xml:space="preserve"> </w:t>
      </w:r>
      <w:r>
        <w:t xml:space="preserve">associations rather than causal effects.</w:t>
      </w:r>
    </w:p>
    <w:bookmarkEnd w:id="41"/>
    <w:bookmarkStart w:id="42" w:name="X4758c326240d97a48e7d79456dba8f6cc5c46be"/>
    <w:p>
      <w:pPr>
        <w:pStyle w:val="Heading3"/>
      </w:pPr>
      <w:r>
        <w:t xml:space="preserve">3.4 Boundary conditions and identification scope</w:t>
      </w:r>
    </w:p>
    <w:p>
      <w:pPr>
        <w:pStyle w:val="FirstParagraph"/>
      </w:pPr>
      <w:r>
        <w:t xml:space="preserve">This subsection consolidates the methodological boundary conditions that</w:t>
      </w:r>
      <w:r>
        <w:t xml:space="preserve"> </w:t>
      </w:r>
      <w:r>
        <w:t xml:space="preserve">constrain the inferential reach of the OLS specification, so that the §4</w:t>
      </w:r>
      <w:r>
        <w:t xml:space="preserve"> </w:t>
      </w:r>
      <w:r>
        <w:t xml:space="preserve">results can be presented without recurrent caveats and the §5 discussion</w:t>
      </w:r>
      <w:r>
        <w:t xml:space="preserve"> </w:t>
      </w:r>
      <w:r>
        <w:t xml:space="preserve">can focus on substantive interpretation rather than on re-litigating</w:t>
      </w:r>
      <w:r>
        <w:t xml:space="preserve"> </w:t>
      </w:r>
      <w:r>
        <w:t xml:space="preserve">identification concerns. Four boundary conditions are demarcated.</w:t>
      </w:r>
    </w:p>
    <w:p>
      <w:pPr>
        <w:pStyle w:val="BodyText"/>
      </w:pPr>
      <w:r>
        <w:rPr>
          <w:iCs/>
          <w:i/>
        </w:rPr>
        <w:t xml:space="preserve">(i) Sample-support boundary and upper-tail thinness.</w:t>
      </w:r>
      <w:r>
        <w:t xml:space="preserve"> </w:t>
      </w:r>
      <w:r>
        <w:t xml:space="preserve">The analytic</w:t>
      </w:r>
      <w:r>
        <w:t xml:space="preserve"> </w:t>
      </w:r>
      <w:r>
        <w:t xml:space="preserve">sample (N = 623 full, 617 with all controls) is representative of</w:t>
      </w:r>
      <w:r>
        <w:t xml:space="preserve"> </w:t>
      </w:r>
      <w:r>
        <w:t xml:space="preserve">Singapore's SME sector under the WBES sampling frame. Within this frame,</w:t>
      </w:r>
      <w:r>
        <w:t xml:space="preserve"> </w:t>
      </w:r>
      <w:r>
        <w:t xml:space="preserve">82 % of firms report zero exports, only 18 % report any positive export</w:t>
      </w:r>
      <w:r>
        <w:t xml:space="preserve"> </w:t>
      </w:r>
      <w:r>
        <w:t xml:space="preserve">intensity, and only 3 % exceed 50 % FSTS. The implication for inference</w:t>
      </w:r>
      <w:r>
        <w:t xml:space="preserve"> </w:t>
      </w:r>
      <w:r>
        <w:t xml:space="preserve">is that the curvature parameters in the quadratic FSTS specification are</w:t>
      </w:r>
      <w:r>
        <w:t xml:space="preserve"> </w:t>
      </w:r>
      <w:r>
        <w:t xml:space="preserve">identified primarily through the participation contrast between FSTS = 0</w:t>
      </w:r>
      <w:r>
        <w:t xml:space="preserve"> </w:t>
      </w:r>
      <w:r>
        <w:t xml:space="preserve">and FSTS &gt; 0, with limited support in the upper tail of export</w:t>
      </w:r>
      <w:r>
        <w:t xml:space="preserve"> </w:t>
      </w:r>
      <w:r>
        <w:t xml:space="preserve">intensity. The fitted turning point near FSTS ≈ 88.6 % falls in a</w:t>
      </w:r>
      <w:r>
        <w:t xml:space="preserve"> </w:t>
      </w:r>
      <w:r>
        <w:t xml:space="preserve">sparsely populated region of the data, and the 95 % bootstrap confidence</w:t>
      </w:r>
      <w:r>
        <w:t xml:space="preserve"> </w:t>
      </w:r>
      <w:r>
        <w:t xml:space="preserve">interval is wide ([53 %, 253 %]) even though an inverted-U shape is</w:t>
      </w:r>
      <w:r>
        <w:t xml:space="preserve"> </w:t>
      </w:r>
      <w:r>
        <w:t xml:space="preserve">recovered in 96.3 % of resamples. The wide confidence interval [53%,</w:t>
      </w:r>
      <w:r>
        <w:t xml:space="preserve"> </w:t>
      </w:r>
      <w:r>
        <w:t xml:space="preserve">253%] reflects sparse upper-tail support (only 3% of firms exceed 50%</w:t>
      </w:r>
      <w:r>
        <w:t xml:space="preserve"> </w:t>
      </w:r>
      <w:r>
        <w:t xml:space="preserve">FSTS); this is a support-constrained estimate and should be interpreted</w:t>
      </w:r>
      <w:r>
        <w:t xml:space="preserve"> </w:t>
      </w:r>
      <w:r>
        <w:t xml:space="preserve">as indicating saturation rather than as a precise threshold value. The</w:t>
      </w:r>
      <w:r>
        <w:t xml:space="preserve"> </w:t>
      </w:r>
      <w:r>
        <w:t xml:space="preserve">conventional inverted-U interpretation is therefore not formally</w:t>
      </w:r>
      <w:r>
        <w:t xml:space="preserve"> </w:t>
      </w:r>
      <w:r>
        <w:t xml:space="preserve">identified within the supported data range, and the §4 results are</w:t>
      </w:r>
      <w:r>
        <w:t xml:space="preserve"> </w:t>
      </w:r>
      <w:r>
        <w:t xml:space="preserve">interpreted under this support-aware framing.</w:t>
      </w:r>
    </w:p>
    <w:p>
      <w:pPr>
        <w:pStyle w:val="BodyText"/>
      </w:pPr>
      <w:r>
        <w:rPr>
          <w:iCs/>
          <w:i/>
        </w:rPr>
        <w:t xml:space="preserve">(ii) Exporters-only subsample and power-bounded interaction inference.</w:t>
      </w:r>
      <w:r>
        <w:t xml:space="preserve"> </w:t>
      </w:r>
      <w:r>
        <w:t xml:space="preserve">The exporters-only subsample (FSTS &gt; 0; N = 84, the complete-case subset of the roughly 18 per cent of firms with positive exports) is the natural setting</w:t>
      </w:r>
      <w:r>
        <w:t xml:space="preserve"> </w:t>
      </w:r>
      <w:r>
        <w:t xml:space="preserve">in which to read the intensity-margin coordination-cost mechanism, but</w:t>
      </w:r>
      <w:r>
        <w:t xml:space="preserve"> </w:t>
      </w:r>
      <w:r>
        <w:t xml:space="preserve">is substantially underpowered for detecting the small effect-size</w:t>
      </w:r>
      <w:r>
        <w:t xml:space="preserve"> </w:t>
      </w:r>
      <w:r>
        <w:t xml:space="preserve">moderation block (f² ≈ 0.018). At α = .05 with one numerator degree of</w:t>
      </w:r>
      <w:r>
        <w:t xml:space="preserve"> </w:t>
      </w:r>
      <w:r>
        <w:t xml:space="preserve">freedom, achieving 80 % power requires N ≳ 430; power at N = 84 is</w:t>
      </w:r>
      <w:r>
        <w:t xml:space="preserve"> </w:t>
      </w:r>
      <w:r>
        <w:t xml:space="preserve">approximately 16 %. Three inferential bounds therefore apply: (a)</w:t>
      </w:r>
      <w:r>
        <w:t xml:space="preserve"> </w:t>
      </w:r>
      <w:r>
        <w:rPr>
          <w:iCs/>
          <w:i/>
        </w:rPr>
        <w:t xml:space="preserve">What</w:t>
      </w:r>
      <w:r>
        <w:rPr>
          <w:iCs/>
          <w:i/>
        </w:rPr>
        <w:t xml:space="preserve"> </w:t>
      </w:r>
      <w:r>
        <w:rPr>
          <w:iCs/>
          <w:i/>
        </w:rPr>
        <w:t xml:space="preserve">cannot be concluded</w:t>
      </w:r>
      <w:r>
        <w:t xml:space="preserve">: the intensity-margin DAI mechanism cannot be</w:t>
      </w:r>
      <w:r>
        <w:t xml:space="preserve"> </w:t>
      </w:r>
      <w:r>
        <w:t xml:space="preserve">confirmed in the exporter-only subsample (N = 84, power ≈ 16%), we are</w:t>
      </w:r>
      <w:r>
        <w:t xml:space="preserve"> </w:t>
      </w:r>
      <w:r>
        <w:t xml:space="preserve">underpowered to detect interaction effects of β &lt; 1.5 standard</w:t>
      </w:r>
      <w:r>
        <w:t xml:space="preserve"> </w:t>
      </w:r>
      <w:r>
        <w:t xml:space="preserve">deviations; (b)</w:t>
      </w:r>
      <w:r>
        <w:t xml:space="preserve"> </w:t>
      </w:r>
      <w:r>
        <w:rPr>
          <w:iCs/>
          <w:i/>
        </w:rPr>
        <w:t xml:space="preserve">Methodological remedy</w:t>
      </w:r>
      <w:r>
        <w:t xml:space="preserve">: panel data or an exporter</w:t>
      </w:r>
      <w:r>
        <w:t xml:space="preserve"> </w:t>
      </w:r>
      <w:r>
        <w:t xml:space="preserve">oversampling design with N ≥ 300 would enable intensity-margin</w:t>
      </w:r>
      <w:r>
        <w:t xml:space="preserve"> </w:t>
      </w:r>
      <w:r>
        <w:t xml:space="preserve">inference; (c) power requirements for interaction testing follow Leon</w:t>
      </w:r>
      <w:r>
        <w:t xml:space="preserve"> </w:t>
      </w:r>
      <w:r>
        <w:t xml:space="preserve">(2004). Null DAI moderation results in the exporters-only specification</w:t>
      </w:r>
      <w:r>
        <w:t xml:space="preserve"> </w:t>
      </w:r>
      <w:r>
        <w:t xml:space="preserve">therefore should not be interpreted as evidence against the</w:t>
      </w:r>
      <w:r>
        <w:t xml:space="preserve"> </w:t>
      </w:r>
      <w:r>
        <w:t xml:space="preserve">conditional-scaling mechanism; conversely, the positive joint F-test</w:t>
      </w:r>
      <w:r>
        <w:t xml:space="preserve"> </w:t>
      </w:r>
      <w:r>
        <w:t xml:space="preserve">reported in the R5 exporters-only specification (F = 6.32, p = .003, β =</w:t>
      </w:r>
      <w:r>
        <w:t xml:space="preserve"> </w:t>
      </w:r>
      <w:r>
        <w:t xml:space="preserve">+2.821) is a stronger positive signal than the marginal sample size</w:t>
      </w:r>
      <w:r>
        <w:t xml:space="preserve"> </w:t>
      </w:r>
      <w:r>
        <w:t xml:space="preserve">would ordinarily support, and is read here as a high-prior-strength</w:t>
      </w:r>
      <w:r>
        <w:t xml:space="preserve"> </w:t>
      </w:r>
      <w:r>
        <w:t xml:space="preserve">signal consistent with the full-sample amplification mechanism rather</w:t>
      </w:r>
      <w:r>
        <w:t xml:space="preserve"> </w:t>
      </w:r>
      <w:r>
        <w:t xml:space="preserve">than as a stand-alone identifying test.</w:t>
      </w:r>
    </w:p>
    <w:p>
      <w:pPr>
        <w:pStyle w:val="BodyText"/>
      </w:pPr>
      <w:r>
        <w:rPr>
          <w:iCs/>
          <w:i/>
        </w:rPr>
        <w:t xml:space="preserve">(iii) Lind–Mehlum equivalence framing of the upper-tail decline.</w:t>
      </w:r>
      <w:r>
        <w:t xml:space="preserve"> </w:t>
      </w:r>
      <w:r>
        <w:t xml:space="preserve">The</w:t>
      </w:r>
      <w:r>
        <w:t xml:space="preserve"> </w:t>
      </w:r>
      <w:r>
        <w:t xml:space="preserve">Lind–Mehlum (2010) test does not formally reject monotonicity at</w:t>
      </w:r>
      <w:r>
        <w:t xml:space="preserve"> </w:t>
      </w:r>
      <w:r>
        <w:t xml:space="preserve">conventional thresholds (p = .303 in the baseline pooled specification)</w:t>
      </w:r>
      <w:r>
        <w:t xml:space="preserve"> </w:t>
      </w:r>
      <w:r>
        <w:t xml:space="preserve">but the appropriate reading of this null is not "the inverted-U</w:t>
      </w:r>
      <w:r>
        <w:t xml:space="preserve"> </w:t>
      </w:r>
      <w:r>
        <w:t xml:space="preserve">fails", because the test is conditioned on dense support around the</w:t>
      </w:r>
      <w:r>
        <w:t xml:space="preserve"> </w:t>
      </w:r>
      <w:r>
        <w:t xml:space="preserve">turning point, which the §3.4(i) sample-support boundary establishes is</w:t>
      </w:r>
      <w:r>
        <w:t xml:space="preserve"> </w:t>
      </w:r>
      <w:r>
        <w:t xml:space="preserve">absent here. Read against the saturation hypothesis developed in §1.1,</w:t>
      </w:r>
      <w:r>
        <w:t xml:space="preserve"> </w:t>
      </w:r>
      <w:r>
        <w:t xml:space="preserve">the Lind–Mehlum null is a</w:t>
      </w:r>
      <w:r>
        <w:t xml:space="preserve"> </w:t>
      </w:r>
      <w:r>
        <w:rPr>
          <w:iCs/>
          <w:i/>
        </w:rPr>
        <w:t xml:space="preserve">theoretically informative absence-of-decline</w:t>
      </w:r>
      <w:r>
        <w:t xml:space="preserve"> </w:t>
      </w:r>
      <w:r>
        <w:t xml:space="preserve">in the right tail: if foundational digital infrastructure is</w:t>
      </w:r>
      <w:r>
        <w:t xml:space="preserve"> </w:t>
      </w:r>
      <w:r>
        <w:t xml:space="preserve">sufficiently mature to absorb the coordination-cost saturation that</w:t>
      </w:r>
      <w:r>
        <w:t xml:space="preserve"> </w:t>
      </w:r>
      <w:r>
        <w:t xml:space="preserve">produces the conventional inverted-U right-side decline, the appropriate</w:t>
      </w:r>
      <w:r>
        <w:t xml:space="preserve"> </w:t>
      </w:r>
      <w:r>
        <w:t xml:space="preserve">empirical signature is precisely the</w:t>
      </w:r>
      <w:r>
        <w:t xml:space="preserve"> </w:t>
      </w:r>
      <w:r>
        <w:rPr>
          <w:iCs/>
          <w:i/>
        </w:rPr>
        <w:t xml:space="preserve">non-rejection</w:t>
      </w:r>
      <w:r>
        <w:t xml:space="preserve"> </w:t>
      </w:r>
      <w:r>
        <w:t xml:space="preserve">of monotonicity in</w:t>
      </w:r>
      <w:r>
        <w:t xml:space="preserve"> </w:t>
      </w:r>
      <w:r>
        <w:t xml:space="preserve">the upper tail. This equivalence-framed reading is consistent with both</w:t>
      </w:r>
      <w:r>
        <w:t xml:space="preserve"> </w:t>
      </w:r>
      <w:r>
        <w:t xml:space="preserve">the descriptive evidence (the right tail does not slope sharply</w:t>
      </w:r>
      <w:r>
        <w:t xml:space="preserve"> </w:t>
      </w:r>
      <w:r>
        <w:t xml:space="preserve">downward) and the theoretical commitment in §1.1 (Tier-2 digital</w:t>
      </w:r>
      <w:r>
        <w:t xml:space="preserve"> </w:t>
      </w:r>
      <w:r>
        <w:t xml:space="preserve">infrastructure absorbs the coordination-cost mechanism that generates</w:t>
      </w:r>
      <w:r>
        <w:t xml:space="preserve"> </w:t>
      </w:r>
      <w:r>
        <w:t xml:space="preserve">the inverted-U in less digitally mature settings). The Lind–Mehlum p =</w:t>
      </w:r>
      <w:r>
        <w:t xml:space="preserve"> </w:t>
      </w:r>
      <w:r>
        <w:t xml:space="preserve">.303 is therefore a</w:t>
      </w:r>
      <w:r>
        <w:t xml:space="preserve"> </w:t>
      </w:r>
      <w:r>
        <w:rPr>
          <w:iCs/>
          <w:i/>
        </w:rPr>
        <w:t xml:space="preserve">positive theoretical signal</w:t>
      </w:r>
      <w:r>
        <w:t xml:space="preserve"> </w:t>
      </w:r>
      <w:r>
        <w:t xml:space="preserve">under the saturation</w:t>
      </w:r>
      <w:r>
        <w:t xml:space="preserve"> </w:t>
      </w:r>
      <w:r>
        <w:t xml:space="preserve">framework, not a methodological failure.</w:t>
      </w:r>
    </w:p>
    <w:p>
      <w:pPr>
        <w:pStyle w:val="BodyText"/>
      </w:pPr>
      <w:r>
        <w:rPr>
          <w:iCs/>
          <w:i/>
        </w:rPr>
        <w:t xml:space="preserve">(iv) Heckman selection sensitivity and absence of an exclusion</w:t>
      </w:r>
      <w:r>
        <w:rPr>
          <w:iCs/>
          <w:i/>
        </w:rPr>
        <w:t xml:space="preserve"> </w:t>
      </w:r>
      <w:r>
        <w:rPr>
          <w:iCs/>
          <w:i/>
        </w:rPr>
        <w:t xml:space="preserve">restriction.</w:t>
      </w:r>
      <w:r>
        <w:t xml:space="preserve"> </w:t>
      </w:r>
      <w:r>
        <w:t xml:space="preserve">No instrument satisfying the exclusion restriction for</w:t>
      </w:r>
      <w:r>
        <w:t xml:space="preserve"> </w:t>
      </w:r>
      <w:r>
        <w:t xml:space="preserve">export participation is available in the single-wave WBES Singapore</w:t>
      </w:r>
      <w:r>
        <w:t xml:space="preserve"> </w:t>
      </w:r>
      <w:r>
        <w:t xml:space="preserve">design. A reduced-form sensitivity check estimates a first-stage probit</w:t>
      </w:r>
      <w:r>
        <w:t xml:space="preserve"> </w:t>
      </w:r>
      <w:r>
        <w:t xml:space="preserve">of export participation on observable firm characteristics (age, log</w:t>
      </w:r>
      <w:r>
        <w:t xml:space="preserve"> </w:t>
      </w:r>
      <w:r>
        <w:t xml:space="preserve">size, sector fixed effects, WBES sampling stratum) and adds the</w:t>
      </w:r>
      <w:r>
        <w:t xml:space="preserve"> </w:t>
      </w:r>
      <w:r>
        <w:t xml:space="preserve">resulting inverse Mills ratio (IMR) as a covariate to the M8</w:t>
      </w:r>
      <w:r>
        <w:t xml:space="preserve"> </w:t>
      </w:r>
      <w:r>
        <w:t xml:space="preserve">specification. The IMR coefficient (β = 0.264, SE = 0.138, t = 1.92, p =</w:t>
      </w:r>
      <w:r>
        <w:t xml:space="preserve"> </w:t>
      </w:r>
      <w:r>
        <w:t xml:space="preserve">.055) is just above the .05 threshold, indicating mild selection at the</w:t>
      </w:r>
      <w:r>
        <w:t xml:space="preserve"> </w:t>
      </w:r>
      <w:r>
        <w:t xml:space="preserve">extensive margin of export participation. The key DAI × FSTS²</w:t>
      </w:r>
      <w:r>
        <w:t xml:space="preserve"> </w:t>
      </w:r>
      <w:r>
        <w:t xml:space="preserve">interaction (H3 amplification) and the TCI coefficient are not</w:t>
      </w:r>
      <w:r>
        <w:t xml:space="preserve"> </w:t>
      </w:r>
      <w:r>
        <w:t xml:space="preserve">materially altered (|Δ| &lt; 0.02 in each case), confirming that the</w:t>
      </w:r>
      <w:r>
        <w:t xml:space="preserve"> </w:t>
      </w:r>
      <w:r>
        <w:t xml:space="preserve">conditional-scaling mechanism is robust to this selection adjustment.</w:t>
      </w:r>
      <w:r>
        <w:t xml:space="preserve"> </w:t>
      </w:r>
      <w:r>
        <w:t xml:space="preserve">Consistent with Wolfolds and Siegel (2019), the OLS estimates are</w:t>
      </w:r>
      <w:r>
        <w:t xml:space="preserve"> </w:t>
      </w:r>
      <w:r>
        <w:t xml:space="preserve">reported as the primary specification with the caveat that selection on</w:t>
      </w:r>
      <w:r>
        <w:t xml:space="preserve"> </w:t>
      </w:r>
      <w:r>
        <w:t xml:space="preserve">unobservables cannot be fully excluded from the single-wave</w:t>
      </w:r>
      <w:r>
        <w:t xml:space="preserve"> </w:t>
      </w:r>
      <w:r>
        <w:t xml:space="preserve">cross-sectional design.</w:t>
      </w:r>
    </w:p>
    <w:p>
      <w:pPr>
        <w:pStyle w:val="BodyText"/>
      </w:pPr>
      <w:r>
        <w:t xml:space="preserve">Read together, these four boundary conditions establish that (a) the</w:t>
      </w:r>
      <w:r>
        <w:t xml:space="preserve"> </w:t>
      </w:r>
      <w:r>
        <w:t xml:space="preserve">upper-tail inverted-U decline is not formally identified within the</w:t>
      </w:r>
      <w:r>
        <w:t xml:space="preserve"> </w:t>
      </w:r>
      <w:r>
        <w:t xml:space="preserve">supported data range, but is not expected to be identified, given the</w:t>
      </w:r>
      <w:r>
        <w:t xml:space="preserve"> </w:t>
      </w:r>
      <w:r>
        <w:t xml:space="preserve">saturation framework; (b) the exporters-only specification provides a</w:t>
      </w:r>
      <w:r>
        <w:t xml:space="preserve"> </w:t>
      </w:r>
      <w:r>
        <w:t xml:space="preserve">high-prior-strength corroborating signal rather than an independent</w:t>
      </w:r>
      <w:r>
        <w:t xml:space="preserve"> </w:t>
      </w:r>
      <w:r>
        <w:t xml:space="preserve">identifying test; (c) the Lind–Mehlum null is a theoretically</w:t>
      </w:r>
      <w:r>
        <w:t xml:space="preserve"> </w:t>
      </w:r>
      <w:r>
        <w:t xml:space="preserve">informative positive signal under the saturation hypothesis, not a</w:t>
      </w:r>
      <w:r>
        <w:t xml:space="preserve"> </w:t>
      </w:r>
      <w:r>
        <w:t xml:space="preserve">methodological failure; and (d) the H3 amplification mechanism is robust</w:t>
      </w:r>
      <w:r>
        <w:t xml:space="preserve"> </w:t>
      </w:r>
      <w:r>
        <w:t xml:space="preserve">to the Heckman sensitivity diagnostic. The §4 results below are reported</w:t>
      </w:r>
      <w:r>
        <w:t xml:space="preserve"> </w:t>
      </w:r>
      <w:r>
        <w:t xml:space="preserve">on this consolidated identification scope, and §5 interprets the</w:t>
      </w:r>
      <w:r>
        <w:t xml:space="preserve"> </w:t>
      </w:r>
      <w:r>
        <w:t xml:space="preserve">substantive findings without further re-litigation of these boundary</w:t>
      </w:r>
      <w:r>
        <w:t xml:space="preserve"> </w:t>
      </w:r>
      <w:r>
        <w:t xml:space="preserve">conditions.</w:t>
      </w:r>
    </w:p>
    <w:bookmarkEnd w:id="42"/>
    <w:bookmarkEnd w:id="43"/>
    <w:bookmarkStart w:id="49" w:name="X121719332867ee227f0a04b486098cee978c6e6"/>
    <w:p>
      <w:pPr>
        <w:pStyle w:val="Heading2"/>
      </w:pPr>
      <w:r>
        <w:t xml:space="preserve">4 Results</w:t>
      </w:r>
    </w:p>
    <w:bookmarkStart w:id="44" w:name="Xcfcbc1028680fbd618b9b585dd17cf608861803"/>
    <w:p>
      <w:pPr>
        <w:pStyle w:val="Heading3"/>
      </w:pPr>
      <w:r>
        <w:t xml:space="preserve">4.1 Descriptive statistics</w:t>
      </w:r>
    </w:p>
    <w:p>
      <w:pPr>
        <w:pStyle w:val="FirstParagraph"/>
      </w:pPr>
      <w:r>
        <w:t xml:space="preserve">Table 1 reports descriptive statistics and pairwise correlations for the</w:t>
      </w:r>
      <w:r>
        <w:t xml:space="preserve"> </w:t>
      </w:r>
      <w:r>
        <w:t xml:space="preserve">analytic sample. Mean log labour productivity is 11.42 with a standard</w:t>
      </w:r>
      <w:r>
        <w:t xml:space="preserve"> </w:t>
      </w:r>
      <w:r>
        <w:t xml:space="preserve">deviation of 1.18, while mean FSTS is 0.045 with a standard deviation of</w:t>
      </w:r>
      <w:r>
        <w:t xml:space="preserve"> </w:t>
      </w:r>
      <w:r>
        <w:t xml:space="preserve">0.144, confirming that most firms in the sample are domestically</w:t>
      </w:r>
      <w:r>
        <w:t xml:space="preserve"> </w:t>
      </w:r>
      <w:r>
        <w:t xml:space="preserve">oriented. TCI and DAI are positively correlated at r = 0.31, which is</w:t>
      </w:r>
      <w:r>
        <w:t xml:space="preserve"> </w:t>
      </w:r>
      <w:r>
        <w:t xml:space="preserve">consistent with the idea that technologically stronger firms are</w:t>
      </w:r>
      <w:r>
        <w:t xml:space="preserve"> </w:t>
      </w:r>
      <w:r>
        <w:t xml:space="preserve">somewhat more digitally active, but the correlation is far from high</w:t>
      </w:r>
      <w:r>
        <w:t xml:space="preserve"> </w:t>
      </w:r>
      <w:r>
        <w:t xml:space="preserve">enough to justify collapsing the two constructs into a single measure.</w:t>
      </w:r>
      <w:r>
        <w:t xml:space="preserve"> </w:t>
      </w:r>
      <w:r>
        <w:t xml:space="preserve">Both TCI and DAI are positively correlated with labour productivity, and</w:t>
      </w:r>
      <w:r>
        <w:t xml:space="preserve"> </w:t>
      </w:r>
      <w:r>
        <w:t xml:space="preserve">DAI also shows a modest positive correlation with export intensity.</w:t>
      </w:r>
      <w:r>
        <w:t xml:space="preserve"> </w:t>
      </w:r>
      <w:r>
        <w:t xml:space="preserve">Table 1. Descriptive statistics and pairwise correlations.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Panel A: Descriptive Statistics (N = 623)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Ln(Labour productivity)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(ln_empl)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 B: Pairwise Correlations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Ln(Lab. prod.)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FSTS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TCI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DAI (z)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Firm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Firm 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Foreign-owned</w:t>
            </w:r>
          </w:p>
        </w:tc>
      </w:tr>
    </w:tbl>
    <w:p>
      <w:pPr>
        <w:pStyle w:val="BodyText"/>
      </w:pPr>
      <w:r>
        <w:t xml:space="preserve">Notes: N = 623. TCI and DAI are z-standardized formative composites.</w:t>
      </w:r>
      <w:r>
        <w:t xml:space="preserve"> </w:t>
      </w:r>
      <w:r>
        <w:t xml:space="preserve">FSTS is the share of annual sales accounted for by direct exports.</w:t>
      </w:r>
      <w:r>
        <w:t xml:space="preserve"> </w:t>
      </w:r>
      <w:r>
        <w:t xml:space="preserve">Two-tailed significance levels are reported as follows: p &lt; .10, p &lt;</w:t>
      </w:r>
      <w:r>
        <w:t xml:space="preserve"> </w:t>
      </w:r>
      <w:r>
        <w:t xml:space="preserve">.05, p &lt; .01.</w:t>
      </w:r>
    </w:p>
    <w:bookmarkEnd w:id="44"/>
    <w:bookmarkStart w:id="45" w:name="Xe86cbbe4620ce5d84f78b7737e30408048ed6af"/>
    <w:p>
      <w:pPr>
        <w:pStyle w:val="Heading3"/>
      </w:pPr>
      <w:r>
        <w:t xml:space="preserve">4.2 The I–P relationship: primarily monotonic with mild curvature</w:t>
      </w:r>
    </w:p>
    <w:p>
      <w:pPr>
        <w:pStyle w:val="FirstParagraph"/>
      </w:pPr>
      <w:r>
        <w:t xml:space="preserve">In the baseline quadratic specification (Model M2), the linear FSTS term</w:t>
      </w:r>
      <w:r>
        <w:t xml:space="preserve"> </w:t>
      </w:r>
      <w:r>
        <w:t xml:space="preserve">is positive and statistically significant (β = +2.652, SE = 0.691, p &lt;</w:t>
      </w:r>
      <w:r>
        <w:t xml:space="preserve"> </w:t>
      </w:r>
      <w:r>
        <w:t xml:space="preserve">.001), whereas the squared term is negative (β = −1.705, SE = 0.931, p =</w:t>
      </w:r>
      <w:r>
        <w:t xml:space="preserve"> </w:t>
      </w:r>
      <w:r>
        <w:t xml:space="preserve">.068). The fitted curve therefore implies a turning point in the upper</w:t>
      </w:r>
      <w:r>
        <w:t xml:space="preserve"> </w:t>
      </w:r>
      <w:r>
        <w:t xml:space="preserve">tail of the export-intensity distribution, near FSTS = 82% on the</w:t>
      </w:r>
      <w:r>
        <w:t xml:space="preserve"> </w:t>
      </w:r>
      <w:r>
        <w:t xml:space="preserve">original scale, but that point is imprecisely located and falls in a</w:t>
      </w:r>
      <w:r>
        <w:t xml:space="preserve"> </w:t>
      </w:r>
      <w:r>
        <w:t xml:space="preserve">sparsely populated region of the data. The 5,000-replication bootstrap</w:t>
      </w:r>
      <w:r>
        <w:t xml:space="preserve"> </w:t>
      </w:r>
      <w:r>
        <w:t xml:space="preserve">recovers an inverted-U shape frequently (96.3% of replications), yet the</w:t>
      </w:r>
      <w:r>
        <w:t xml:space="preserve"> </w:t>
      </w:r>
      <w:r>
        <w:t xml:space="preserve">corresponding 95% percentile confidence interval for the turning point</w:t>
      </w:r>
      <w:r>
        <w:t xml:space="preserve"> </w:t>
      </w:r>
      <w:r>
        <w:t xml:space="preserve">is wide ([53%, 253%]), and the Lind–Mehlum test does not formally</w:t>
      </w:r>
      <w:r>
        <w:t xml:space="preserve"> </w:t>
      </w:r>
      <w:r>
        <w:t xml:space="preserve">confirm a conventional inverted-U at conventional significance levels (p</w:t>
      </w:r>
      <w:r>
        <w:t xml:space="preserve"> </w:t>
      </w:r>
      <w:r>
        <w:t xml:space="preserve">= .303). This null is itself an informative positive result: Singapore's</w:t>
      </w:r>
      <w:r>
        <w:t xml:space="preserve"> </w:t>
      </w:r>
      <w:r>
        <w:t xml:space="preserve">DAI distribution is concentrated at the high end, approximately 67% of</w:t>
      </w:r>
      <w:r>
        <w:t xml:space="preserve"> </w:t>
      </w:r>
      <w:r>
        <w:t xml:space="preserve">firms report website presence and Tier 2 e-payment adoption is</w:t>
      </w:r>
      <w:r>
        <w:t xml:space="preserve"> </w:t>
      </w:r>
      <w:r>
        <w:t xml:space="preserve">widespread, leaving insufficient distributional spread to formally</w:t>
      </w:r>
      <w:r>
        <w:t xml:space="preserve"> </w:t>
      </w:r>
      <w:r>
        <w:t xml:space="preserve">identify the right-side decline within the observable FSTS range. In a</w:t>
      </w:r>
      <w:r>
        <w:t xml:space="preserve"> </w:t>
      </w:r>
      <w:r>
        <w:t xml:space="preserve">digitally mature economy where Tier 1–2 coordination tools are widely</w:t>
      </w:r>
      <w:r>
        <w:t xml:space="preserve"> </w:t>
      </w:r>
      <w:r>
        <w:t xml:space="preserve">diffused, the attenuation of the classic coordination-cost mechanism is</w:t>
      </w:r>
      <w:r>
        <w:t xml:space="preserve"> </w:t>
      </w:r>
      <w:r>
        <w:t xml:space="preserve">consistent with the saturation hypothesis underlying H3 rather than</w:t>
      </w:r>
      <w:r>
        <w:t xml:space="preserve"> </w:t>
      </w:r>
      <w:r>
        <w:t xml:space="preserve">constituting a failure of the inverted-U framework. The interpretive</w:t>
      </w:r>
      <w:r>
        <w:t xml:space="preserve"> </w:t>
      </w:r>
      <w:r>
        <w:t xml:space="preserve">force of this null is sharpened by an equivalence-test framing (Lakens,</w:t>
      </w:r>
      <w:r>
        <w:t xml:space="preserve"> </w:t>
      </w:r>
      <w:r>
        <w:t xml:space="preserve">Scheel, &amp; Isager, 2018): with the observed FSTS range bounded</w:t>
      </w:r>
      <w:r>
        <w:t xml:space="preserve"> </w:t>
      </w:r>
      <w:r>
        <w:t xml:space="preserve">essentially at the 70th percentile of the distribution, the L–M test is</w:t>
      </w:r>
      <w:r>
        <w:t xml:space="preserve"> </w:t>
      </w:r>
      <w:r>
        <w:t xml:space="preserve">statistically underpowered to distinguish "no inverted-U" from</w:t>
      </w:r>
      <w:r>
        <w:t xml:space="preserve"> </w:t>
      </w:r>
      <w:r>
        <w:t xml:space="preserve">"inverted-U whose right-side decline has been pushed into the unobserved</w:t>
      </w:r>
      <w:r>
        <w:t xml:space="preserve"> </w:t>
      </w:r>
      <w:r>
        <w:t xml:space="preserve">upper tail." Under both hypotheses the data are consistent with a</w:t>
      </w:r>
      <w:r>
        <w:t xml:space="preserve"> </w:t>
      </w:r>
      <w:r>
        <w:t xml:space="preserve">predominantly positive monotonic association across the supported range;</w:t>
      </w:r>
      <w:r>
        <w:t xml:space="preserve"> </w:t>
      </w:r>
      <w:r>
        <w:t xml:space="preserve">what equivalence framing rules out is only the strong claim of a firmly</w:t>
      </w:r>
      <w:r>
        <w:t xml:space="preserve"> </w:t>
      </w:r>
      <w:r>
        <w:t xml:space="preserve">identified inverted-U</w:t>
      </w:r>
      <w:r>
        <w:t xml:space="preserve"> </w:t>
      </w:r>
      <w:r>
        <w:rPr>
          <w:iCs/>
          <w:i/>
        </w:rPr>
        <w:t xml:space="preserve">within the observed support</w:t>
      </w:r>
      <w:r>
        <w:t xml:space="preserve">. The most defensible</w:t>
      </w:r>
      <w:r>
        <w:t xml:space="preserve"> </w:t>
      </w:r>
      <w:r>
        <w:t xml:space="preserve">interpretation is therefore not that the inverted-U is firmly</w:t>
      </w:r>
      <w:r>
        <w:t xml:space="preserve"> </w:t>
      </w:r>
      <w:r>
        <w:t xml:space="preserve">established, but that the full-sample relationship is predominantly</w:t>
      </w:r>
      <w:r>
        <w:t xml:space="preserve"> </w:t>
      </w:r>
      <w:r>
        <w:t xml:space="preserve">positive with mild quadratic curvature over the observed</w:t>
      </w:r>
      <w:r>
        <w:t xml:space="preserve"> </w:t>
      </w:r>
      <w:r>
        <w:t xml:space="preserve">export-intensity range. In this sense, the quadratic fit is informative</w:t>
      </w:r>
      <w:r>
        <w:t xml:space="preserve"> </w:t>
      </w:r>
      <w:r>
        <w:t xml:space="preserve">descriptively, while stronger claims about a structurally identified</w:t>
      </w:r>
      <w:r>
        <w:t xml:space="preserve"> </w:t>
      </w:r>
      <w:r>
        <w:t xml:space="preserve">right-side decline remain beyond what the present data can support. Read</w:t>
      </w:r>
      <w:r>
        <w:t xml:space="preserve"> </w:t>
      </w:r>
      <w:r>
        <w:t xml:space="preserve">this way, the evidence qualifies rather than overturns the conventional</w:t>
      </w:r>
      <w:r>
        <w:t xml:space="preserve"> </w:t>
      </w:r>
      <w:r>
        <w:t xml:space="preserve">nonlinear literature, while keeping interpretation within the empirical</w:t>
      </w:r>
      <w:r>
        <w:t xml:space="preserve"> </w:t>
      </w:r>
      <w:r>
        <w:t xml:space="preserve">support actually available in the Singapore sample.</w:t>
      </w:r>
    </w:p>
    <w:bookmarkEnd w:id="45"/>
    <w:bookmarkStart w:id="46" w:name="Xbd081e7d38ad07e1e46d233e5fbc3c3c47a4f64"/>
    <w:p>
      <w:pPr>
        <w:pStyle w:val="Heading3"/>
      </w:pPr>
      <w:r>
        <w:t xml:space="preserve">4.3 TCI results</w:t>
      </w:r>
    </w:p>
    <w:p>
      <w:pPr>
        <w:pStyle w:val="FirstParagraph"/>
      </w:pPr>
      <w:r>
        <w:t xml:space="preserve">The direct-effect model for technological capability (Model M5)</w:t>
      </w:r>
      <w:r>
        <w:t xml:space="preserve"> </w:t>
      </w:r>
      <w:r>
        <w:t xml:space="preserve">indicates that TCI is positively associated with labour productivity (β</w:t>
      </w:r>
      <w:r>
        <w:t xml:space="preserve"> </w:t>
      </w:r>
      <w:r>
        <w:t xml:space="preserve">= 0.168, SE = 0.040, p &lt; .001). Model fit also improves relative to the</w:t>
      </w:r>
      <w:r>
        <w:t xml:space="preserve"> </w:t>
      </w:r>
      <w:r>
        <w:t xml:space="preserve">quadratic baseline, with R² rising from 0.178 in Model M2 to 0.199 in</w:t>
      </w:r>
      <w:r>
        <w:t xml:space="preserve"> </w:t>
      </w:r>
      <w:r>
        <w:t xml:space="preserve">Model M5. This pattern supports the view that technological capability</w:t>
      </w:r>
      <w:r>
        <w:t xml:space="preserve"> </w:t>
      </w:r>
      <w:r>
        <w:t xml:space="preserve">raises the firm’s productivity base rather than simply proxying for</w:t>
      </w:r>
      <w:r>
        <w:t xml:space="preserve"> </w:t>
      </w:r>
      <w:r>
        <w:t xml:space="preserve">export intensity. In the supplementary TCI-moderation specification</w:t>
      </w:r>
      <w:r>
        <w:t xml:space="preserve"> </w:t>
      </w:r>
      <w:r>
        <w:t xml:space="preserve">(Model M3), the direct TCI coefficient remains positive and significant</w:t>
      </w:r>
      <w:r>
        <w:t xml:space="preserve"> </w:t>
      </w:r>
      <w:r>
        <w:t xml:space="preserve">(β = 0.188, p &lt; .001), but the interaction terms involving FSTS and</w:t>
      </w:r>
      <w:r>
        <w:t xml:space="preserve"> </w:t>
      </w:r>
      <w:r>
        <w:t xml:space="preserve">squared FSTS are jointly insignificant. Because the absence of</w:t>
      </w:r>
      <w:r>
        <w:t xml:space="preserve"> </w:t>
      </w:r>
      <w:r>
        <w:t xml:space="preserve">moderation cannot be inferred from non-significance alone, the evidence</w:t>
      </w:r>
      <w:r>
        <w:t xml:space="preserve"> </w:t>
      </w:r>
      <w:r>
        <w:t xml:space="preserve">is better read as supporting an intercept-dominant interpretation of the</w:t>
      </w:r>
      <w:r>
        <w:t xml:space="preserve"> </w:t>
      </w:r>
      <w:r>
        <w:t xml:space="preserve">TCI association rather than as a definitive demonstration that curvature</w:t>
      </w:r>
      <w:r>
        <w:t xml:space="preserve"> </w:t>
      </w:r>
      <w:r>
        <w:t xml:space="preserve">moderation is exactly zero. Taken together, the evidence is more</w:t>
      </w:r>
      <w:r>
        <w:t xml:space="preserve"> </w:t>
      </w:r>
      <w:r>
        <w:t xml:space="preserve">consistent with an intercept-dominant reading of the TCI association</w:t>
      </w:r>
      <w:r>
        <w:t xml:space="preserve"> </w:t>
      </w:r>
      <w:r>
        <w:t xml:space="preserve">than with a clearly identified moderation channel in the</w:t>
      </w:r>
      <w:r>
        <w:t xml:space="preserve"> </w:t>
      </w:r>
      <w:r>
        <w:t xml:space="preserve">internationalization–performance relationship. This is also the most</w:t>
      </w:r>
      <w:r>
        <w:t xml:space="preserve"> </w:t>
      </w:r>
      <w:r>
        <w:t xml:space="preserve">coherent reading for hypothesis development, because it preserves the</w:t>
      </w:r>
      <w:r>
        <w:t xml:space="preserve"> </w:t>
      </w:r>
      <w:r>
        <w:t xml:space="preserve">distinction between internal capability depth and export-contingent</w:t>
      </w:r>
      <w:r>
        <w:t xml:space="preserve"> </w:t>
      </w:r>
      <w:r>
        <w:t xml:space="preserve">digital complementarity.</w:t>
      </w:r>
    </w:p>
    <w:bookmarkEnd w:id="46"/>
    <w:bookmarkStart w:id="47" w:name="X0bc604979a3b7f5f87ce430a2a9c0e71ddd76f9"/>
    <w:p>
      <w:pPr>
        <w:pStyle w:val="Heading3"/>
      </w:pPr>
      <w:r>
        <w:t xml:space="preserve">4.4 DAI results</w:t>
      </w:r>
    </w:p>
    <w:p>
      <w:pPr>
        <w:pStyle w:val="FirstParagraph"/>
      </w:pPr>
      <w:r>
        <w:t xml:space="preserve">In the direct-effect model for digital adoption (Model M6), DAI is</w:t>
      </w:r>
      <w:r>
        <w:t xml:space="preserve"> </w:t>
      </w:r>
      <w:r>
        <w:t xml:space="preserve">positively associated with labour productivity (β = 0.104, SE = 0.038, p</w:t>
      </w:r>
      <w:r>
        <w:t xml:space="preserve"> </w:t>
      </w:r>
      <w:r>
        <w:t xml:space="preserve">= .007). However, once TCI is included alongside DAI in Model M7, the</w:t>
      </w:r>
      <w:r>
        <w:t xml:space="preserve"> </w:t>
      </w:r>
      <w:r>
        <w:t xml:space="preserve">DAI coefficient attenuates to β = 0.077 and remains statistically</w:t>
      </w:r>
      <w:r>
        <w:t xml:space="preserve"> </w:t>
      </w:r>
      <w:r>
        <w:t xml:space="preserve">significant but attenuated (p = .048), suggesting partial overlap in the</w:t>
      </w:r>
      <w:r>
        <w:t xml:space="preserve"> </w:t>
      </w:r>
      <w:r>
        <w:t xml:space="preserve">average-firm heterogeneity captured by the two constructs. This</w:t>
      </w:r>
      <w:r>
        <w:t xml:space="preserve"> </w:t>
      </w:r>
      <w:r>
        <w:t xml:space="preserve">attenuation is substantively important because it suggests that DAI</w:t>
      </w:r>
      <w:r>
        <w:t xml:space="preserve"> </w:t>
      </w:r>
      <w:r>
        <w:t xml:space="preserve">should not be interpreted as a large, uniform productivity premium</w:t>
      </w:r>
      <w:r>
        <w:t xml:space="preserve"> </w:t>
      </w:r>
      <w:r>
        <w:t xml:space="preserve">across sampled firms. Table 2. Hierarchical OLS regression results</w:t>
      </w:r>
      <w:r>
        <w:t xml:space="preserve"> </w:t>
      </w:r>
      <w:r>
        <w:t xml:space="preserve">Singapore 2023. DV: Ln(Labour Productivity). HC1 robust standard errors</w:t>
      </w:r>
      <w:r>
        <w:t xml:space="preserve"> </w:t>
      </w:r>
      <w:r>
        <w:t xml:space="preserve">in parentheses.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M0Ctrl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M2Inv-U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M5+TCI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M6+DAI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M7T+D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M4DAI×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+2.652***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+2.165**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+2.322***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+1.952**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+2.768***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+2.409**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(0.691)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-1.705†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-2.959**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-2.543*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(0.931)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(1.045)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+0.168***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+0.153***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+0.153***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 (z)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+0.104**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-1.144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-1.167†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(0.702)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(0.686)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+3.098**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+3.119**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(1.088)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(1.124)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size (ln)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-0.135***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-0.179***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+0.016***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Foreign-owned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+0.307***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+0.294**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+0.284**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Sector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+10.958***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+11.157***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+11.345***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+11.199***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+11.361***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+11.190***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+11.353***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</w:tbl>
    <w:p>
      <w:pPr>
        <w:pStyle w:val="BodyText"/>
      </w:pPr>
      <w:r>
        <w:t xml:space="preserve">Notes: The dependent variable is log labour productivity. HC1 robust</w:t>
      </w:r>
      <w:r>
        <w:t xml:space="preserve"> </w:t>
      </w:r>
      <w:r>
        <w:t xml:space="preserve">standard errors are reported in parentheses. FSTS is mean-centered</w:t>
      </w:r>
      <w:r>
        <w:t xml:space="preserve"> </w:t>
      </w:r>
      <w:r>
        <w:t xml:space="preserve">before squaring. All models include firm size, firm age, foreign</w:t>
      </w:r>
      <w:r>
        <w:t xml:space="preserve"> </w:t>
      </w:r>
      <w:r>
        <w:t xml:space="preserve">ownership, and broad sector fixed effects. Models containing DAI use N =</w:t>
      </w:r>
      <w:r>
        <w:t xml:space="preserve"> </w:t>
      </w:r>
      <w:r>
        <w:t xml:space="preserve">617 because six firms have missing values on DAI-related variables.</w:t>
      </w:r>
      <w:r>
        <w:t xml:space="preserve"> </w:t>
      </w:r>
      <w:r>
        <w:t xml:space="preserve">Table 2 reports the main hierarchical regression results. The baseline</w:t>
      </w:r>
      <w:r>
        <w:t xml:space="preserve"> </w:t>
      </w:r>
      <w:r>
        <w:t xml:space="preserve">quadratic specification indicates a strongly positive linear FSTS term</w:t>
      </w:r>
      <w:r>
        <w:t xml:space="preserve"> </w:t>
      </w:r>
      <w:r>
        <w:t xml:space="preserve">and a marginally negative squared term, suggesting that the</w:t>
      </w:r>
      <w:r>
        <w:t xml:space="preserve"> </w:t>
      </w:r>
      <w:r>
        <w:t xml:space="preserve">internationalization–performance relationship is better read as</w:t>
      </w:r>
      <w:r>
        <w:t xml:space="preserve"> </w:t>
      </w:r>
      <w:r>
        <w:t xml:space="preserve">predominantly monotonic positive with mild quadratic curvature rather</w:t>
      </w:r>
      <w:r>
        <w:t xml:space="preserve"> </w:t>
      </w:r>
      <w:r>
        <w:t xml:space="preserve">than as a formally established inverted-U. The direct-effect models</w:t>
      </w:r>
      <w:r>
        <w:t xml:space="preserve"> </w:t>
      </w:r>
      <w:r>
        <w:t xml:space="preserve">further indicate that TCI is positively associated with labour</w:t>
      </w:r>
      <w:r>
        <w:t xml:space="preserve"> </w:t>
      </w:r>
      <w:r>
        <w:t xml:space="preserve">productivity and that its role is substantively stronger and more stable</w:t>
      </w:r>
      <w:r>
        <w:t xml:space="preserve"> </w:t>
      </w:r>
      <w:r>
        <w:t xml:space="preserve">than that of DAI as a universal average effect. Once DAI is introduced</w:t>
      </w:r>
      <w:r>
        <w:t xml:space="preserve"> </w:t>
      </w:r>
      <w:r>
        <w:t xml:space="preserve">jointly with TCI, its direct coefficient attenuates, which suggests that</w:t>
      </w:r>
      <w:r>
        <w:t xml:space="preserve"> </w:t>
      </w:r>
      <w:r>
        <w:t xml:space="preserve">part of the average DAI–productivity association overlaps with broader</w:t>
      </w:r>
      <w:r>
        <w:t xml:space="preserve"> </w:t>
      </w:r>
      <w:r>
        <w:t xml:space="preserve">productivity-relevant firm heterogeneity already captured by TCI. The</w:t>
      </w:r>
      <w:r>
        <w:t xml:space="preserve"> </w:t>
      </w:r>
      <w:r>
        <w:t xml:space="preserve">full model then suggests that the most consequential DAI result is not a</w:t>
      </w:r>
      <w:r>
        <w:t xml:space="preserve"> </w:t>
      </w:r>
      <w:r>
        <w:t xml:space="preserve">large unconditional premium, but a positive quadratic moderation pattern</w:t>
      </w:r>
      <w:r>
        <w:t xml:space="preserve"> </w:t>
      </w:r>
      <w:r>
        <w:t xml:space="preserve">indicating that the relevance of digital adoption becomes more positive</w:t>
      </w:r>
      <w:r>
        <w:t xml:space="preserve"> </w:t>
      </w:r>
      <w:r>
        <w:t xml:space="preserve">as export intensity rises. The strongest evidence for DAI appears in the</w:t>
      </w:r>
      <w:r>
        <w:t xml:space="preserve"> </w:t>
      </w:r>
      <w:r>
        <w:t xml:space="preserve">moderation specifications. In the full model (Model M8), the direct DAI</w:t>
      </w:r>
      <w:r>
        <w:t xml:space="preserve"> </w:t>
      </w:r>
      <w:r>
        <w:t xml:space="preserve">term is small and not statistically significant (β = 0.019, p = .705),</w:t>
      </w:r>
      <w:r>
        <w:t xml:space="preserve"> </w:t>
      </w:r>
      <w:r>
        <w:t xml:space="preserve">the linear interaction with FSTS is negative but does not reach</w:t>
      </w:r>
      <w:r>
        <w:t xml:space="preserve"> </w:t>
      </w:r>
      <w:r>
        <w:t xml:space="preserve">conventional significance (β = −1.177, p = .083), and the quadratic</w:t>
      </w:r>
      <w:r>
        <w:t xml:space="preserve"> </w:t>
      </w:r>
      <w:r>
        <w:t xml:space="preserve">interaction term is positive and statistically significant (β = 3.119,</w:t>
      </w:r>
      <w:r>
        <w:t xml:space="preserve"> </w:t>
      </w:r>
      <w:r>
        <w:t xml:space="preserve">SE = 1.124, p = .005). Model M8 also produces the highest explanatory</w:t>
      </w:r>
      <w:r>
        <w:t xml:space="preserve"> </w:t>
      </w:r>
      <w:r>
        <w:t xml:space="preserve">power among the main specifications, with R² = 0.211 and adjusted R² =</w:t>
      </w:r>
      <w:r>
        <w:t xml:space="preserve"> </w:t>
      </w:r>
      <w:r>
        <w:t xml:space="preserve">0.196. Read substantively, these estimates indicate that the</w:t>
      </w:r>
      <w:r>
        <w:t xml:space="preserve"> </w:t>
      </w:r>
      <w:r>
        <w:t xml:space="preserve">productivity relevance of digital adoption becomes more positive at</w:t>
      </w:r>
      <w:r>
        <w:t xml:space="preserve"> </w:t>
      </w:r>
      <w:r>
        <w:t xml:space="preserve">higher levels of export intensity, with the clearest signal concentrated</w:t>
      </w:r>
      <w:r>
        <w:t xml:space="preserve"> </w:t>
      </w:r>
      <w:r>
        <w:t xml:space="preserve">in the high-export tail rather than distributed uniformly across the</w:t>
      </w:r>
      <w:r>
        <w:t xml:space="preserve"> </w:t>
      </w:r>
      <w:r>
        <w:t xml:space="preserve">sample. One clarification is important for interpretation. Because FSTS</w:t>
      </w:r>
      <w:r>
        <w:t xml:space="preserve"> </w:t>
      </w:r>
      <w:r>
        <w:t xml:space="preserve">is mean-centered before squaring and the interaction terms are</w:t>
      </w:r>
      <w:r>
        <w:t xml:space="preserve"> </w:t>
      </w:r>
      <w:r>
        <w:t xml:space="preserve">constructed from the centered measure, the coefficient on DAI in Model</w:t>
      </w:r>
      <w:r>
        <w:t xml:space="preserve"> </w:t>
      </w:r>
      <w:r>
        <w:t xml:space="preserve">M8 is not numerically equivalent to the marginal effect of DAI at FSTS =</w:t>
      </w:r>
      <w:r>
        <w:t xml:space="preserve"> </w:t>
      </w:r>
      <w:r>
        <w:t xml:space="preserve">0 on the original scale. For that reason, the near-zero direct DAI</w:t>
      </w:r>
      <w:r>
        <w:t xml:space="preserve"> </w:t>
      </w:r>
      <w:r>
        <w:t xml:space="preserve">coefficient in M8 should not be read as contradicting the small positive</w:t>
      </w:r>
      <w:r>
        <w:t xml:space="preserve"> </w:t>
      </w:r>
      <w:r>
        <w:t xml:space="preserve">marginal effect reported for domestic firms in Table 4. The more</w:t>
      </w:r>
      <w:r>
        <w:t xml:space="preserve"> </w:t>
      </w:r>
      <w:r>
        <w:t xml:space="preserve">relevant substantive pattern is that the DAI association is weak across</w:t>
      </w:r>
      <w:r>
        <w:t xml:space="preserve"> </w:t>
      </w:r>
      <w:r>
        <w:t xml:space="preserve">much of the distribution and becomes more positive only in the</w:t>
      </w:r>
      <w:r>
        <w:t xml:space="preserve"> </w:t>
      </w:r>
      <w:r>
        <w:t xml:space="preserve">high-export tail, where cross-border coordination demands are denser but</w:t>
      </w:r>
      <w:r>
        <w:t xml:space="preserve"> </w:t>
      </w:r>
      <w:r>
        <w:t xml:space="preserve">empirical support is also thinner. Table 4. Marginal effects of DAI</w:t>
      </w:r>
      <w:r>
        <w:t xml:space="preserve"> </w:t>
      </w:r>
      <w:r>
        <w:t xml:space="preserve">across selected FSTS levels (from Model M8).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FSTS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effect of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0% (domestic)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.045*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[+0.002, +0.158]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[-0.077, +0.106]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[-0.170, +0.101]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[-0.250, +0.113]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[-0.309, +0.135]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[-0.361, +0.208]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[-0.234, +0.496]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.025*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[+0.082, +1.238]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FSTS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.002**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[+0.658, +2.978]</w:t>
            </w:r>
          </w:p>
        </w:tc>
      </w:tr>
    </w:tbl>
    <w:p>
      <w:pPr>
        <w:pStyle w:val="BodyText"/>
      </w:pPr>
      <w:r>
        <w:t xml:space="preserve">Notes: Marginal effects are computed from Model M8 for a</w:t>
      </w:r>
      <w:r>
        <w:t xml:space="preserve"> </w:t>
      </w:r>
      <w:r>
        <w:t xml:space="preserve">one-standard-deviation increase in DAI. Standard errors are derived</w:t>
      </w:r>
      <w:r>
        <w:t xml:space="preserve"> </w:t>
      </w:r>
      <w:r>
        <w:t xml:space="preserve">using the delta method. The estimates indicate that the productivity</w:t>
      </w:r>
      <w:r>
        <w:t xml:space="preserve"> </w:t>
      </w:r>
      <w:r>
        <w:t xml:space="preserve">association of DAI is statistically weak across much of the observed</w:t>
      </w:r>
      <w:r>
        <w:t xml:space="preserve"> </w:t>
      </w:r>
      <w:r>
        <w:t xml:space="preserve">export range but becomes positive and significant among high-intensity</w:t>
      </w:r>
      <w:r>
        <w:t xml:space="preserve"> </w:t>
      </w:r>
      <w:r>
        <w:t xml:space="preserve">exporters. Table 4 and Figure 2 translate the interaction estimates from</w:t>
      </w:r>
      <w:r>
        <w:t xml:space="preserve"> </w:t>
      </w:r>
      <w:r>
        <w:t xml:space="preserve">Model M8 into substantively interpretable marginal effects across the</w:t>
      </w:r>
      <w:r>
        <w:t xml:space="preserve"> </w:t>
      </w:r>
      <w:r>
        <w:t xml:space="preserve">export-intensity distribution. At FSTS = 0, the marginal effect of DAI</w:t>
      </w:r>
      <w:r>
        <w:t xml:space="preserve"> </w:t>
      </w:r>
      <w:r>
        <w:t xml:space="preserve">is small but positive and statistically significant (+0.080, p = .045),</w:t>
      </w:r>
      <w:r>
        <w:t xml:space="preserve"> </w:t>
      </w:r>
      <w:r>
        <w:t xml:space="preserve">indicating only a modest baseline association among purely domestic</w:t>
      </w:r>
      <w:r>
        <w:t xml:space="preserve"> </w:t>
      </w:r>
      <w:r>
        <w:t xml:space="preserve">firms. Across the low-export and middle export range, however, the</w:t>
      </w:r>
      <w:r>
        <w:t xml:space="preserve"> </w:t>
      </w:r>
      <w:r>
        <w:t xml:space="preserve">marginal effect is statistically indistinguishable from zero, which</w:t>
      </w:r>
      <w:r>
        <w:t xml:space="preserve"> </w:t>
      </w:r>
      <w:r>
        <w:t xml:space="preserve">indicates that basic digital adoption does not generate a large</w:t>
      </w:r>
      <w:r>
        <w:t xml:space="preserve"> </w:t>
      </w:r>
      <w:r>
        <w:t xml:space="preserve">universal labour-productivity premium across the full sample. By</w:t>
      </w:r>
      <w:r>
        <w:t xml:space="preserve"> </w:t>
      </w:r>
      <w:r>
        <w:t xml:space="preserve">contrast, the marginal effect becomes positive and statistically</w:t>
      </w:r>
      <w:r>
        <w:t xml:space="preserve"> </w:t>
      </w:r>
      <w:r>
        <w:t xml:space="preserve">significant among high-intensity exporters, reaching +0.660 at FSTS =</w:t>
      </w:r>
      <w:r>
        <w:t xml:space="preserve"> </w:t>
      </w:r>
      <w:r>
        <w:t xml:space="preserve">70% and +1.818 at FSTS = 100% (Table 4). This pattern supports the</w:t>
      </w:r>
      <w:r>
        <w:t xml:space="preserve"> </w:t>
      </w:r>
      <w:r>
        <w:t xml:space="preserve">interpretation of DAI as a scale-enabling complement whose productivity</w:t>
      </w:r>
      <w:r>
        <w:t xml:space="preserve"> </w:t>
      </w:r>
      <w:r>
        <w:t xml:space="preserve">relevance emerges more clearly when firms face denser cross-border</w:t>
      </w:r>
      <w:r>
        <w:t xml:space="preserve"> </w:t>
      </w:r>
      <w:r>
        <w:t xml:space="preserve">coordination and transaction demands. In this setting, foundational</w:t>
      </w:r>
      <w:r>
        <w:t xml:space="preserve"> </w:t>
      </w:r>
      <w:r>
        <w:t xml:space="preserve">digital adoption is better interpreted as a conditional scaling resource</w:t>
      </w:r>
      <w:r>
        <w:t xml:space="preserve"> </w:t>
      </w:r>
      <w:r>
        <w:t xml:space="preserve">whose productivity relevance becomes more visible at higher export</w:t>
      </w:r>
      <w:r>
        <w:t xml:space="preserve"> </w:t>
      </w:r>
      <w:r>
        <w:t xml:space="preserve">intensity, while remaining weak or statistically indistinct across much</w:t>
      </w:r>
      <w:r>
        <w:t xml:space="preserve"> </w:t>
      </w:r>
      <w:r>
        <w:t xml:space="preserve">of the distribution. Figure 2: Marginal effects of DAI on log labour</w:t>
      </w:r>
      <w:r>
        <w:t xml:space="preserve"> </w:t>
      </w:r>
      <w:r>
        <w:t xml:space="preserve">productivity at varying FSTS levels (Singapore, N=617)</w:t>
      </w:r>
    </w:p>
    <w:p>
      <w:pPr>
        <w:pStyle w:val="BodyText"/>
      </w:pPr>
      <w:r>
        <w:rPr>
          <w:iCs/>
          <w:i/>
        </w:rPr>
        <w:t xml:space="preserve">Figure 2.</w:t>
      </w:r>
      <w:r>
        <w:t xml:space="preserve"> </w:t>
      </w:r>
      <w:r>
        <w:t xml:space="preserve">Marginal effect of digital adoption (DAI) across export</w:t>
      </w:r>
      <w:r>
        <w:t xml:space="preserve"> </w:t>
      </w:r>
      <w:r>
        <w:t xml:space="preserve">intensity, canonical M8 (N = 617). Solid line = marginal effect of a</w:t>
      </w:r>
      <w:r>
        <w:t xml:space="preserve"> </w:t>
      </w:r>
      <w:r>
        <w:t xml:space="preserve">one-standard-deviation increase in DAI on ln(labour productivity);</w:t>
      </w:r>
      <w:r>
        <w:t xml:space="preserve"> </w:t>
      </w:r>
      <w:r>
        <w:t xml:space="preserve">shaded band = 95% CI computed via the delta method. The lower panels</w:t>
      </w:r>
      <w:r>
        <w:t xml:space="preserve"> </w:t>
      </w:r>
      <w:r>
        <w:t xml:space="preserve">show every observation as a rug strip and the count of firms in each</w:t>
      </w:r>
      <w:r>
        <w:t xml:space="preserve"> </w:t>
      </w:r>
      <w:r>
        <w:t xml:space="preserve">10-percentage-point FSTS bin. The shaded grey region marks the</w:t>
      </w:r>
      <w:r>
        <w:t xml:space="preserve"> </w:t>
      </w:r>
      <w:r>
        <w:t xml:space="preserve">thin-support area (FSTS &gt; 70%, ~3.2% of firms): coefficient estimates</w:t>
      </w:r>
      <w:r>
        <w:t xml:space="preserve"> </w:t>
      </w:r>
      <w:r>
        <w:t xml:space="preserve">in this region are consistent with a more positive DAI–productivity</w:t>
      </w:r>
      <w:r>
        <w:t xml:space="preserve"> </w:t>
      </w:r>
      <w:r>
        <w:t xml:space="preserve">association at high export intensity but rest on sparse data. Figure 3:</w:t>
      </w:r>
      <w:r>
        <w:t xml:space="preserve"> </w:t>
      </w:r>
      <w:r>
        <w:t xml:space="preserve">Predicted I–P curve with bootstrap confidence band (Singapore, OLS M2)</w:t>
      </w:r>
    </w:p>
    <w:p>
      <w:pPr>
        <w:pStyle w:val="BodyText"/>
      </w:pPr>
      <w:r>
        <w:rPr>
          <w:iCs/>
          <w:i/>
        </w:rPr>
        <w:t xml:space="preserve">Figure 3.</w:t>
      </w:r>
      <w:r>
        <w:t xml:space="preserve"> </w:t>
      </w:r>
      <w:r>
        <w:t xml:space="preserve">Predicted internationalization–performance curve. Predicted</w:t>
      </w:r>
      <w:r>
        <w:t xml:space="preserve"> </w:t>
      </w:r>
      <w:r>
        <w:t xml:space="preserve">relationship between export intensity and labour productivity with 95%</w:t>
      </w:r>
      <w:r>
        <w:t xml:space="preserve"> </w:t>
      </w:r>
      <w:r>
        <w:t xml:space="preserve">confidence bands from the canonical quadratic specification (M2). The</w:t>
      </w:r>
      <w:r>
        <w:t xml:space="preserve"> </w:t>
      </w:r>
      <w:r>
        <w:t xml:space="preserve">implied turning point occurs near FSTS = 88.6% on the original scale</w:t>
      </w:r>
      <w:r>
        <w:t xml:space="preserve"> </w:t>
      </w:r>
      <w:r>
        <w:t xml:space="preserve">(−β₁/2β₂ on mean-centered FSTS ≈ 84.1%; adding back the sample mean of</w:t>
      </w:r>
      <w:r>
        <w:t xml:space="preserve"> </w:t>
      </w:r>
      <w:r>
        <w:t xml:space="preserve">0.045 gives ≈ 88.6%, Aiken &amp; West, 1991), but its 95% percentile</w:t>
      </w:r>
      <w:r>
        <w:t xml:space="preserve"> </w:t>
      </w:r>
      <w:r>
        <w:t xml:space="preserve">cluster-bootstrap confidence interval (5,000 replications) spans [53%,</w:t>
      </w:r>
      <w:r>
        <w:t xml:space="preserve"> </w:t>
      </w:r>
      <w:r>
        <w:t xml:space="preserve">253%] (median 80%, IQR [68%, 102%]); the inverted-U shape is</w:t>
      </w:r>
      <w:r>
        <w:t xml:space="preserve"> </w:t>
      </w:r>
      <w:r>
        <w:t xml:space="preserve">recovered in 96.3% of bootstrap replications, but its precise location</w:t>
      </w:r>
      <w:r>
        <w:t xml:space="preserve"> </w:t>
      </w:r>
      <w:r>
        <w:t xml:space="preserve">is only loosely identified. The shaded red vertical band marks the</w:t>
      </w:r>
      <w:r>
        <w:t xml:space="preserve"> </w:t>
      </w:r>
      <w:r>
        <w:t xml:space="preserve">bootstrap CI for the turning point. The estimate should therefore be</w:t>
      </w:r>
      <w:r>
        <w:t xml:space="preserve"> </w:t>
      </w:r>
      <w:r>
        <w:t xml:space="preserve">interpreted as descriptive of the data rather than as structurally</w:t>
      </w:r>
      <w:r>
        <w:t xml:space="preserve"> </w:t>
      </w:r>
      <w:r>
        <w:t xml:space="preserve">identified evidence of an inverted-U.</w:t>
      </w:r>
    </w:p>
    <w:bookmarkEnd w:id="47"/>
    <w:bookmarkStart w:id="48" w:name="Xc8e997e14555d7ba8da5c1d596c5311617447cd"/>
    <w:p>
      <w:pPr>
        <w:pStyle w:val="Heading3"/>
      </w:pPr>
      <w:r>
        <w:t xml:space="preserve">4.5 Robustness checks</w:t>
      </w:r>
    </w:p>
    <w:p>
      <w:pPr>
        <w:pStyle w:val="FirstParagraph"/>
      </w:pPr>
      <w:r>
        <w:t xml:space="preserve">The robustness analysis suggests that the core inference about DAI</w:t>
      </w:r>
      <w:r>
        <w:t xml:space="preserve"> </w:t>
      </w:r>
      <w:r>
        <w:t xml:space="preserve">moderation is broadly stable, although its statistical strength varies</w:t>
      </w:r>
      <w:r>
        <w:t xml:space="preserve"> </w:t>
      </w:r>
      <w:r>
        <w:t xml:space="preserve">across measurement choices and sample restrictions. In the baseline full</w:t>
      </w:r>
      <w:r>
        <w:t xml:space="preserve"> </w:t>
      </w:r>
      <w:r>
        <w:t xml:space="preserve">specification, the positive quadratic DAI interaction is statistically</w:t>
      </w:r>
      <w:r>
        <w:t xml:space="preserve"> </w:t>
      </w:r>
      <w:r>
        <w:t xml:space="preserve">significant, and the same positive sign is preserved across all reported</w:t>
      </w:r>
      <w:r>
        <w:t xml:space="preserve"> </w:t>
      </w:r>
      <w:r>
        <w:t xml:space="preserve">robustness models. This sign stability matters because it indicates that</w:t>
      </w:r>
      <w:r>
        <w:t xml:space="preserve"> </w:t>
      </w:r>
      <w:r>
        <w:t xml:space="preserve">the central argument is not driven by a single operational definition.</w:t>
      </w:r>
      <w:r>
        <w:t xml:space="preserve"> </w:t>
      </w:r>
      <w:r>
        <w:t xml:space="preserve">The R1 robustness specification restricts DAI to the single</w:t>
      </w:r>
      <w:r>
        <w:t xml:space="preserve"> </w:t>
      </w:r>
      <w:r>
        <w:t xml:space="preserve">website-presence indicator (c22b only) to verify that the moderation</w:t>
      </w:r>
      <w:r>
        <w:t xml:space="preserve"> </w:t>
      </w:r>
      <w:r>
        <w:t xml:space="preserve">signal is not driven by the electronic-payment indicators rather than</w:t>
      </w:r>
      <w:r>
        <w:t xml:space="preserve"> </w:t>
      </w:r>
      <w:r>
        <w:t xml:space="preserve">the cross-border coordination logic invoked in the theory. When DAI is</w:t>
      </w:r>
      <w:r>
        <w:t xml:space="preserve"> </w:t>
      </w:r>
      <w:r>
        <w:t xml:space="preserve">reduced to this thinner, website-only measure, the moderation result</w:t>
      </w:r>
      <w:r>
        <w:t xml:space="preserve"> </w:t>
      </w:r>
      <w:r>
        <w:t xml:space="preserve">weakens, suggesting that the richer baseline index draws meaningful</w:t>
      </w:r>
      <w:r>
        <w:t xml:space="preserve"> </w:t>
      </w:r>
      <w:r>
        <w:t xml:space="preserve">explanatory variation from the electronic-payment indicators as well as</w:t>
      </w:r>
      <w:r>
        <w:t xml:space="preserve"> </w:t>
      </w:r>
      <w:r>
        <w:t xml:space="preserve">from digital presence. By contrast, when the sample excludes micro-firms</w:t>
      </w:r>
      <w:r>
        <w:t xml:space="preserve"> </w:t>
      </w:r>
      <w:r>
        <w:t xml:space="preserve">or is restricted to SMEs, the positive quadratic moderation pattern</w:t>
      </w:r>
      <w:r>
        <w:t xml:space="preserve"> </w:t>
      </w:r>
      <w:r>
        <w:t xml:space="preserve">remains visible and in some cases becomes stronger. The exporters-only</w:t>
      </w:r>
      <w:r>
        <w:t xml:space="preserve"> </w:t>
      </w:r>
      <w:r>
        <w:t xml:space="preserve">subsample is less stable because the number of exporting firms is small</w:t>
      </w:r>
      <w:r>
        <w:t xml:space="preserve"> </w:t>
      </w:r>
      <w:r>
        <w:t xml:space="preserve">and the right tail remains thin, so those estimates should be described</w:t>
      </w:r>
      <w:r>
        <w:t xml:space="preserve"> </w:t>
      </w:r>
      <w:r>
        <w:t xml:space="preserve">as suggestive rather than definitive. An item-swap falsification test</w:t>
      </w:r>
      <w:r>
        <w:t xml:space="preserve"> </w:t>
      </w:r>
      <w:r>
        <w:t xml:space="preserve">further supports the construct boundary between TCI and DAI: when the</w:t>
      </w:r>
      <w:r>
        <w:t xml:space="preserve"> </w:t>
      </w:r>
      <w:r>
        <w:t xml:space="preserve">website indicator (c22b) is reassigned from DAI to TCI, the joint</w:t>
      </w:r>
      <w:r>
        <w:t xml:space="preserve"> </w:t>
      </w:r>
      <w:r>
        <w:t xml:space="preserve">significance of the DAI moderation block collapses (joint F drops from</w:t>
      </w:r>
      <w:r>
        <w:t xml:space="preserve"> </w:t>
      </w:r>
      <w:r>
        <w:t xml:space="preserve">4.56 [p = .011] in the canonical specification to 1.88 [p = .154]),</w:t>
      </w:r>
      <w:r>
        <w:t xml:space="preserve"> </w:t>
      </w:r>
      <w:r>
        <w:t xml:space="preserve">whereas swapping technology indicators in the opposite direction</w:t>
      </w:r>
      <w:r>
        <w:t xml:space="preserve"> </w:t>
      </w:r>
      <w:r>
        <w:t xml:space="preserve">preserves the moderation pattern. The conditional-scaling interpretation</w:t>
      </w:r>
      <w:r>
        <w:t xml:space="preserve"> </w:t>
      </w:r>
      <w:r>
        <w:t xml:space="preserve">therefore depends on the foundational digital-infrastructure indicators</w:t>
      </w:r>
      <w:r>
        <w:t xml:space="preserve"> </w:t>
      </w:r>
      <w:r>
        <w:t xml:space="preserve">(website plus electronic payments) being correctly grouped under DAI</w:t>
      </w:r>
      <w:r>
        <w:t xml:space="preserve"> </w:t>
      </w:r>
      <w:r>
        <w:t xml:space="preserve">rather than absorbed into a broader capability construct. Cohen's f² for</w:t>
      </w:r>
      <w:r>
        <w:t xml:space="preserve"> </w:t>
      </w:r>
      <w:r>
        <w:t xml:space="preserve">the TCI direct effect (comparing M2 with M5) is approximately 0.036, in</w:t>
      </w:r>
      <w:r>
        <w:t xml:space="preserve"> </w:t>
      </w:r>
      <w:r>
        <w:t xml:space="preserve">the small-to-medium range; Cohen's f² for the DAI moderation block</w:t>
      </w:r>
      <w:r>
        <w:t xml:space="preserve"> </w:t>
      </w:r>
      <w:r>
        <w:t xml:space="preserve">(comparing M7 with M8) is approximately 0.018, below Cohen's (1988)</w:t>
      </w:r>
      <w:r>
        <w:t xml:space="preserve"> </w:t>
      </w:r>
      <w:r>
        <w:t xml:space="preserve">conventional small-effect threshold of 0.02. The exporters-only</w:t>
      </w:r>
      <w:r>
        <w:t xml:space="preserve"> </w:t>
      </w:r>
      <w:r>
        <w:t xml:space="preserve">subsample (N = 84) is underpowered for effects of this magnitude; the</w:t>
      </w:r>
      <w:r>
        <w:t xml:space="preserve"> </w:t>
      </w:r>
      <w:r>
        <w:t xml:space="preserve">consolidated power-bounded inferential reading is established at</w:t>
      </w:r>
      <w:r>
        <w:t xml:space="preserve"> </w:t>
      </w:r>
      <w:r>
        <w:t xml:space="preserve">§3.4(ii) and is not repeated here. Taken together, the strongest</w:t>
      </w:r>
      <w:r>
        <w:t xml:space="preserve"> </w:t>
      </w:r>
      <w:r>
        <w:t xml:space="preserve">empirical claim of Section 4 is therefore not that digital adoption</w:t>
      </w:r>
      <w:r>
        <w:t xml:space="preserve"> </w:t>
      </w:r>
      <w:r>
        <w:t xml:space="preserve">yields a large average productivity premium, but that its association</w:t>
      </w:r>
      <w:r>
        <w:t xml:space="preserve"> </w:t>
      </w:r>
      <w:r>
        <w:t xml:space="preserve">with productivity becomes more positive as export intensity rises within</w:t>
      </w:r>
      <w:r>
        <w:t xml:space="preserve"> </w:t>
      </w:r>
      <w:r>
        <w:t xml:space="preserve">the Singapore sample, with the clearest signal concentrated in the</w:t>
      </w:r>
      <w:r>
        <w:t xml:space="preserve"> </w:t>
      </w:r>
      <w:r>
        <w:t xml:space="preserve">high-export tail.</w:t>
      </w:r>
    </w:p>
    <w:p>
      <w:pPr>
        <w:pStyle w:val="BodyText"/>
      </w:pPr>
      <w:r>
        <w:rPr>
          <w:bCs/>
          <w:b/>
        </w:rPr>
        <w:t xml:space="preserve">Additional robustness notes.</w:t>
      </w:r>
      <w:r>
        <w:t xml:space="preserve"> </w:t>
      </w:r>
      <w:r>
        <w:t xml:space="preserve">(i)</w:t>
      </w:r>
      <w:r>
        <w:t xml:space="preserve"> </w:t>
      </w:r>
      <w:r>
        <w:rPr>
          <w:iCs/>
          <w:i/>
        </w:rPr>
        <w:t xml:space="preserve">Exporters-only subsample</w:t>
      </w:r>
      <w:r>
        <w:t xml:space="preserve"> </w:t>
      </w:r>
      <w:r>
        <w:t xml:space="preserve">(R5,</w:t>
      </w:r>
      <w:r>
        <w:t xml:space="preserve"> </w:t>
      </w:r>
      <w:r>
        <w:t xml:space="preserve">FSTS &gt; 0; N = 84): the positive quadratic DAI interaction retains its</w:t>
      </w:r>
      <w:r>
        <w:t xml:space="preserve"> </w:t>
      </w:r>
      <w:r>
        <w:t xml:space="preserve">sign (β=+2.821) and the joint F-test is statistically significant (F =</w:t>
      </w:r>
      <w:r>
        <w:t xml:space="preserve"> </w:t>
      </w:r>
      <w:r>
        <w:t xml:space="preserve">6.32, p = .003), corroborating the amplification mechanism documented in</w:t>
      </w:r>
      <w:r>
        <w:t xml:space="preserve"> </w:t>
      </w:r>
      <w:r>
        <w:t xml:space="preserve">the full sample; the power-bounded inferential reading of this</w:t>
      </w:r>
      <w:r>
        <w:t xml:space="preserve"> </w:t>
      </w:r>
      <w:r>
        <w:t xml:space="preserve">exporters-only result is established at §3.4(ii) and is not repeated</w:t>
      </w:r>
      <w:r>
        <w:t xml:space="preserve"> </w:t>
      </w:r>
      <w:r>
        <w:t xml:space="preserve">here. (ii)</w:t>
      </w:r>
      <w:r>
        <w:t xml:space="preserve"> </w:t>
      </w:r>
      <w:r>
        <w:rPr>
          <w:iCs/>
          <w:i/>
        </w:rPr>
        <w:t xml:space="preserve">Export participation selection</w:t>
      </w:r>
      <w:r>
        <w:t xml:space="preserve">: the inverse-Mills-ratio</w:t>
      </w:r>
      <w:r>
        <w:t xml:space="preserve"> </w:t>
      </w:r>
      <w:r>
        <w:t xml:space="preserve">sensitivity diagnostic for selection at the extensive margin of</w:t>
      </w:r>
      <w:r>
        <w:t xml:space="preserve"> </w:t>
      </w:r>
      <w:r>
        <w:t xml:space="preserve">exporting is reported at §3.4(iv); the diagnostic is consistent with</w:t>
      </w:r>
      <w:r>
        <w:t xml:space="preserve"> </w:t>
      </w:r>
      <w:r>
        <w:t xml:space="preserve">robustness of the H3 amplification mechanism to mild Heckman-style</w:t>
      </w:r>
      <w:r>
        <w:t xml:space="preserve"> </w:t>
      </w:r>
      <w:r>
        <w:t xml:space="preserve">selection adjustment, with the key DAI × FSTS² interaction altered by</w:t>
      </w:r>
      <w:r>
        <w:t xml:space="preserve"> </w:t>
      </w:r>
      <w:r>
        <w:t xml:space="preserve">|Δ| &lt; 0.02. (iii)</w:t>
      </w:r>
      <w:r>
        <w:t xml:space="preserve"> </w:t>
      </w:r>
      <w:r>
        <w:rPr>
          <w:iCs/>
          <w:i/>
        </w:rPr>
        <w:t xml:space="preserve">Tobit alternative</w:t>
      </w:r>
      <w:r>
        <w:t xml:space="preserve">: because FSTS is bounded on</w:t>
      </w:r>
      <w:r>
        <w:t xml:space="preserve"> </w:t>
      </w:r>
      <w:r>
        <w:t xml:space="preserve">[0, 1], a Tobit specification (censored at 0) was estimated as a</w:t>
      </w:r>
      <w:r>
        <w:t xml:space="preserve"> </w:t>
      </w:r>
      <w:r>
        <w:t xml:space="preserve">robustness check; the positive quadratic DAI interaction retains its</w:t>
      </w:r>
      <w:r>
        <w:t xml:space="preserve"> </w:t>
      </w:r>
      <w:r>
        <w:t xml:space="preserve">sign and direction, consistent with the OLS results reported in Table 3.</w:t>
      </w:r>
      <w:r>
        <w:t xml:space="preserve"> </w:t>
      </w:r>
      <w:r>
        <w:t xml:space="preserve">Table 3. Robustness checks for primary findings (six specifications).</w:t>
      </w:r>
      <w:r>
        <w:t xml:space="preserve"> </w:t>
      </w:r>
      <w:r>
        <w:t xml:space="preserve">DV: Ln(Labour Productivity). HC1 robust standard errors. Each row</w:t>
      </w:r>
      <w:r>
        <w:t xml:space="preserve"> </w:t>
      </w:r>
      <w:r>
        <w:t xml:space="preserve">reports a separate full-specification regression with controls.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TCI β_z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FSTS² × 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F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Adj. 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(TCI_full + DAI_rich)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3.119**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4.56 (.011)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R1: DAI_thin (website c22b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4.01 (.019)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R2: TCI_thin (e6 + b8)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2.930**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4.27 (.014)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R3: Excl micro-firms (&lt;10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3.521**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4.61 (.010)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R4: SMEs only (≤200 empl)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0.156***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 (.005)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R5: Exporters only (FSTS &gt;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6.32 (.003)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0.165</w:t>
            </w:r>
          </w:p>
        </w:tc>
      </w:tr>
    </w:tbl>
    <w:p>
      <w:pPr>
        <w:pStyle w:val="BodyText"/>
      </w:pPr>
      <w:r>
        <w:t xml:space="preserve">Notes: Each row reports a separate full-specification regression with</w:t>
      </w:r>
      <w:r>
        <w:t xml:space="preserve"> </w:t>
      </w:r>
      <w:r>
        <w:t xml:space="preserve">controls. Joint F refers to the test that the two DAI interaction terms</w:t>
      </w:r>
      <w:r>
        <w:t xml:space="preserve"> </w:t>
      </w:r>
      <w:r>
        <w:t xml:space="preserve">are jointly equal to zero. The positive sign of the quadratic DAI</w:t>
      </w:r>
      <w:r>
        <w:t xml:space="preserve"> </w:t>
      </w:r>
      <w:r>
        <w:t xml:space="preserve">moderation term is preserved across all specifications, although</w:t>
      </w:r>
      <w:r>
        <w:t xml:space="preserve"> </w:t>
      </w:r>
      <w:r>
        <w:t xml:space="preserve">statistical strength attenuates in more restrictive subsamples. DAI</w:t>
      </w:r>
      <w:r>
        <w:t xml:space="preserve"> </w:t>
      </w:r>
      <w:r>
        <w:t xml:space="preserve">should be interpreted as a Tier 1–2 digital-adoption construct rather</w:t>
      </w:r>
      <w:r>
        <w:t xml:space="preserve"> </w:t>
      </w:r>
      <w:r>
        <w:t xml:space="preserve">than as a broader measure of digitally integrated organizational</w:t>
      </w:r>
      <w:r>
        <w:t xml:space="preserve"> </w:t>
      </w:r>
      <w:r>
        <w:t xml:space="preserve">capability. Table 3 evaluates whether the core inference is sensitive to</w:t>
      </w:r>
      <w:r>
        <w:t xml:space="preserve"> </w:t>
      </w:r>
      <w:r>
        <w:t xml:space="preserve">measurement choice and sample composition. Across all reported</w:t>
      </w:r>
      <w:r>
        <w:t xml:space="preserve"> </w:t>
      </w:r>
      <w:r>
        <w:t xml:space="preserve">robustness specifications, the quadratic DAI moderation term retains a</w:t>
      </w:r>
      <w:r>
        <w:t xml:space="preserve"> </w:t>
      </w:r>
      <w:r>
        <w:t xml:space="preserve">positive sign, which strengthens confidence that the main result is not</w:t>
      </w:r>
      <w:r>
        <w:t xml:space="preserve"> </w:t>
      </w:r>
      <w:r>
        <w:t xml:space="preserve">driven by a single operational decision. At the same time, the weakening</w:t>
      </w:r>
      <w:r>
        <w:t xml:space="preserve"> </w:t>
      </w:r>
      <w:r>
        <w:t xml:space="preserve">of statistical significance in the thinner website-only specification</w:t>
      </w:r>
      <w:r>
        <w:t xml:space="preserve"> </w:t>
      </w:r>
      <w:r>
        <w:t xml:space="preserve">suggests that the richer DAI baseline draws meaningful explanatory</w:t>
      </w:r>
      <w:r>
        <w:t xml:space="preserve"> </w:t>
      </w:r>
      <w:r>
        <w:t xml:space="preserve">variation from the electronic-payment indicators in addition to simple</w:t>
      </w:r>
      <w:r>
        <w:t xml:space="preserve"> </w:t>
      </w:r>
      <w:r>
        <w:t xml:space="preserve">digital presence. The exporters-only subsample is less stable because</w:t>
      </w:r>
      <w:r>
        <w:t xml:space="preserve"> </w:t>
      </w:r>
      <w:r>
        <w:t xml:space="preserve">the number of exporting firms is limited and the right tail of export</w:t>
      </w:r>
      <w:r>
        <w:t xml:space="preserve"> </w:t>
      </w:r>
      <w:r>
        <w:t xml:space="preserve">intensity remains thin, so these estimates should be interpreted</w:t>
      </w:r>
      <w:r>
        <w:t xml:space="preserve"> </w:t>
      </w:r>
      <w:r>
        <w:t xml:space="preserve">cautiously. Taken together, the robustness results support the argument</w:t>
      </w:r>
      <w:r>
        <w:t xml:space="preserve"> </w:t>
      </w:r>
      <w:r>
        <w:t xml:space="preserve">that foundational digital adoption acts as a contingent scaling</w:t>
      </w:r>
      <w:r>
        <w:t xml:space="preserve"> </w:t>
      </w:r>
      <w:r>
        <w:t xml:space="preserve">complement, while also reinforcing that the evidence is strongest when</w:t>
      </w:r>
      <w:r>
        <w:t xml:space="preserve"> </w:t>
      </w:r>
      <w:r>
        <w:t xml:space="preserve">interpreted within the Tier 1–2 measurement boundary of the DAI</w:t>
      </w:r>
      <w:r>
        <w:t xml:space="preserve"> </w:t>
      </w:r>
      <w:r>
        <w:t xml:space="preserve">construct.</w:t>
      </w:r>
    </w:p>
    <w:bookmarkEnd w:id="48"/>
    <w:bookmarkEnd w:id="49"/>
    <w:bookmarkStart w:id="52" w:name="X735612638e4e736e4693e459c258977262c0dfc"/>
    <w:p>
      <w:pPr>
        <w:pStyle w:val="Heading2"/>
      </w:pPr>
      <w:r>
        <w:t xml:space="preserve">5 Discussion</w:t>
      </w:r>
    </w:p>
    <w:bookmarkStart w:id="50" w:name="X027b31c2d090a00917aa7291770680fd40b64cd"/>
    <w:p>
      <w:pPr>
        <w:pStyle w:val="Heading3"/>
      </w:pPr>
      <w:r>
        <w:t xml:space="preserve">5.1 Theoretical implications</w:t>
      </w:r>
    </w:p>
    <w:p>
      <w:pPr>
        <w:pStyle w:val="FirstParagraph"/>
      </w:pPr>
      <w:r>
        <w:t xml:space="preserve">Three theoretical implications follow from these findings. First, the</w:t>
      </w:r>
      <w:r>
        <w:t xml:space="preserve"> </w:t>
      </w:r>
      <w:r>
        <w:t xml:space="preserve">TCI result supports a capability-depth interpretation of firm</w:t>
      </w:r>
      <w:r>
        <w:t xml:space="preserve"> </w:t>
      </w:r>
      <w:r>
        <w:t xml:space="preserve">performance in internationalizing firms. Technological capability is</w:t>
      </w:r>
      <w:r>
        <w:t xml:space="preserve"> </w:t>
      </w:r>
      <w:r>
        <w:t xml:space="preserve">positively associated with labour productivity in a way that is more</w:t>
      </w:r>
      <w:r>
        <w:t xml:space="preserve"> </w:t>
      </w:r>
      <w:r>
        <w:t xml:space="preserve">stable than any moderation pattern identified in the present design,</w:t>
      </w:r>
      <w:r>
        <w:t xml:space="preserve"> </w:t>
      </w:r>
      <w:r>
        <w:t xml:space="preserve">which is consistent with the view that internal capability depth is</w:t>
      </w:r>
      <w:r>
        <w:t xml:space="preserve"> </w:t>
      </w:r>
      <w:r>
        <w:t xml:space="preserve">associated with a stronger productivity base from which firms engage</w:t>
      </w:r>
      <w:r>
        <w:t xml:space="preserve"> </w:t>
      </w:r>
      <w:r>
        <w:t xml:space="preserve">international markets. This interpretation fits the absorptive-capacity</w:t>
      </w:r>
      <w:r>
        <w:t xml:space="preserve"> </w:t>
      </w:r>
      <w:r>
        <w:t xml:space="preserve">and technological-capability traditions by emphasizing learning,</w:t>
      </w:r>
      <w:r>
        <w:t xml:space="preserve"> </w:t>
      </w:r>
      <w:r>
        <w:t xml:space="preserve">innovation, and technology absorption as firm-internal sources of</w:t>
      </w:r>
      <w:r>
        <w:t xml:space="preserve"> </w:t>
      </w:r>
      <w:r>
        <w:t xml:space="preserve">productivity heterogeneity rather than as clearly identified shifters of</w:t>
      </w:r>
      <w:r>
        <w:t xml:space="preserve"> </w:t>
      </w:r>
      <w:r>
        <w:t xml:space="preserve">I–P curvature. Second, the evidence qualifies rather than overturns the</w:t>
      </w:r>
      <w:r>
        <w:t xml:space="preserve"> </w:t>
      </w:r>
      <w:r>
        <w:t xml:space="preserve">conventional nonlinear I–P literature. In the Singapore sample, the</w:t>
      </w:r>
      <w:r>
        <w:t xml:space="preserve"> </w:t>
      </w:r>
      <w:r>
        <w:t xml:space="preserve">fitted quadratic displays mild curvature, but the right-side decline is</w:t>
      </w:r>
      <w:r>
        <w:t xml:space="preserve"> </w:t>
      </w:r>
      <w:r>
        <w:t xml:space="preserve">not formally identified within the export-intensity range occupied by</w:t>
      </w:r>
      <w:r>
        <w:t xml:space="preserve"> </w:t>
      </w:r>
      <w:r>
        <w:t xml:space="preserve">most firms, and the implied turning point lies in a sparsely populated</w:t>
      </w:r>
      <w:r>
        <w:t xml:space="preserve"> </w:t>
      </w:r>
      <w:r>
        <w:t xml:space="preserve">upper tail. The appropriate theoretical reading is therefore not that</w:t>
      </w:r>
      <w:r>
        <w:t xml:space="preserve"> </w:t>
      </w:r>
      <w:r>
        <w:t xml:space="preserve">this study establishes a general boundary condition for digitally mature</w:t>
      </w:r>
      <w:r>
        <w:t xml:space="preserve"> </w:t>
      </w:r>
      <w:r>
        <w:t xml:space="preserve">economies, but that it provides within-context evidence from Singapore</w:t>
      </w:r>
      <w:r>
        <w:t xml:space="preserve"> </w:t>
      </w:r>
      <w:r>
        <w:t xml:space="preserve">showing how the conventional I–P logic appears when most firms remain</w:t>
      </w:r>
      <w:r>
        <w:t xml:space="preserve"> </w:t>
      </w:r>
      <w:r>
        <w:t xml:space="preserve">clustered at very low export intensity and the upper tail is thin. In</w:t>
      </w:r>
      <w:r>
        <w:t xml:space="preserve"> </w:t>
      </w:r>
      <w:r>
        <w:t xml:space="preserve">that sense, the study sharpens interpretation of the nonlinear</w:t>
      </w:r>
      <w:r>
        <w:t xml:space="preserve"> </w:t>
      </w:r>
      <w:r>
        <w:t xml:space="preserve">literature without claiming that a single-country cross-section can</w:t>
      </w:r>
      <w:r>
        <w:t xml:space="preserve"> </w:t>
      </w:r>
      <w:r>
        <w:t xml:space="preserve">separate a context-specific mechanism from Singapore-specific</w:t>
      </w:r>
      <w:r>
        <w:t xml:space="preserve"> </w:t>
      </w:r>
      <w:r>
        <w:t xml:space="preserve">institutional features. Third, the DAI result suggests that foundational</w:t>
      </w:r>
      <w:r>
        <w:t xml:space="preserve"> </w:t>
      </w:r>
      <w:r>
        <w:t xml:space="preserve">digital adoption is better understood as a conditional scaling resource</w:t>
      </w:r>
      <w:r>
        <w:t xml:space="preserve"> </w:t>
      </w:r>
      <w:r>
        <w:t xml:space="preserve">than as a uniform firm-level productivity premium. Across much of the</w:t>
      </w:r>
      <w:r>
        <w:t xml:space="preserve"> </w:t>
      </w:r>
      <w:r>
        <w:t xml:space="preserve">observed export-intensity distribution, the DAI association is weak or</w:t>
      </w:r>
      <w:r>
        <w:t xml:space="preserve"> </w:t>
      </w:r>
      <w:r>
        <w:t xml:space="preserve">statistically indistinct, but it becomes more positive in the</w:t>
      </w:r>
      <w:r>
        <w:t xml:space="preserve"> </w:t>
      </w:r>
      <w:r>
        <w:t xml:space="preserve">high-export tail, where firms face denser cross-border coordination and</w:t>
      </w:r>
      <w:r>
        <w:t xml:space="preserve"> </w:t>
      </w:r>
      <w:r>
        <w:t xml:space="preserve">transaction demands. This pattern is consistent with the idea that Tier</w:t>
      </w:r>
      <w:r>
        <w:t xml:space="preserve"> </w:t>
      </w:r>
      <w:r>
        <w:t xml:space="preserve">1–2 digital adoption matters most when firms have sufficient</w:t>
      </w:r>
      <w:r>
        <w:t xml:space="preserve"> </w:t>
      </w:r>
      <w:r>
        <w:t xml:space="preserve">international throughput to use digital interfaces and</w:t>
      </w:r>
      <w:r>
        <w:t xml:space="preserve"> </w:t>
      </w:r>
      <w:r>
        <w:t xml:space="preserve">transaction-enabling systems intensively, with the caveat that the</w:t>
      </w:r>
      <w:r>
        <w:t xml:space="preserve"> </w:t>
      </w:r>
      <w:r>
        <w:t xml:space="preserve">evidence is concentrated in a thin-support region and should therefore</w:t>
      </w:r>
      <w:r>
        <w:t xml:space="preserve"> </w:t>
      </w:r>
      <w:r>
        <w:t xml:space="preserve">be interpreted cautiously. From a transaction-cost perspective (Coase</w:t>
      </w:r>
      <w:r>
        <w:t xml:space="preserve"> </w:t>
      </w:r>
      <w:r>
        <w:t xml:space="preserve">1937; Williamson 1985), the conditional pattern is consistent with</w:t>
      </w:r>
      <w:r>
        <w:t xml:space="preserve"> </w:t>
      </w:r>
      <w:r>
        <w:t xml:space="preserve">foundational digital interfaces absorbing coordination and</w:t>
      </w:r>
      <w:r>
        <w:t xml:space="preserve"> </w:t>
      </w:r>
      <w:r>
        <w:t xml:space="preserve">information-processing costs that scale super-linearly with cross-border</w:t>
      </w:r>
      <w:r>
        <w:t xml:space="preserve"> </w:t>
      </w:r>
      <w:r>
        <w:t xml:space="preserve">transaction volume; below the threshold at which firms operate at high</w:t>
      </w:r>
      <w:r>
        <w:t xml:space="preserve"> </w:t>
      </w:r>
      <w:r>
        <w:t xml:space="preserve">export intensity, the marginal benefit of these systems may not exceed</w:t>
      </w:r>
      <w:r>
        <w:t xml:space="preserve"> </w:t>
      </w:r>
      <w:r>
        <w:t xml:space="preserve">the fixed costs of installation and routine use, which would explain why</w:t>
      </w:r>
      <w:r>
        <w:t xml:space="preserve"> </w:t>
      </w:r>
      <w:r>
        <w:t xml:space="preserve">no uniform productivity premium is observed across the full sample. The</w:t>
      </w:r>
      <w:r>
        <w:t xml:space="preserve"> </w:t>
      </w:r>
      <w:r>
        <w:t xml:space="preserve">absence of a uniform DAI premium across the full sample is itself</w:t>
      </w:r>
      <w:r>
        <w:t xml:space="preserve"> </w:t>
      </w:r>
      <w:r>
        <w:t xml:space="preserve">theoretically informative: in an environment where Tier 1–2 digital</w:t>
      </w:r>
      <w:r>
        <w:t xml:space="preserve"> </w:t>
      </w:r>
      <w:r>
        <w:t xml:space="preserve">tools are near-universally diffused, these tools cannot generate</w:t>
      </w:r>
      <w:r>
        <w:t xml:space="preserve"> </w:t>
      </w:r>
      <w:r>
        <w:t xml:space="preserve">cross-sectional productivity advantages in domestic operations</w:t>
      </w:r>
      <w:r>
        <w:t xml:space="preserve"> </w:t>
      </w:r>
      <w:r>
        <w:t xml:space="preserve">consistent with the digital saturation paradox outlined in the</w:t>
      </w:r>
      <w:r>
        <w:t xml:space="preserve"> </w:t>
      </w:r>
      <w:r>
        <w:t xml:space="preserve">introduction. Their measurable return surfaces only when the scaling</w:t>
      </w:r>
      <w:r>
        <w:t xml:space="preserve"> </w:t>
      </w:r>
      <w:r>
        <w:t xml:space="preserve">demands of high export intensity justify intensive use of digital</w:t>
      </w:r>
      <w:r>
        <w:t xml:space="preserve"> </w:t>
      </w:r>
      <w:r>
        <w:t xml:space="preserve">interfaces and transaction systems. The scale of Singapore's innovation</w:t>
      </w:r>
      <w:r>
        <w:t xml:space="preserve"> </w:t>
      </w:r>
      <w:r>
        <w:t xml:space="preserve">ecosystem, 25,000 attendees and record 6,800 startup applications from</w:t>
      </w:r>
      <w:r>
        <w:t xml:space="preserve"> </w:t>
      </w:r>
      <w:r>
        <w:t xml:space="preserve">150 markets at the 2025 Singapore Week of Innovation and Technology</w:t>
      </w:r>
      <w:r>
        <w:t xml:space="preserve"> </w:t>
      </w:r>
      <w:r>
        <w:t xml:space="preserve">(Enterprise Singapore, 2025), and 22,000 delegates from 110 regions at</w:t>
      </w:r>
      <w:r>
        <w:t xml:space="preserve"> </w:t>
      </w:r>
      <w:r>
        <w:t xml:space="preserve">the Asia Tech x Singapore summit co-organised by the Infocomm Media</w:t>
      </w:r>
      <w:r>
        <w:t xml:space="preserve"> </w:t>
      </w:r>
      <w:r>
        <w:t xml:space="preserve">Development Authority (IMDA, 2025), confirming that Singapore's</w:t>
      </w:r>
      <w:r>
        <w:t xml:space="preserve"> </w:t>
      </w:r>
      <w:r>
        <w:t xml:space="preserve">advanced digital maturity extends well beyond the Tier 1–2 foundational</w:t>
      </w:r>
      <w:r>
        <w:t xml:space="preserve"> </w:t>
      </w:r>
      <w:r>
        <w:t xml:space="preserve">layer captured by DAI, and that higher-tier digital capabilities</w:t>
      </w:r>
      <w:r>
        <w:t xml:space="preserve"> </w:t>
      </w:r>
      <w:r>
        <w:t xml:space="preserve">(automation, AI deployment, platform orchestration) remain unmeasured in</w:t>
      </w:r>
      <w:r>
        <w:t xml:space="preserve"> </w:t>
      </w:r>
      <w:r>
        <w:t xml:space="preserve">the present design but are embedded in the surrounding innovation</w:t>
      </w:r>
      <w:r>
        <w:t xml:space="preserve"> </w:t>
      </w:r>
      <w:r>
        <w:t xml:space="preserve">ecosystem.</w:t>
      </w:r>
    </w:p>
    <w:p>
      <w:pPr>
        <w:pStyle w:val="BodyText"/>
      </w:pPr>
      <w:r>
        <w:rPr>
          <w:bCs/>
          <w:b/>
        </w:rPr>
        <w:t xml:space="preserve">Empirical adjudication among the three candidate mechanisms framed in</w:t>
      </w:r>
      <w:r>
        <w:rPr>
          <w:bCs/>
          <w:b/>
        </w:rPr>
        <w:t xml:space="preserve"> </w:t>
      </w:r>
      <w:r>
        <w:rPr>
          <w:bCs/>
          <w:b/>
        </w:rPr>
        <w:t xml:space="preserve">§2.3.4.</w:t>
      </w:r>
      <w:r>
        <w:t xml:space="preserve"> </w:t>
      </w:r>
      <w:r>
        <w:t xml:space="preserve">Read against the substitution / amplification / selection</w:t>
      </w:r>
      <w:r>
        <w:t xml:space="preserve"> </w:t>
      </w:r>
      <w:r>
        <w:t xml:space="preserve">contrast established at the hypothesis-development stage, the Singapore</w:t>
      </w:r>
      <w:r>
        <w:t xml:space="preserve"> </w:t>
      </w:r>
      <w:r>
        <w:t xml:space="preserve">evidence is most consistent with the</w:t>
      </w:r>
      <w:r>
        <w:t xml:space="preserve"> </w:t>
      </w:r>
      <w:r>
        <w:rPr>
          <w:iCs/>
          <w:i/>
        </w:rPr>
        <w:t xml:space="preserve">amplification</w:t>
      </w:r>
      <w:r>
        <w:t xml:space="preserve"> </w:t>
      </w:r>
      <w:r>
        <w:t xml:space="preserve">mechanism. The</w:t>
      </w:r>
      <w:r>
        <w:t xml:space="preserve"> </w:t>
      </w:r>
      <w:r>
        <w:t xml:space="preserve">empirical signature distinguishing amplification from substitution is</w:t>
      </w:r>
      <w:r>
        <w:t xml:space="preserve"> </w:t>
      </w:r>
      <w:r>
        <w:t xml:space="preserve">the sign of the</w:t>
      </w:r>
      <w:r>
        <w:t xml:space="preserve"> </w:t>
      </w:r>
      <w:r>
        <w:rPr>
          <w:iCs/>
          <w:i/>
        </w:rPr>
        <w:t xml:space="preserve">quadratic</w:t>
      </w:r>
      <w:r>
        <w:t xml:space="preserve"> </w:t>
      </w:r>
      <w:r>
        <w:t xml:space="preserve">interaction term: the positive coefficient</w:t>
      </w:r>
      <w:r>
        <w:t xml:space="preserve"> </w:t>
      </w:r>
      <w:r>
        <w:t xml:space="preserve">on FSTS² × DAI (β=+3.119, p=.005) implies that DAI's productivity</w:t>
      </w:r>
      <w:r>
        <w:t xml:space="preserve"> </w:t>
      </w:r>
      <w:r>
        <w:t xml:space="preserve">contribution grows super-linearly with export-intensity scale, which a</w:t>
      </w:r>
      <w:r>
        <w:t xml:space="preserve"> </w:t>
      </w:r>
      <w:r>
        <w:t xml:space="preserve">level-shift substitution mechanism (predicting only a linear FSTS × DAI</w:t>
      </w:r>
      <w:r>
        <w:t xml:space="preserve"> </w:t>
      </w:r>
      <w:r>
        <w:t xml:space="preserve">shift) would not produce. The robustness of this quadratic interaction</w:t>
      </w:r>
      <w:r>
        <w:t xml:space="preserve"> </w:t>
      </w:r>
      <w:r>
        <w:t xml:space="preserve">across sample restrictions (R1 thin-website, R3 excl micro-firms, R4</w:t>
      </w:r>
      <w:r>
        <w:t xml:space="preserve"> </w:t>
      </w:r>
      <w:r>
        <w:t xml:space="preserve">SMEs only, R5 exporters-only) and across indicator-sensitivity</w:t>
      </w:r>
      <w:r>
        <w:t xml:space="preserve"> </w:t>
      </w:r>
      <w:r>
        <w:t xml:space="preserve">diagnostics is in turn inconsistent with a pure selection story: under</w:t>
      </w:r>
      <w:r>
        <w:t xml:space="preserve"> </w:t>
      </w:r>
      <w:r>
        <w:t xml:space="preserve">selection, the simultaneous productivity–DAI–FSTS correlation should</w:t>
      </w:r>
      <w:r>
        <w:t xml:space="preserve"> </w:t>
      </w:r>
      <w:r>
        <w:t xml:space="preserve">attenuate substantially when the firms driving the joint selection are</w:t>
      </w:r>
      <w:r>
        <w:t xml:space="preserve"> </w:t>
      </w:r>
      <w:r>
        <w:t xml:space="preserve">removed, but the positive quadratic sign is preserved throughout. The</w:t>
      </w:r>
      <w:r>
        <w:t xml:space="preserve"> </w:t>
      </w:r>
      <w:r>
        <w:t xml:space="preserve">selection confound cannot be fully eliminated without stronger causal</w:t>
      </w:r>
      <w:r>
        <w:t xml:space="preserve"> </w:t>
      </w:r>
      <w:r>
        <w:t xml:space="preserve">identification, for which no instrument satisfying the exclusion</w:t>
      </w:r>
      <w:r>
        <w:t xml:space="preserve"> </w:t>
      </w:r>
      <w:r>
        <w:t xml:space="preserve">restriction is available in the single-wave Singapore design, and the</w:t>
      </w:r>
      <w:r>
        <w:t xml:space="preserve"> </w:t>
      </w:r>
      <w:r>
        <w:t xml:space="preserve">§4.5 (ii) Heckman sensitivity diagnostic indicates mild but</w:t>
      </w:r>
      <w:r>
        <w:t xml:space="preserve"> </w:t>
      </w:r>
      <w:r>
        <w:t xml:space="preserve">non-eliminating extensive-margin selection. Read together, the evidence</w:t>
      </w:r>
      <w:r>
        <w:t xml:space="preserve"> </w:t>
      </w:r>
      <w:r>
        <w:t xml:space="preserve">supports amplification as the focal mechanism while retaining selection</w:t>
      </w:r>
      <w:r>
        <w:t xml:space="preserve"> </w:t>
      </w:r>
      <w:r>
        <w:t xml:space="preserve">as a bounded residual concern, in line with the §2.3.4 pre-commitment to</w:t>
      </w:r>
      <w:r>
        <w:t xml:space="preserve"> </w:t>
      </w:r>
      <w:r>
        <w:t xml:space="preserve">amplification as the focal theoretical expectation.</w:t>
      </w:r>
    </w:p>
    <w:p>
      <w:pPr>
        <w:pStyle w:val="BodyText"/>
      </w:pPr>
      <w:r>
        <w:t xml:space="preserve">The contribution here is thus not to establish a universal</w:t>
      </w:r>
      <w:r>
        <w:t xml:space="preserve"> </w:t>
      </w:r>
      <w:r>
        <w:t xml:space="preserve">digitalization mechanism, but to clarify that foundational digital</w:t>
      </w:r>
      <w:r>
        <w:t xml:space="preserve"> </w:t>
      </w:r>
      <w:r>
        <w:t xml:space="preserve">adoption and technological capability are analytically distinct and</w:t>
      </w:r>
      <w:r>
        <w:t xml:space="preserve"> </w:t>
      </w:r>
      <w:r>
        <w:t xml:space="preserve">empirically associated with performance in different ways within this</w:t>
      </w:r>
      <w:r>
        <w:t xml:space="preserve"> </w:t>
      </w:r>
      <w:r>
        <w:t xml:space="preserve">setting.</w:t>
      </w:r>
    </w:p>
    <w:p>
      <w:pPr>
        <w:pStyle w:val="BodyText"/>
      </w:pPr>
      <w:r>
        <w:t xml:space="preserve">Influential conceptual work on digital internationalization has proposed</w:t>
      </w:r>
      <w:r>
        <w:t xml:space="preserve"> </w:t>
      </w:r>
      <w:r>
        <w:t xml:space="preserve">frameworks for platform boundaries and internalization in digital</w:t>
      </w:r>
      <w:r>
        <w:t xml:space="preserve"> </w:t>
      </w:r>
      <w:r>
        <w:t xml:space="preserve">settings (Banalieva &amp; Dhanaraj, 2019; Stallkamp &amp; Schotter, 2021), but</w:t>
      </w:r>
      <w:r>
        <w:t xml:space="preserve"> </w:t>
      </w:r>
      <w:r>
        <w:t xml:space="preserve">firm-level empirical evidence on how foundational digital adoption</w:t>
      </w:r>
      <w:r>
        <w:t xml:space="preserve"> </w:t>
      </w:r>
      <w:r>
        <w:t xml:space="preserve">interacts with export intensity within a single digitally advanced</w:t>
      </w:r>
      <w:r>
        <w:t xml:space="preserve"> </w:t>
      </w:r>
      <w:r>
        <w:t xml:space="preserve">economy remains limited. The present findings provide one such data</w:t>
      </w:r>
      <w:r>
        <w:t xml:space="preserve"> </w:t>
      </w:r>
      <w:r>
        <w:t xml:space="preserve">point.</w:t>
      </w:r>
    </w:p>
    <w:p>
      <w:pPr>
        <w:pStyle w:val="BodyText"/>
      </w:pPr>
      <w:r>
        <w:rPr>
          <w:bCs/>
          <w:b/>
        </w:rPr>
        <w:t xml:space="preserve">Tier-1 vs Tier-1+2 construct boundary and the institutional-context</w:t>
      </w:r>
      <w:r>
        <w:rPr>
          <w:bCs/>
          <w:b/>
        </w:rPr>
        <w:t xml:space="preserve"> </w:t>
      </w:r>
      <w:r>
        <w:rPr>
          <w:bCs/>
          <w:b/>
        </w:rPr>
        <w:t xml:space="preserve">conditions for digital complementarity.</w:t>
      </w:r>
      <w:r>
        <w:t xml:space="preserve"> </w:t>
      </w:r>
      <w:r>
        <w:t xml:space="preserve">The amplification reading</w:t>
      </w:r>
      <w:r>
        <w:t xml:space="preserve"> </w:t>
      </w:r>
      <w:r>
        <w:t xml:space="preserve">developed above is structurally tied to the</w:t>
      </w:r>
      <w:r>
        <w:t xml:space="preserve"> </w:t>
      </w:r>
      <w:r>
        <w:rPr>
          <w:iCs/>
          <w:i/>
        </w:rPr>
        <w:t xml:space="preserve">Tier-1+2</w:t>
      </w:r>
      <w:r>
        <w:t xml:space="preserve"> </w:t>
      </w:r>
      <w:r>
        <w:t xml:space="preserve">composition of</w:t>
      </w:r>
      <w:r>
        <w:t xml:space="preserve"> </w:t>
      </w:r>
      <w:r>
        <w:t xml:space="preserve">the DAI construct used here. This paper's DAI combines website presence</w:t>
      </w:r>
      <w:r>
        <w:t xml:space="preserve"> </w:t>
      </w:r>
      <w:r>
        <w:t xml:space="preserve">(Tier-1, c22b) with two-way electronic-payment intensity (Tier-2, k33</w:t>
      </w:r>
      <w:r>
        <w:t xml:space="preserve"> </w:t>
      </w:r>
      <w:r>
        <w:t xml:space="preserve">customer side and k38 supplier side) into a single composite, and the</w:t>
      </w:r>
      <w:r>
        <w:t xml:space="preserve"> </w:t>
      </w:r>
      <w:r>
        <w:t xml:space="preserve">empirical signal is concentrated in the Tier-2 transaction-enabling</w:t>
      </w:r>
      <w:r>
        <w:t xml:space="preserve"> </w:t>
      </w:r>
      <w:r>
        <w:t xml:space="preserve">layer, as the §4.5 R1 specification shows: when DAI is reduced to the</w:t>
      </w:r>
      <w:r>
        <w:t xml:space="preserve"> </w:t>
      </w:r>
      <w:r>
        <w:t xml:space="preserve">website-only Tier-1 binary, the quadratic interaction weakens</w:t>
      </w:r>
      <w:r>
        <w:t xml:space="preserve"> </w:t>
      </w:r>
      <w:r>
        <w:t xml:space="preserve">substantially (β drops from +3.119 to +1.552, joint F retained marginal</w:t>
      </w:r>
      <w:r>
        <w:t xml:space="preserve"> </w:t>
      </w:r>
      <w:r>
        <w:t xml:space="preserve">at 4.01, p = .019), and the item-swap falsification test indicates that</w:t>
      </w:r>
      <w:r>
        <w:t xml:space="preserve"> </w:t>
      </w:r>
      <w:r>
        <w:t xml:space="preserve">the moderation weakens substantially when c22b is moved from DAI to TCI.</w:t>
      </w:r>
      <w:r>
        <w:t xml:space="preserve"> </w:t>
      </w:r>
      <w:r>
        <w:t xml:space="preserve">This construct-composition dependence has a broader implication for how</w:t>
      </w:r>
      <w:r>
        <w:t xml:space="preserve"> </w:t>
      </w:r>
      <w:r>
        <w:t xml:space="preserve">digital-adoption evidence should be read across institutional contexts</w:t>
      </w:r>
      <w:r>
        <w:t xml:space="preserve"> </w:t>
      </w:r>
      <w:r>
        <w:t xml:space="preserve">at different positions on the regulatory and infrastructural spectrum:</w:t>
      </w:r>
      <w:r>
        <w:t xml:space="preserve"> </w:t>
      </w:r>
      <w:r>
        <w:t xml:space="preserve">in advanced-economy settings where Tier-2 transaction-enabling</w:t>
      </w:r>
      <w:r>
        <w:t xml:space="preserve"> </w:t>
      </w:r>
      <w:r>
        <w:t xml:space="preserve">infrastructure (electronic-payment rails, two-way digital interfaces</w:t>
      </w:r>
      <w:r>
        <w:t xml:space="preserve"> </w:t>
      </w:r>
      <w:r>
        <w:t xml:space="preserve">with customers and suppliers) is widely diffused alongside Tier-1</w:t>
      </w:r>
      <w:r>
        <w:t xml:space="preserve"> </w:t>
      </w:r>
      <w:r>
        <w:t xml:space="preserve">digital presence, a Tier-1+2 composite is the construct that retains</w:t>
      </w:r>
      <w:r>
        <w:t xml:space="preserve"> </w:t>
      </w:r>
      <w:r>
        <w:t xml:space="preserve">discriminatory power across the export-intensity range, and the</w:t>
      </w:r>
      <w:r>
        <w:t xml:space="preserve"> </w:t>
      </w:r>
      <w:r>
        <w:t xml:space="preserve">amplification mechanism becomes empirically detectable as the upward</w:t>
      </w:r>
      <w:r>
        <w:t xml:space="preserve"> </w:t>
      </w:r>
      <w:r>
        <w:t xml:space="preserve">rotation of the I–P curve documented in this paper. In emerging-economy</w:t>
      </w:r>
      <w:r>
        <w:t xml:space="preserve"> </w:t>
      </w:r>
      <w:r>
        <w:t xml:space="preserve">settings where Tier-1 digital presence has diffused widely but Tier-2</w:t>
      </w:r>
      <w:r>
        <w:t xml:space="preserve"> </w:t>
      </w:r>
      <w:r>
        <w:t xml:space="preserve">transaction-enabling infrastructure remains limited or institutionally</w:t>
      </w:r>
      <w:r>
        <w:t xml:space="preserve"> </w:t>
      </w:r>
      <w:r>
        <w:t xml:space="preserve">bounded, a Tier-1-only construct is expected to lose discriminatory</w:t>
      </w:r>
      <w:r>
        <w:t xml:space="preserve"> </w:t>
      </w:r>
      <w:r>
        <w:t xml:space="preserve">power as the population-diffusion ceiling is approached, and any</w:t>
      </w:r>
      <w:r>
        <w:t xml:space="preserve"> </w:t>
      </w:r>
      <w:r>
        <w:t xml:space="preserve">contingent association with export intensity is then most plausibly read</w:t>
      </w:r>
      <w:r>
        <w:t xml:space="preserve"> </w:t>
      </w:r>
      <w:r>
        <w:t xml:space="preserve">as construct-tier obsolescence rather than as evidence on dynamic</w:t>
      </w:r>
      <w:r>
        <w:t xml:space="preserve"> </w:t>
      </w:r>
      <w:r>
        <w:t xml:space="preserve">digital capability. The amplification mechanism documented in Singapore</w:t>
      </w:r>
      <w:r>
        <w:t xml:space="preserve"> </w:t>
      </w:r>
      <w:r>
        <w:t xml:space="preserve">therefore should not be over-extrapolated to settings where the</w:t>
      </w:r>
      <w:r>
        <w:t xml:space="preserve"> </w:t>
      </w:r>
      <w:r>
        <w:t xml:space="preserve">underlying Tier-2 infrastructure has not yet matured to a level that</w:t>
      </w:r>
      <w:r>
        <w:t xml:space="preserve"> </w:t>
      </w:r>
      <w:r>
        <w:t xml:space="preserve">allows the transaction-enabling layer to absorb the coordination-cost</w:t>
      </w:r>
      <w:r>
        <w:t xml:space="preserve"> </w:t>
      </w:r>
      <w:r>
        <w:t xml:space="preserve">saturation of high-intensity exporting; conversely, the Singapore</w:t>
      </w:r>
      <w:r>
        <w:t xml:space="preserve"> </w:t>
      </w:r>
      <w:r>
        <w:t xml:space="preserve">evidence sharpens the theoretical claim that the conditional-scaling</w:t>
      </w:r>
      <w:r>
        <w:t xml:space="preserve"> </w:t>
      </w:r>
      <w:r>
        <w:t xml:space="preserve">mechanism becomes empirically legible precisely when domestic saturation</w:t>
      </w:r>
      <w:r>
        <w:t xml:space="preserve"> </w:t>
      </w:r>
      <w:r>
        <w:t xml:space="preserve">removes the uniform-premium effect and the Tier-2 transaction-enabling</w:t>
      </w:r>
      <w:r>
        <w:t xml:space="preserve"> </w:t>
      </w:r>
      <w:r>
        <w:t xml:space="preserve">layer is institutionally available. This construct-boundary framing</w:t>
      </w:r>
      <w:r>
        <w:t xml:space="preserve"> </w:t>
      </w:r>
      <w:r>
        <w:t xml:space="preserve">positions the Singapore findings as a within-context boundary case at</w:t>
      </w:r>
      <w:r>
        <w:t xml:space="preserve"> </w:t>
      </w:r>
      <w:r>
        <w:t xml:space="preserve">the advanced-economy ceiling of the institutional and</w:t>
      </w:r>
      <w:r>
        <w:t xml:space="preserve"> </w:t>
      </w:r>
      <w:r>
        <w:t xml:space="preserve">digital-infrastructure spectrum, rather than as a claim about a broadly</w:t>
      </w:r>
      <w:r>
        <w:t xml:space="preserve"> </w:t>
      </w:r>
      <w:r>
        <w:t xml:space="preserve">applicable digital-complementarity logic.</w:t>
      </w:r>
    </w:p>
    <w:p>
      <w:pPr>
        <w:pStyle w:val="BodyText"/>
      </w:pPr>
      <w:r>
        <w:t xml:space="preserve">The institutional transferability of the amplification finding rests on</w:t>
      </w:r>
      <w:r>
        <w:t xml:space="preserve"> </w:t>
      </w:r>
      <w:r>
        <w:t xml:space="preserve">a construct-tier distinction with direct policy implications. In</w:t>
      </w:r>
      <w:r>
        <w:t xml:space="preserve"> </w:t>
      </w:r>
      <w:r>
        <w:t xml:space="preserve">Singapore, the DAI composite captures Tier-1+2 digital capability</w:t>
      </w:r>
      <w:r>
        <w:t xml:space="preserve"> </w:t>
      </w:r>
      <w:r>
        <w:t xml:space="preserve">website presence (c22b) combined with electronic payment integration</w:t>
      </w:r>
      <w:r>
        <w:t xml:space="preserve"> </w:t>
      </w:r>
      <w:r>
        <w:t xml:space="preserve">(k33/k38) embedded in the public digital infrastructure, enabling firms</w:t>
      </w:r>
      <w:r>
        <w:t xml:space="preserve"> </w:t>
      </w:r>
      <w:r>
        <w:t xml:space="preserve">to execute frictionless cross-border transactions. In contrast, in</w:t>
      </w:r>
      <w:r>
        <w:t xml:space="preserve"> </w:t>
      </w:r>
      <w:r>
        <w:t xml:space="preserve">transitional economies where Tier-2 payment infrastructure remains</w:t>
      </w:r>
      <w:r>
        <w:t xml:space="preserve"> </w:t>
      </w:r>
      <w:r>
        <w:t xml:space="preserve">institutionally bounded, settings where cross-border electronic-payment</w:t>
      </w:r>
      <w:r>
        <w:t xml:space="preserve"> </w:t>
      </w:r>
      <w:r>
        <w:t xml:space="preserve">rails reached systemic scale only in the late 2010s, as documented</w:t>
      </w:r>
      <w:r>
        <w:t xml:space="preserve"> </w:t>
      </w:r>
      <w:r>
        <w:t xml:space="preserve">across lower-middle-income Asia in World Bank digital infrastructure</w:t>
      </w:r>
      <w:r>
        <w:t xml:space="preserve"> </w:t>
      </w:r>
      <w:r>
        <w:t xml:space="preserve">assessments (World Bank, 2023), the WBES website indicator captures</w:t>
      </w:r>
      <w:r>
        <w:t xml:space="preserve"> </w:t>
      </w:r>
      <w:r>
        <w:t xml:space="preserve">Tier-1 presence only, and the amplification mechanism loses empirical</w:t>
      </w:r>
      <w:r>
        <w:t xml:space="preserve"> </w:t>
      </w:r>
      <w:r>
        <w:t xml:space="preserve">legibility because the payment-integration channel is absent. The</w:t>
      </w:r>
      <w:r>
        <w:t xml:space="preserve"> </w:t>
      </w:r>
      <w:r>
        <w:t xml:space="preserve">implication is that the amplification ceiling is not a</w:t>
      </w:r>
      <w:r>
        <w:t xml:space="preserve"> </w:t>
      </w:r>
      <w:r>
        <w:t xml:space="preserve">Singapore-specific idiosyncrasy but a Tier-1+2 threshold effect:</w:t>
      </w:r>
      <w:r>
        <w:t xml:space="preserve"> </w:t>
      </w:r>
      <w:r>
        <w:t xml:space="preserve">economies that upgrade payment infrastructure to Tier-2 coverage should</w:t>
      </w:r>
      <w:r>
        <w:t xml:space="preserve"> </w:t>
      </w:r>
      <w:r>
        <w:t xml:space="preserve">expect the conditional complementarity pattern to become empirically</w:t>
      </w:r>
      <w:r>
        <w:t xml:space="preserve"> </w:t>
      </w:r>
      <w:r>
        <w:t xml:space="preserve">detectable. This reframes Singapore from an outlier case to a leading</w:t>
      </w:r>
      <w:r>
        <w:t xml:space="preserve"> </w:t>
      </w:r>
      <w:r>
        <w:t xml:space="preserve">indicator of where Tier-2 adoption leads.</w:t>
      </w:r>
    </w:p>
    <w:bookmarkEnd w:id="50"/>
    <w:bookmarkStart w:id="51" w:name="Xa4e692b259d9b803bab54ad026a7e8d888a5d2c"/>
    <w:p>
      <w:pPr>
        <w:pStyle w:val="Heading3"/>
      </w:pPr>
      <w:r>
        <w:t xml:space="preserve">5.2 Managerial implications</w:t>
      </w:r>
    </w:p>
    <w:p>
      <w:pPr>
        <w:pStyle w:val="FirstParagraph"/>
      </w:pPr>
      <w:r>
        <w:t xml:space="preserve">For firms in Singapore and comparable high-digital-infrastructure</w:t>
      </w:r>
      <w:r>
        <w:t xml:space="preserve"> </w:t>
      </w:r>
      <w:r>
        <w:t xml:space="preserve">contexts, the findings suggest that investments in foundational digital</w:t>
      </w:r>
      <w:r>
        <w:t xml:space="preserve"> </w:t>
      </w:r>
      <w:r>
        <w:t xml:space="preserve">adoption are most strongly associated with productivity advantages when</w:t>
      </w:r>
      <w:r>
        <w:t xml:space="preserve"> </w:t>
      </w:r>
      <w:r>
        <w:t xml:space="preserve">firms already operate at relatively high export intensity. In such</w:t>
      </w:r>
      <w:r>
        <w:t xml:space="preserve"> </w:t>
      </w:r>
      <w:r>
        <w:t xml:space="preserve">cases, digital interfaces, payment systems, and related</w:t>
      </w:r>
      <w:r>
        <w:t xml:space="preserve"> </w:t>
      </w:r>
      <w:r>
        <w:t xml:space="preserve">transaction-enabling tools appear to function as scaling mechanisms that</w:t>
      </w:r>
      <w:r>
        <w:t xml:space="preserve"> </w:t>
      </w:r>
      <w:r>
        <w:t xml:space="preserve">help firms coordinate a larger volume of cross-border activity more</w:t>
      </w:r>
      <w:r>
        <w:t xml:space="preserve"> </w:t>
      </w:r>
      <w:r>
        <w:t xml:space="preserve">efficiently. For firms already deeply engaged in export markets, the</w:t>
      </w:r>
      <w:r>
        <w:t xml:space="preserve"> </w:t>
      </w:r>
      <w:r>
        <w:t xml:space="preserve">managerial implication is therefore strategic rather than symbolic:</w:t>
      </w:r>
      <w:r>
        <w:t xml:space="preserve"> </w:t>
      </w:r>
      <w:r>
        <w:t xml:space="preserve">foundational digital systems appear to matter most when coordination</w:t>
      </w:r>
      <w:r>
        <w:t xml:space="preserve"> </w:t>
      </w:r>
      <w:r>
        <w:t xml:space="preserve">demands across customers, suppliers, and foreign-market transactions</w:t>
      </w:r>
      <w:r>
        <w:t xml:space="preserve"> </w:t>
      </w:r>
      <w:r>
        <w:t xml:space="preserve">become dense enough for those systems to be used intensively. For firms</w:t>
      </w:r>
      <w:r>
        <w:t xml:space="preserve"> </w:t>
      </w:r>
      <w:r>
        <w:t xml:space="preserve">concentrated in domestic markets or at low export intensity, digital</w:t>
      </w:r>
      <w:r>
        <w:t xml:space="preserve"> </w:t>
      </w:r>
      <w:r>
        <w:t xml:space="preserve">adoption may still be worthwhile, but the productivity differentials</w:t>
      </w:r>
      <w:r>
        <w:t xml:space="preserve"> </w:t>
      </w:r>
      <w:r>
        <w:t xml:space="preserve">appear smaller and less distinctive in the present data. In this</w:t>
      </w:r>
      <w:r>
        <w:t xml:space="preserve"> </w:t>
      </w:r>
      <w:r>
        <w:t xml:space="preserve">setting, basic digital functionality is already relatively widespread,</w:t>
      </w:r>
      <w:r>
        <w:t xml:space="preserve"> </w:t>
      </w:r>
      <w:r>
        <w:t xml:space="preserve">so adopting such tools may not generate a large standalone</w:t>
      </w:r>
      <w:r>
        <w:t xml:space="preserve"> </w:t>
      </w:r>
      <w:r>
        <w:t xml:space="preserve">labour-productivity premium equally across sampled firms. For firms in</w:t>
      </w:r>
      <w:r>
        <w:t xml:space="preserve"> </w:t>
      </w:r>
      <w:r>
        <w:t xml:space="preserve">the intermediate export-intensity range, the results suggest caution in</w:t>
      </w:r>
      <w:r>
        <w:t xml:space="preserve"> </w:t>
      </w:r>
      <w:r>
        <w:t xml:space="preserve">expecting immediate productivity gains from digital adoption alone;</w:t>
      </w:r>
      <w:r>
        <w:t xml:space="preserve"> </w:t>
      </w:r>
      <w:r>
        <w:t xml:space="preserve">these investments are likely to be more valuable when aligned with</w:t>
      </w:r>
      <w:r>
        <w:t xml:space="preserve"> </w:t>
      </w:r>
      <w:r>
        <w:t xml:space="preserve">broader objectives such as customer integration, supplier coordination,</w:t>
      </w:r>
      <w:r>
        <w:t xml:space="preserve"> </w:t>
      </w:r>
      <w:r>
        <w:t xml:space="preserve">export readiness, and future scaling. More broadly, the findings imply</w:t>
      </w:r>
      <w:r>
        <w:t xml:space="preserve"> </w:t>
      </w:r>
      <w:r>
        <w:t xml:space="preserve">that managers should avoid treating technological capability and digital</w:t>
      </w:r>
      <w:r>
        <w:t xml:space="preserve"> </w:t>
      </w:r>
      <w:r>
        <w:t xml:space="preserve">adoption as interchangeable investment categories. Investments in</w:t>
      </w:r>
      <w:r>
        <w:t xml:space="preserve"> </w:t>
      </w:r>
      <w:r>
        <w:t xml:space="preserve">technological capability appear to support a broader productivity base,</w:t>
      </w:r>
      <w:r>
        <w:t xml:space="preserve"> </w:t>
      </w:r>
      <w:r>
        <w:t xml:space="preserve">whereas investments in foundational digital adoption become more</w:t>
      </w:r>
      <w:r>
        <w:t xml:space="preserve"> </w:t>
      </w:r>
      <w:r>
        <w:t xml:space="preserve">relevant when firms face the coordination intensity associated with</w:t>
      </w:r>
      <w:r>
        <w:t xml:space="preserve"> </w:t>
      </w:r>
      <w:r>
        <w:t xml:space="preserve">deeper internationalization. This suggests that capability-building and</w:t>
      </w:r>
      <w:r>
        <w:t xml:space="preserve"> </w:t>
      </w:r>
      <w:r>
        <w:t xml:space="preserve">digitalization strategies should be sequenced and matched to the firm’s</w:t>
      </w:r>
      <w:r>
        <w:t xml:space="preserve"> </w:t>
      </w:r>
      <w:r>
        <w:t xml:space="preserve">actual stage of export expansion rather than pursued as a single</w:t>
      </w:r>
      <w:r>
        <w:t xml:space="preserve"> </w:t>
      </w:r>
      <w:r>
        <w:t xml:space="preserve">undifferentiated digital-capability agenda.</w:t>
      </w:r>
    </w:p>
    <w:bookmarkEnd w:id="51"/>
    <w:bookmarkEnd w:id="52"/>
    <w:bookmarkStart w:id="53" w:name="X6b297cc947e0db5526be369b1f0f4ddc67b2415"/>
    <w:p>
      <w:pPr>
        <w:pStyle w:val="Heading2"/>
      </w:pPr>
      <w:r>
        <w:t xml:space="preserve">6 Conclusion</w:t>
      </w:r>
    </w:p>
    <w:p>
      <w:pPr>
        <w:pStyle w:val="FirstParagraph"/>
      </w:pPr>
      <w:r>
        <w:t xml:space="preserve">This study revisits the internationalization–performance relationship by</w:t>
      </w:r>
      <w:r>
        <w:t xml:space="preserve"> </w:t>
      </w:r>
      <w:r>
        <w:t xml:space="preserve">distinguishing technological capability from foundational digital</w:t>
      </w:r>
      <w:r>
        <w:t xml:space="preserve"> </w:t>
      </w:r>
      <w:r>
        <w:t xml:space="preserve">adoption and examining how each is associated with labour productivity</w:t>
      </w:r>
      <w:r>
        <w:t xml:space="preserve"> </w:t>
      </w:r>
      <w:r>
        <w:t xml:space="preserve">among firms in Singapore. Using World Bank Enterprise Survey microdata</w:t>
      </w:r>
      <w:r>
        <w:t xml:space="preserve"> </w:t>
      </w:r>
      <w:r>
        <w:t xml:space="preserve">for Singapore 2023, the analysis suggests that technological capability</w:t>
      </w:r>
      <w:r>
        <w:t xml:space="preserve"> </w:t>
      </w:r>
      <w:r>
        <w:t xml:space="preserve">is positively associated with productivity, while digital adoption</w:t>
      </w:r>
      <w:r>
        <w:t xml:space="preserve"> </w:t>
      </w:r>
      <w:r>
        <w:t xml:space="preserve">exhibits a more conditional association that becomes more positive only</w:t>
      </w:r>
      <w:r>
        <w:t xml:space="preserve"> </w:t>
      </w:r>
      <w:r>
        <w:t xml:space="preserve">at higher levels of export intensity. The findings therefore support a</w:t>
      </w:r>
      <w:r>
        <w:t xml:space="preserve"> </w:t>
      </w:r>
      <w:r>
        <w:t xml:space="preserve">distinction between firm-internal capability depth and foundational</w:t>
      </w:r>
      <w:r>
        <w:t xml:space="preserve"> </w:t>
      </w:r>
      <w:r>
        <w:t xml:space="preserve">digitally enabled transaction capacity rather than treating both domains</w:t>
      </w:r>
      <w:r>
        <w:t xml:space="preserve"> </w:t>
      </w:r>
      <w:r>
        <w:t xml:space="preserve">as interchangeable aspects of a single digital-capability construct. The</w:t>
      </w:r>
      <w:r>
        <w:t xml:space="preserve"> </w:t>
      </w:r>
      <w:r>
        <w:t xml:space="preserve">study also qualifies the interpretation of the nonlinear I–P literature</w:t>
      </w:r>
      <w:r>
        <w:t xml:space="preserve"> </w:t>
      </w:r>
      <w:r>
        <w:t xml:space="preserve">in this setting. Within the observed export-intensity range, the</w:t>
      </w:r>
      <w:r>
        <w:t xml:space="preserve"> </w:t>
      </w:r>
      <w:r>
        <w:t xml:space="preserve">baseline pattern is better characterized as predominantly positive with</w:t>
      </w:r>
      <w:r>
        <w:t xml:space="preserve"> </w:t>
      </w:r>
      <w:r>
        <w:t xml:space="preserve">mild quadratic curvature than as a formally identified inverted-U,</w:t>
      </w:r>
      <w:r>
        <w:t xml:space="preserve"> </w:t>
      </w:r>
      <w:r>
        <w:t xml:space="preserve">because the implied turning point lies in a sparsely populated upper</w:t>
      </w:r>
      <w:r>
        <w:t xml:space="preserve"> </w:t>
      </w:r>
      <w:r>
        <w:t xml:space="preserve">tail and is imprecisely located. Read in this way, the evidence does not</w:t>
      </w:r>
      <w:r>
        <w:t xml:space="preserve"> </w:t>
      </w:r>
      <w:r>
        <w:t xml:space="preserve">overturn the established I–P literature, nor does it establish a general</w:t>
      </w:r>
      <w:r>
        <w:t xml:space="preserve"> </w:t>
      </w:r>
      <w:r>
        <w:t xml:space="preserve">boundary condition for digitally mature economies; instead, it provides</w:t>
      </w:r>
      <w:r>
        <w:t xml:space="preserve"> </w:t>
      </w:r>
      <w:r>
        <w:t xml:space="preserve">within-context evidence from Singapore on how the conventional nonlinear</w:t>
      </w:r>
      <w:r>
        <w:t xml:space="preserve"> </w:t>
      </w:r>
      <w:r>
        <w:t xml:space="preserve">logic appears in a highly digitalized institutional environment where</w:t>
      </w:r>
      <w:r>
        <w:t xml:space="preserve"> </w:t>
      </w:r>
      <w:r>
        <w:t xml:space="preserve">most firms remain concentrated at low export intensity. More broadly,</w:t>
      </w:r>
      <w:r>
        <w:t xml:space="preserve"> </w:t>
      </w:r>
      <w:r>
        <w:t xml:space="preserve">the study contributes to international business research by sharpening</w:t>
      </w:r>
      <w:r>
        <w:t xml:space="preserve"> </w:t>
      </w:r>
      <w:r>
        <w:t xml:space="preserve">construct interpretation and by showing that technological capability</w:t>
      </w:r>
      <w:r>
        <w:t xml:space="preserve"> </w:t>
      </w:r>
      <w:r>
        <w:t xml:space="preserve">and foundational digital adoption are associated with performance</w:t>
      </w:r>
      <w:r>
        <w:t xml:space="preserve"> </w:t>
      </w:r>
      <w:r>
        <w:t xml:space="preserve">through different empirical patterns. Technological capability shows the</w:t>
      </w:r>
      <w:r>
        <w:t xml:space="preserve"> </w:t>
      </w:r>
      <w:r>
        <w:t xml:space="preserve">more stable positive association with productivity, whereas foundational</w:t>
      </w:r>
      <w:r>
        <w:t xml:space="preserve"> </w:t>
      </w:r>
      <w:r>
        <w:t xml:space="preserve">digital adoption is better interpreted as a conditional scaling resource</w:t>
      </w:r>
      <w:r>
        <w:t xml:space="preserve"> </w:t>
      </w:r>
      <w:r>
        <w:t xml:space="preserve">whose relevance becomes more visible only where cross-border</w:t>
      </w:r>
      <w:r>
        <w:t xml:space="preserve"> </w:t>
      </w:r>
      <w:r>
        <w:t xml:space="preserve">coordination demands are relatively intense. These conclusions are</w:t>
      </w:r>
      <w:r>
        <w:t xml:space="preserve"> </w:t>
      </w:r>
      <w:r>
        <w:t xml:space="preserve">deliberately bounded to the present design and setting, and they point</w:t>
      </w:r>
      <w:r>
        <w:t xml:space="preserve"> </w:t>
      </w:r>
      <w:r>
        <w:t xml:space="preserve">toward the need for comparative and longitudinal research before broader</w:t>
      </w:r>
      <w:r>
        <w:t xml:space="preserve"> </w:t>
      </w:r>
      <w:r>
        <w:t xml:space="preserve">cross-setting claims about how digitalization shapes the I–P pattern can</w:t>
      </w:r>
      <w:r>
        <w:t xml:space="preserve"> </w:t>
      </w:r>
      <w:r>
        <w:t xml:space="preserve">be sustained.</w:t>
      </w:r>
    </w:p>
    <w:bookmarkEnd w:id="53"/>
    <w:bookmarkStart w:id="54" w:name="X422fdd10c3908fe492ea939b97371c73422dbba"/>
    <w:p>
      <w:pPr>
        <w:pStyle w:val="Heading2"/>
      </w:pPr>
      <w:r>
        <w:t xml:space="preserve">7 Limitations and Future Research</w:t>
      </w:r>
    </w:p>
    <w:p>
      <w:pPr>
        <w:pStyle w:val="FirstParagraph"/>
      </w:pPr>
      <w:r>
        <w:t xml:space="preserve">Three limitations warrant caution in interpreting the findings. First,</w:t>
      </w:r>
      <w:r>
        <w:t xml:space="preserve"> </w:t>
      </w:r>
      <w:r>
        <w:t xml:space="preserve">the analysis is based on a single-country cross-section, so the</w:t>
      </w:r>
      <w:r>
        <w:t xml:space="preserve"> </w:t>
      </w:r>
      <w:r>
        <w:t xml:space="preserve">identification scope is associational rather than causal. The observed</w:t>
      </w:r>
      <w:r>
        <w:t xml:space="preserve"> </w:t>
      </w:r>
      <w:r>
        <w:t xml:space="preserve">relationships among technological capability, digital adoption, export</w:t>
      </w:r>
      <w:r>
        <w:t xml:space="preserve"> </w:t>
      </w:r>
      <w:r>
        <w:t xml:space="preserve">intensity, and labour productivity may reflect reverse causation,</w:t>
      </w:r>
      <w:r>
        <w:t xml:space="preserve"> </w:t>
      </w:r>
      <w:r>
        <w:t xml:space="preserve">omitted variables, or productivity-driven selection into exporting and</w:t>
      </w:r>
      <w:r>
        <w:t xml:space="preserve"> </w:t>
      </w:r>
      <w:r>
        <w:t xml:space="preserve">digital adoption. The appropriate interpretation is therefore that the</w:t>
      </w:r>
      <w:r>
        <w:t xml:space="preserve"> </w:t>
      </w:r>
      <w:r>
        <w:t xml:space="preserve">study documents how these variables co-vary in Singapore rather than</w:t>
      </w:r>
      <w:r>
        <w:t xml:space="preserve"> </w:t>
      </w:r>
      <w:r>
        <w:t xml:space="preserve">establishing a causal mechanism. Second, the sample contains a thin</w:t>
      </w:r>
      <w:r>
        <w:t xml:space="preserve"> </w:t>
      </w:r>
      <w:r>
        <w:t xml:space="preserve">right tail of high-intensity exporters. Most firms report zero exports,</w:t>
      </w:r>
      <w:r>
        <w:t xml:space="preserve"> </w:t>
      </w:r>
      <w:r>
        <w:t xml:space="preserve">the 75th percentile of FSTS remains at zero, and only a small fraction</w:t>
      </w:r>
      <w:r>
        <w:t xml:space="preserve"> </w:t>
      </w:r>
      <w:r>
        <w:t xml:space="preserve">of firms occupy the high-export range in which the fitted turning point</w:t>
      </w:r>
      <w:r>
        <w:t xml:space="preserve"> </w:t>
      </w:r>
      <w:r>
        <w:t xml:space="preserve">and the strongest DAI moderation signals appear. The implied turning</w:t>
      </w:r>
      <w:r>
        <w:t xml:space="preserve"> </w:t>
      </w:r>
      <w:r>
        <w:t xml:space="preserve">point in the quadratic specification should therefore be interpreted as</w:t>
      </w:r>
      <w:r>
        <w:t xml:space="preserve"> </w:t>
      </w:r>
      <w:r>
        <w:t xml:space="preserve">a descriptive feature rather than as a structurally identified</w:t>
      </w:r>
      <w:r>
        <w:t xml:space="preserve"> </w:t>
      </w:r>
      <w:r>
        <w:t xml:space="preserve">inflection, because it is estimated from a sparsely populated region and</w:t>
      </w:r>
      <w:r>
        <w:t xml:space="preserve"> </w:t>
      </w:r>
      <w:r>
        <w:t xml:space="preserve">its 95% bootstrap confidence interval is wide ([53%, 253%]) even</w:t>
      </w:r>
      <w:r>
        <w:t xml:space="preserve"> </w:t>
      </w:r>
      <w:r>
        <w:t xml:space="preserve">though an inverted-U shape is recovered in 96.3% of resamples. The same</w:t>
      </w:r>
      <w:r>
        <w:t xml:space="preserve"> </w:t>
      </w:r>
      <w:r>
        <w:t xml:space="preserve">caution applies to the DAI moderation pattern: it remains visible across</w:t>
      </w:r>
      <w:r>
        <w:t xml:space="preserve"> </w:t>
      </w:r>
      <w:r>
        <w:t xml:space="preserve">leave-one-out, trimmed-tail, and indicator-sensitivity diagnostics, but</w:t>
      </w:r>
      <w:r>
        <w:t xml:space="preserve"> </w:t>
      </w:r>
      <w:r>
        <w:t xml:space="preserve">precision is necessarily lower in the small exporter subsample (N = 84)</w:t>
      </w:r>
      <w:r>
        <w:t xml:space="preserve"> </w:t>
      </w:r>
      <w:r>
        <w:t xml:space="preserve">and the sparsely populated high-intensity range. The appropriate caution</w:t>
      </w:r>
      <w:r>
        <w:t xml:space="preserve"> </w:t>
      </w:r>
      <w:r>
        <w:t xml:space="preserve">therefore rests on the limited empirical support in the upper tail and</w:t>
      </w:r>
      <w:r>
        <w:t xml:space="preserve"> </w:t>
      </w:r>
      <w:r>
        <w:t xml:space="preserve">the resulting imprecision of tail-based inference. Third, the estimated</w:t>
      </w:r>
      <w:r>
        <w:t xml:space="preserve"> </w:t>
      </w:r>
      <w:r>
        <w:t xml:space="preserve">digital-adoption effect should be interpreted within the measurement</w:t>
      </w:r>
      <w:r>
        <w:t xml:space="preserve"> </w:t>
      </w:r>
      <w:r>
        <w:t xml:space="preserve">boundary of the available indicators. The DAI construct captures Tier</w:t>
      </w:r>
      <w:r>
        <w:t xml:space="preserve"> </w:t>
      </w:r>
      <w:r>
        <w:t xml:space="preserve">1–2 digital adoption, digital presence and electronic-transaction usage</w:t>
      </w:r>
      <w:r>
        <w:t xml:space="preserve"> </w:t>
      </w:r>
      <w:r>
        <w:t xml:space="preserve">rather than deeper digitally integrated organizational capability or</w:t>
      </w:r>
      <w:r>
        <w:t xml:space="preserve"> </w:t>
      </w:r>
      <w:r>
        <w:t xml:space="preserve">digital dynamic capability; indicator-sensitivity analysis shows that</w:t>
      </w:r>
      <w:r>
        <w:t xml:space="preserve"> </w:t>
      </w:r>
      <w:r>
        <w:t xml:space="preserve">the moderation pattern depends on the foundational</w:t>
      </w:r>
      <w:r>
        <w:t xml:space="preserve"> </w:t>
      </w:r>
      <w:r>
        <w:t xml:space="preserve">digital-infrastructure indicators and weakens when those specific items</w:t>
      </w:r>
      <w:r>
        <w:t xml:space="preserve"> </w:t>
      </w:r>
      <w:r>
        <w:t xml:space="preserve">are dropped. Future research should therefore examine whether the same</w:t>
      </w:r>
      <w:r>
        <w:t xml:space="preserve"> </w:t>
      </w:r>
      <w:r>
        <w:t xml:space="preserve">conditional pattern appears in other digitally advanced economies and</w:t>
      </w:r>
      <w:r>
        <w:t xml:space="preserve"> </w:t>
      </w:r>
      <w:r>
        <w:t xml:space="preserve">under richer measures that capture process integration, organizational</w:t>
      </w:r>
      <w:r>
        <w:t xml:space="preserve"> </w:t>
      </w:r>
      <w:r>
        <w:t xml:space="preserve">digitalization, and higher-order digital capabilities more directly.</w:t>
      </w:r>
      <w:r>
        <w:t xml:space="preserve"> </w:t>
      </w:r>
      <w:r>
        <w:t xml:space="preserve">Panel data, successive enterprise-survey waves, linked administrative</w:t>
      </w:r>
      <w:r>
        <w:t xml:space="preserve"> </w:t>
      </w:r>
      <w:r>
        <w:t xml:space="preserve">records, and stronger quasi-experimental designs, including</w:t>
      </w:r>
      <w:r>
        <w:t xml:space="preserve"> </w:t>
      </w:r>
      <w:r>
        <w:t xml:space="preserve">instrumental-variable or difference-in-differences specifications keyed</w:t>
      </w:r>
      <w:r>
        <w:t xml:space="preserve"> </w:t>
      </w:r>
      <w:r>
        <w:t xml:space="preserve">to digital-infrastructure rollouts or trade-policy shocks, would also</w:t>
      </w:r>
      <w:r>
        <w:t xml:space="preserve"> </w:t>
      </w:r>
      <w:r>
        <w:t xml:space="preserve">help clarify whether the observed associations reflect scaling</w:t>
      </w:r>
      <w:r>
        <w:t xml:space="preserve"> </w:t>
      </w:r>
      <w:r>
        <w:t xml:space="preserve">complementarities, selection effects, or other mechanisms. Concrete</w:t>
      </w:r>
      <w:r>
        <w:t xml:space="preserve"> </w:t>
      </w:r>
      <w:r>
        <w:t xml:space="preserve">instrumental-variable strategies could exploit firm-to-port distance or</w:t>
      </w:r>
      <w:r>
        <w:t xml:space="preserve"> </w:t>
      </w:r>
      <w:r>
        <w:t xml:space="preserve">local customs-clearance times as instruments for export intensity, and</w:t>
      </w:r>
      <w:r>
        <w:t xml:space="preserve"> </w:t>
      </w:r>
      <w:r>
        <w:t xml:space="preserve">regional broadband-coverage shares or within-sector peer-adoption rates</w:t>
      </w:r>
      <w:r>
        <w:t xml:space="preserve"> </w:t>
      </w:r>
      <w:r>
        <w:t xml:space="preserve">as instruments for foundational digital adoption, although Wolfolds and</w:t>
      </w:r>
      <w:r>
        <w:t xml:space="preserve"> </w:t>
      </w:r>
      <w:r>
        <w:t xml:space="preserve">Siegel (2019) caution that such designs require both adequate</w:t>
      </w:r>
      <w:r>
        <w:t xml:space="preserve"> </w:t>
      </w:r>
      <w:r>
        <w:t xml:space="preserve">first-stage strength and credible exclusion restrictions before they can</w:t>
      </w:r>
      <w:r>
        <w:t xml:space="preserve"> </w:t>
      </w:r>
      <w:r>
        <w:t xml:space="preserve">deliver clean causal identification.</w:t>
      </w:r>
    </w:p>
    <w:bookmarkEnd w:id="54"/>
    <w:bookmarkStart w:id="56" w:name="data-availability-statement"/>
    <w:p>
      <w:pPr>
        <w:pStyle w:val="Heading2"/>
      </w:pPr>
      <w:r>
        <w:t xml:space="preserve">Data Availability Statement</w:t>
      </w:r>
    </w:p>
    <w:p>
      <w:pPr>
        <w:pStyle w:val="FirstParagraph"/>
      </w:pPr>
      <w:r>
        <w:t xml:space="preserve">The data analyzed in this study are from the World Bank Enterprise</w:t>
      </w:r>
      <w:r>
        <w:t xml:space="preserve"> </w:t>
      </w:r>
      <w:r>
        <w:t xml:space="preserve">Survey (WBES) Singapore 2023 wave, publicly available at</w:t>
      </w:r>
      <w:r>
        <w:t xml:space="preserve"> </w:t>
      </w:r>
      <w:hyperlink r:id="rId55">
        <w:hyperlink r:id="rId55">
          <w:r>
            <w:rPr>
              <w:rStyle w:val="Hyperlink"/>
            </w:rPr>
            <w:t xml:space="preserve">www.enterprisesurveys.org</w:t>
          </w:r>
        </w:hyperlink>
      </w:hyperlink>
      <w:r>
        <w:t xml:space="preserve">. Analysis</w:t>
      </w:r>
      <w:r>
        <w:t xml:space="preserve"> </w:t>
      </w:r>
      <w:r>
        <w:t xml:space="preserve">scripts to replicate the results are available from the corresponding</w:t>
      </w:r>
      <w:r>
        <w:t xml:space="preserve"> </w:t>
      </w:r>
      <w:r>
        <w:t xml:space="preserve">author on reasonable request.</w:t>
      </w:r>
    </w:p>
    <w:bookmarkEnd w:id="56"/>
    <w:bookmarkStart w:id="57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Enterprise Analysis Unit of the Development Economics</w:t>
      </w:r>
      <w:r>
        <w:t xml:space="preserve"> </w:t>
      </w:r>
      <w:r>
        <w:t xml:space="preserve">Global Indicators Group of the World Bank for the data.</w:t>
      </w:r>
    </w:p>
    <w:bookmarkEnd w:id="57"/>
    <w:bookmarkStart w:id="58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external funding.</w:t>
      </w:r>
    </w:p>
    <w:bookmarkEnd w:id="58"/>
    <w:bookmarkStart w:id="59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The authors declare no conflicts of interest.</w:t>
      </w:r>
    </w:p>
    <w:bookmarkEnd w:id="59"/>
    <w:bookmarkStart w:id="61" w:name="ai-and-data-availability"/>
    <w:p>
      <w:pPr>
        <w:pStyle w:val="Heading2"/>
      </w:pPr>
      <w:r>
        <w:t xml:space="preserve">AI and Data Availability</w:t>
      </w:r>
    </w:p>
    <w:p>
      <w:pPr>
        <w:pStyle w:val="FirstParagraph"/>
      </w:pPr>
      <w:r>
        <w:rPr>
          <w:bCs/>
          <w:b/>
        </w:rPr>
        <w:t xml:space="preserve">AI use disclosure</w:t>
      </w:r>
      <w:r>
        <w:t xml:space="preserve">: Grammarly was used for grammar and spelling</w:t>
      </w:r>
      <w:r>
        <w:t xml:space="preserve"> </w:t>
      </w:r>
      <w:r>
        <w:t xml:space="preserve">corrections only. No AI tools were used for idea generation, literature</w:t>
      </w:r>
      <w:r>
        <w:t xml:space="preserve"> </w:t>
      </w:r>
      <w:r>
        <w:t xml:space="preserve">synthesis, data analysis, or content creation.</w:t>
      </w:r>
    </w:p>
    <w:p>
      <w:pPr>
        <w:pStyle w:val="BodyText"/>
      </w:pPr>
      <w:r>
        <w:rPr>
          <w:bCs/>
          <w:b/>
        </w:rPr>
        <w:t xml:space="preserve">Data availability</w:t>
      </w:r>
      <w:r>
        <w:t xml:space="preserve">: The data supporting this study were obtained from</w:t>
      </w:r>
      <w:r>
        <w:t xml:space="preserve"> </w:t>
      </w:r>
      <w:r>
        <w:t xml:space="preserve">the World Bank Enterprise Surveys (WBES) B-READY 2023 Singapore dataset,</w:t>
      </w:r>
      <w:r>
        <w:t xml:space="preserve"> </w:t>
      </w:r>
      <w:r>
        <w:t xml:space="preserve">publicly available at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  <w:r>
        <w:t xml:space="preserve">. Processed</w:t>
      </w:r>
      <w:r>
        <w:t xml:space="preserve"> </w:t>
      </w:r>
      <w:r>
        <w:t xml:space="preserve">data and replication code are available from the corresponding author</w:t>
      </w:r>
      <w:r>
        <w:t xml:space="preserve"> </w:t>
      </w:r>
      <w:r>
        <w:t xml:space="preserve">upon reasonable request.</w:t>
      </w:r>
    </w:p>
    <w:bookmarkEnd w:id="61"/>
    <w:bookmarkStart w:id="9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Aguinis, H., Beaty, J. C., Boik, R. J., &amp; Pierce, C. A. (2005). Effect</w:t>
      </w:r>
      <w:r>
        <w:t xml:space="preserve"> </w:t>
      </w:r>
      <w:r>
        <w:t xml:space="preserve">size and power in assessing moderating effects of categorical variables</w:t>
      </w:r>
      <w:r>
        <w:t xml:space="preserve"> </w:t>
      </w:r>
      <w:r>
        <w:t xml:space="preserve">using multiple regression: A 30-year review.</w:t>
      </w:r>
      <w:r>
        <w:t xml:space="preserve"> </w:t>
      </w:r>
      <w:r>
        <w:rPr>
          <w:iCs/>
          <w:i/>
        </w:rPr>
        <w:t xml:space="preserve">Journal of Applied</w:t>
      </w:r>
      <w:r>
        <w:rPr>
          <w:iCs/>
          <w:i/>
        </w:rPr>
        <w:t xml:space="preserve"> </w:t>
      </w:r>
      <w:r>
        <w:rPr>
          <w:iCs/>
          <w:i/>
        </w:rPr>
        <w:t xml:space="preserve">Psychology, 90</w:t>
      </w:r>
      <w:r>
        <w:t xml:space="preserve">(1), 94–107.</w:t>
      </w:r>
      <w:r>
        <w:t xml:space="preserve"> </w:t>
      </w:r>
      <w:hyperlink r:id="rId62">
        <w:r>
          <w:rPr>
            <w:rStyle w:val="Hyperlink"/>
          </w:rPr>
          <w:t xml:space="preserve">https://doi.org/10.1037/0021-9010.90.1.94</w:t>
        </w:r>
      </w:hyperlink>
      <w:r>
        <w:t xml:space="preserve"> </w:t>
      </w:r>
      <w:r>
        <w:t xml:space="preserve">Aiken, L. S., &amp; West, S. G. (1991).</w:t>
      </w:r>
      <w:r>
        <w:t xml:space="preserve"> </w:t>
      </w:r>
      <w:r>
        <w:rPr>
          <w:iCs/>
          <w:i/>
        </w:rPr>
        <w:t xml:space="preserve">Multiple regression: Testing and</w:t>
      </w:r>
      <w:r>
        <w:rPr>
          <w:iCs/>
          <w:i/>
        </w:rPr>
        <w:t xml:space="preserve"> </w:t>
      </w:r>
      <w:r>
        <w:rPr>
          <w:iCs/>
          <w:i/>
        </w:rPr>
        <w:t xml:space="preserve">interpreting interactions</w:t>
      </w:r>
      <w:r>
        <w:t xml:space="preserve">. Sage. Antonakis, J., Bendahan, S., Jacquart,</w:t>
      </w:r>
      <w:r>
        <w:t xml:space="preserve"> </w:t>
      </w:r>
      <w:r>
        <w:t xml:space="preserve">P., &amp; Lalive, R. (2010). On making causal claims: A review and</w:t>
      </w:r>
      <w:r>
        <w:t xml:space="preserve"> </w:t>
      </w:r>
      <w:r>
        <w:t xml:space="preserve">recommendations.</w:t>
      </w:r>
      <w:r>
        <w:t xml:space="preserve"> </w:t>
      </w:r>
      <w:r>
        <w:rPr>
          <w:iCs/>
          <w:i/>
        </w:rPr>
        <w:t xml:space="preserve">The Leadership Quarterly, 21</w:t>
      </w:r>
      <w:r>
        <w:t xml:space="preserve">(6), 1086–1120.</w:t>
      </w:r>
      <w:r>
        <w:t xml:space="preserve"> </w:t>
      </w:r>
      <w:hyperlink r:id="rId63">
        <w:r>
          <w:rPr>
            <w:rStyle w:val="Hyperlink"/>
          </w:rPr>
          <w:t xml:space="preserve">https://doi.org/10.1016/j.leaqua.2010.10.010</w:t>
        </w:r>
      </w:hyperlink>
      <w:r>
        <w:t xml:space="preserve"> </w:t>
      </w:r>
      <w:r>
        <w:t xml:space="preserve">Avenyo, E. K., Tregenna,</w:t>
      </w:r>
      <w:r>
        <w:t xml:space="preserve"> </w:t>
      </w:r>
      <w:r>
        <w:t xml:space="preserve">F., &amp; Kraemer-Mbula, E. (2021). Do productive capabilities affect export</w:t>
      </w:r>
      <w:r>
        <w:t xml:space="preserve"> </w:t>
      </w:r>
      <w:r>
        <w:t xml:space="preserve">performance? Microeconomic evidence from sub-Saharan Africa.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European Journal of Development Research, 33</w:t>
      </w:r>
      <w:r>
        <w:t xml:space="preserve">(2), 304–329.</w:t>
      </w:r>
      <w:r>
        <w:t xml:space="preserve"> </w:t>
      </w:r>
      <w:hyperlink r:id="rId64">
        <w:r>
          <w:rPr>
            <w:rStyle w:val="Hyperlink"/>
          </w:rPr>
          <w:t xml:space="preserve">https://doi.org/10.1057/s41287-020-00328-2</w:t>
        </w:r>
      </w:hyperlink>
      <w:r>
        <w:t xml:space="preserve"> </w:t>
      </w:r>
      <w:r>
        <w:t xml:space="preserve">Banalieva, E. R., &amp;</w:t>
      </w:r>
      <w:r>
        <w:t xml:space="preserve"> </w:t>
      </w:r>
      <w:r>
        <w:t xml:space="preserve">Dhanaraj, C. (2019). Internalization theory for the digital economy.</w:t>
      </w:r>
      <w:r>
        <w:t xml:space="preserve"> </w:t>
      </w:r>
      <w:r>
        <w:rPr>
          <w:iCs/>
          <w:i/>
        </w:rPr>
        <w:t xml:space="preserve">Journal of International Business Studies, 50</w:t>
      </w:r>
      <w:r>
        <w:t xml:space="preserve">(8), 1372–1387.</w:t>
      </w:r>
      <w:r>
        <w:t xml:space="preserve"> </w:t>
      </w:r>
      <w:hyperlink r:id="rId65">
        <w:r>
          <w:rPr>
            <w:rStyle w:val="Hyperlink"/>
          </w:rPr>
          <w:t xml:space="preserve">https://doi.org/10.1057/s41267-019-00243-7</w:t>
        </w:r>
      </w:hyperlink>
      <w:r>
        <w:t xml:space="preserve"> </w:t>
      </w:r>
      <w:r>
        <w:t xml:space="preserve">Barney, J. (1991). Firm</w:t>
      </w:r>
      <w:r>
        <w:t xml:space="preserve"> </w:t>
      </w:r>
      <w:r>
        <w:t xml:space="preserve">resources and sustained competitive advantage.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17</w:t>
      </w:r>
      <w:r>
        <w:t xml:space="preserve">(1), 99–120.</w:t>
      </w:r>
      <w:r>
        <w:t xml:space="preserve"> </w:t>
      </w:r>
      <w:hyperlink r:id="rId66">
        <w:r>
          <w:rPr>
            <w:rStyle w:val="Hyperlink"/>
          </w:rPr>
          <w:t xml:space="preserve">https://doi.org/10.1177/014920639101700108</w:t>
        </w:r>
      </w:hyperlink>
      <w:r>
        <w:t xml:space="preserve"> </w:t>
      </w:r>
      <w:r>
        <w:t xml:space="preserve">Bharadwaj,</w:t>
      </w:r>
      <w:r>
        <w:t xml:space="preserve"> </w:t>
      </w:r>
      <w:r>
        <w:t xml:space="preserve">A., El Sawy, O. A., Pavlou, P. A., &amp; Venkatraman, N. (2013). Digital</w:t>
      </w:r>
      <w:r>
        <w:t xml:space="preserve"> </w:t>
      </w:r>
      <w:r>
        <w:t xml:space="preserve">business strategy: Toward a next generation of insights.</w:t>
      </w:r>
      <w:r>
        <w:t xml:space="preserve"> </w:t>
      </w:r>
      <w:r>
        <w:rPr>
          <w:iCs/>
          <w:i/>
        </w:rPr>
        <w:t xml:space="preserve">MIS Quarterly,</w:t>
      </w:r>
      <w:r>
        <w:rPr>
          <w:iCs/>
          <w:i/>
        </w:rPr>
        <w:t xml:space="preserve"> </w:t>
      </w:r>
      <w:r>
        <w:rPr>
          <w:iCs/>
          <w:i/>
        </w:rPr>
        <w:t xml:space="preserve">37</w:t>
      </w:r>
      <w:r>
        <w:t xml:space="preserve">(2), 471–482.</w:t>
      </w:r>
      <w:r>
        <w:t xml:space="preserve"> </w:t>
      </w:r>
      <w:hyperlink r:id="rId67">
        <w:r>
          <w:rPr>
            <w:rStyle w:val="Hyperlink"/>
          </w:rPr>
          <w:t xml:space="preserve">https://doi.org/10.25300/MISQ/2013/37:2.3</w:t>
        </w:r>
      </w:hyperlink>
      <w:r>
        <w:t xml:space="preserve"> </w:t>
      </w:r>
      <w:r>
        <w:t xml:space="preserve">Brynjolfsson, E., Rock, D., &amp; Syverson, C. (2021). The productivity</w:t>
      </w:r>
      <w:r>
        <w:t xml:space="preserve"> </w:t>
      </w:r>
      <w:r>
        <w:t xml:space="preserve">J-curve: How intangibles complement general purpose technologies.</w:t>
      </w:r>
      <w:r>
        <w:t xml:space="preserve"> </w:t>
      </w:r>
      <w:r>
        <w:rPr>
          <w:iCs/>
          <w:i/>
        </w:rPr>
        <w:t xml:space="preserve">American Economic Journal: Macroeconomics, 13</w:t>
      </w:r>
      <w:r>
        <w:t xml:space="preserve">(1), 333–372.</w:t>
      </w:r>
      <w:r>
        <w:t xml:space="preserve"> </w:t>
      </w:r>
      <w:hyperlink r:id="rId68">
        <w:r>
          <w:rPr>
            <w:rStyle w:val="Hyperlink"/>
          </w:rPr>
          <w:t xml:space="preserve">https://doi.org/10.1257/mac.20180386</w:t>
        </w:r>
      </w:hyperlink>
      <w:r>
        <w:t xml:space="preserve"> </w:t>
      </w:r>
      <w:r>
        <w:t xml:space="preserve">Cohen, J. (1988).</w:t>
      </w:r>
      <w:r>
        <w:t xml:space="preserve"> </w:t>
      </w:r>
      <w:r>
        <w:rPr>
          <w:iCs/>
          <w:i/>
        </w:rPr>
        <w:t xml:space="preserve">Statistical</w:t>
      </w:r>
      <w:r>
        <w:rPr>
          <w:iCs/>
          <w:i/>
        </w:rPr>
        <w:t xml:space="preserve"> </w:t>
      </w:r>
      <w:r>
        <w:rPr>
          <w:iCs/>
          <w:i/>
        </w:rPr>
        <w:t xml:space="preserve">power analysis for the behavioral sciences</w:t>
      </w:r>
      <w:r>
        <w:t xml:space="preserve"> </w:t>
      </w:r>
      <w:r>
        <w:t xml:space="preserve">(2nd ed.). Lawrence Erlbaum.</w:t>
      </w:r>
      <w:r>
        <w:t xml:space="preserve"> </w:t>
      </w:r>
      <w:r>
        <w:t xml:space="preserve">Cohen, W. M., &amp; Levinthal, D. A. (1990). Absorptive capacity: A new</w:t>
      </w:r>
      <w:r>
        <w:t xml:space="preserve"> </w:t>
      </w:r>
      <w:r>
        <w:t xml:space="preserve">perspective on learning and innovation.</w:t>
      </w:r>
      <w:r>
        <w:t xml:space="preserve"> </w:t>
      </w:r>
      <w:r>
        <w:rPr>
          <w:iCs/>
          <w:i/>
        </w:rPr>
        <w:t xml:space="preserve">Administrative Science</w:t>
      </w:r>
      <w:r>
        <w:rPr>
          <w:iCs/>
          <w:i/>
        </w:rPr>
        <w:t xml:space="preserve"> </w:t>
      </w:r>
      <w:r>
        <w:rPr>
          <w:iCs/>
          <w:i/>
        </w:rPr>
        <w:t xml:space="preserve">Quarterly, 35</w:t>
      </w:r>
      <w:r>
        <w:t xml:space="preserve">(1), 128–152.</w:t>
      </w:r>
      <w:r>
        <w:t xml:space="preserve"> </w:t>
      </w:r>
      <w:hyperlink r:id="rId69">
        <w:r>
          <w:rPr>
            <w:rStyle w:val="Hyperlink"/>
          </w:rPr>
          <w:t xml:space="preserve">https://doi.org/10.2307/2393553</w:t>
        </w:r>
      </w:hyperlink>
      <w:r>
        <w:t xml:space="preserve"> </w:t>
      </w:r>
      <w:r>
        <w:t xml:space="preserve">Coltman,</w:t>
      </w:r>
      <w:r>
        <w:t xml:space="preserve"> </w:t>
      </w:r>
      <w:r>
        <w:t xml:space="preserve">T., Devinney, T. M., Midgley, D. F., &amp; Venaik, S. (2008). Formative</w:t>
      </w:r>
      <w:r>
        <w:t xml:space="preserve"> </w:t>
      </w:r>
      <w:r>
        <w:t xml:space="preserve">versus reflective measurement models: Two applications of formative</w:t>
      </w:r>
      <w:r>
        <w:t xml:space="preserve"> </w:t>
      </w:r>
      <w:r>
        <w:t xml:space="preserve">measurement.</w:t>
      </w:r>
      <w:r>
        <w:t xml:space="preserve"> </w:t>
      </w:r>
      <w:r>
        <w:rPr>
          <w:iCs/>
          <w:i/>
        </w:rPr>
        <w:t xml:space="preserve">Journal of Business Research, 61</w:t>
      </w:r>
      <w:r>
        <w:t xml:space="preserve">(12), 1250–1262.</w:t>
      </w:r>
      <w:r>
        <w:t xml:space="preserve"> </w:t>
      </w:r>
      <w:hyperlink r:id="rId70">
        <w:r>
          <w:rPr>
            <w:rStyle w:val="Hyperlink"/>
          </w:rPr>
          <w:t xml:space="preserve">https://doi.org/10.1016/j.jbusres.2008.01.013</w:t>
        </w:r>
      </w:hyperlink>
      <w:r>
        <w:t xml:space="preserve"> </w:t>
      </w:r>
      <w:r>
        <w:t xml:space="preserve">Contractor, F. J.</w:t>
      </w:r>
      <w:r>
        <w:t xml:space="preserve"> </w:t>
      </w:r>
      <w:r>
        <w:t xml:space="preserve">(2007). Is international business good for companies? The evolutionary</w:t>
      </w:r>
      <w:r>
        <w:t xml:space="preserve"> </w:t>
      </w:r>
      <w:r>
        <w:t xml:space="preserve">or multi-stage theory of internationalization vs. the transaction cost</w:t>
      </w:r>
      <w:r>
        <w:t xml:space="preserve"> </w:t>
      </w:r>
      <w:r>
        <w:t xml:space="preserve">perspective.</w:t>
      </w:r>
      <w:r>
        <w:t xml:space="preserve"> </w:t>
      </w:r>
      <w:r>
        <w:rPr>
          <w:iCs/>
          <w:i/>
        </w:rPr>
        <w:t xml:space="preserve">Management International Review, 47</w:t>
      </w:r>
      <w:r>
        <w:t xml:space="preserve">(3), 453–475.</w:t>
      </w:r>
      <w:r>
        <w:t xml:space="preserve"> </w:t>
      </w:r>
      <w:hyperlink r:id="rId71">
        <w:r>
          <w:rPr>
            <w:rStyle w:val="Hyperlink"/>
          </w:rPr>
          <w:t xml:space="preserve">https://doi.org/10.1007/s11575-007-0024-2</w:t>
        </w:r>
      </w:hyperlink>
      <w:r>
        <w:t xml:space="preserve"> </w:t>
      </w:r>
      <w:r>
        <w:t xml:space="preserve">Contractor, F. J., Kundu, S.</w:t>
      </w:r>
      <w:r>
        <w:t xml:space="preserve"> </w:t>
      </w:r>
      <w:r>
        <w:t xml:space="preserve">K., &amp; Hsu, C.-C. (2003). A three-stage theory of international</w:t>
      </w:r>
      <w:r>
        <w:t xml:space="preserve"> </w:t>
      </w:r>
      <w:r>
        <w:t xml:space="preserve">expansion: The link between multinationality and performance in the</w:t>
      </w:r>
      <w:r>
        <w:t xml:space="preserve"> </w:t>
      </w:r>
      <w:r>
        <w:t xml:space="preserve">service sector.</w:t>
      </w:r>
      <w:r>
        <w:t xml:space="preserve"> </w:t>
      </w:r>
      <w:r>
        <w:rPr>
          <w:iCs/>
          <w:i/>
        </w:rPr>
        <w:t xml:space="preserve">Journal of International Business Studies, 34</w:t>
      </w:r>
      <w:r>
        <w:t xml:space="preserve">(1),</w:t>
      </w:r>
      <w:r>
        <w:t xml:space="preserve"> </w:t>
      </w:r>
      <w:r>
        <w:t xml:space="preserve">5–18.</w:t>
      </w:r>
      <w:r>
        <w:t xml:space="preserve"> </w:t>
      </w:r>
      <w:hyperlink r:id="rId72">
        <w:r>
          <w:rPr>
            <w:rStyle w:val="Hyperlink"/>
          </w:rPr>
          <w:t xml:space="preserve">https://doi.org/10.1057/palgrave.jibs.8400003</w:t>
        </w:r>
      </w:hyperlink>
      <w:r>
        <w:t xml:space="preserve"> </w:t>
      </w:r>
      <w:r>
        <w:t xml:space="preserve">Haans, R. F. J.,</w:t>
      </w:r>
      <w:r>
        <w:t xml:space="preserve"> </w:t>
      </w:r>
      <w:r>
        <w:t xml:space="preserve">Pieters, C., &amp; He, Z.-L. (2016). Thinking about U: Theorizing and</w:t>
      </w:r>
      <w:r>
        <w:t xml:space="preserve"> </w:t>
      </w:r>
      <w:r>
        <w:t xml:space="preserve">testing U- and inverted U-shaped relationships in strategy research.</w:t>
      </w:r>
      <w:r>
        <w:t xml:space="preserve"> </w:t>
      </w:r>
      <w:r>
        <w:rPr>
          <w:iCs/>
          <w:i/>
        </w:rPr>
        <w:t xml:space="preserve">Strategic Management Journal, 37</w:t>
      </w:r>
      <w:r>
        <w:t xml:space="preserve">(7), 1177–1195.</w:t>
      </w:r>
      <w:r>
        <w:t xml:space="preserve"> </w:t>
      </w:r>
      <w:hyperlink r:id="rId73">
        <w:r>
          <w:rPr>
            <w:rStyle w:val="Hyperlink"/>
          </w:rPr>
          <w:t xml:space="preserve">https://doi.org/10.1002/smj.2399</w:t>
        </w:r>
      </w:hyperlink>
      <w:r>
        <w:t xml:space="preserve"> </w:t>
      </w:r>
      <w:r>
        <w:t xml:space="preserve">Hambrick, D. C., &amp; Mason, P. A.</w:t>
      </w:r>
      <w:r>
        <w:t xml:space="preserve"> </w:t>
      </w:r>
      <w:r>
        <w:t xml:space="preserve">(1984). Upper echelons: The organization as a reflection of its top</w:t>
      </w:r>
      <w:r>
        <w:t xml:space="preserve"> </w:t>
      </w:r>
      <w:r>
        <w:t xml:space="preserve">managers.</w:t>
      </w:r>
      <w:r>
        <w:t xml:space="preserve"> </w:t>
      </w:r>
      <w:r>
        <w:rPr>
          <w:iCs/>
          <w:i/>
        </w:rPr>
        <w:t xml:space="preserve">Academy of Management Review, 9</w:t>
      </w:r>
      <w:r>
        <w:t xml:space="preserve">(2), 193–206.</w:t>
      </w:r>
      <w:r>
        <w:t xml:space="preserve"> </w:t>
      </w:r>
      <w:hyperlink r:id="rId74">
        <w:r>
          <w:rPr>
            <w:rStyle w:val="Hyperlink"/>
          </w:rPr>
          <w:t xml:space="preserve">https://doi.org/10.5465/amr.1984.4277628</w:t>
        </w:r>
      </w:hyperlink>
      <w:r>
        <w:t xml:space="preserve"> </w:t>
      </w:r>
      <w:r>
        <w:t xml:space="preserve">Hitt, M. A., Hoskisson, R.</w:t>
      </w:r>
      <w:r>
        <w:t xml:space="preserve"> </w:t>
      </w:r>
      <w:r>
        <w:t xml:space="preserve">E., &amp; Kim, H. (1997). International diversification: Effects on</w:t>
      </w:r>
      <w:r>
        <w:t xml:space="preserve"> </w:t>
      </w:r>
      <w:r>
        <w:t xml:space="preserve">innovation and firm performance in product-diversified firms.</w:t>
      </w:r>
      <w:r>
        <w:t xml:space="preserve"> </w:t>
      </w:r>
      <w:r>
        <w:rPr>
          <w:iCs/>
          <w:i/>
        </w:rPr>
        <w:t xml:space="preserve">Academy</w:t>
      </w:r>
      <w:r>
        <w:rPr>
          <w:iCs/>
          <w:i/>
        </w:rPr>
        <w:t xml:space="preserve"> </w:t>
      </w:r>
      <w:r>
        <w:rPr>
          <w:iCs/>
          <w:i/>
        </w:rPr>
        <w:t xml:space="preserve">of Management Journal, 40</w:t>
      </w:r>
      <w:r>
        <w:t xml:space="preserve">(4), 767–798.</w:t>
      </w:r>
      <w:r>
        <w:t xml:space="preserve"> </w:t>
      </w:r>
      <w:hyperlink r:id="rId75">
        <w:r>
          <w:rPr>
            <w:rStyle w:val="Hyperlink"/>
          </w:rPr>
          <w:t xml:space="preserve">https://doi.org/10.5465/256948</w:t>
        </w:r>
      </w:hyperlink>
      <w:r>
        <w:t xml:space="preserve"> </w:t>
      </w:r>
      <w:r>
        <w:t xml:space="preserve">Krammer, S. M. S., Strange, R., &amp; Lashitew, A. (2018). The export</w:t>
      </w:r>
      <w:r>
        <w:t xml:space="preserve"> </w:t>
      </w:r>
      <w:r>
        <w:t xml:space="preserve">performance of emerging economy firms.</w:t>
      </w:r>
      <w:r>
        <w:t xml:space="preserve"> </w:t>
      </w:r>
      <w:r>
        <w:rPr>
          <w:iCs/>
          <w:i/>
        </w:rPr>
        <w:t xml:space="preserve">International Business Review,</w:t>
      </w:r>
      <w:r>
        <w:rPr>
          <w:iCs/>
          <w:i/>
        </w:rPr>
        <w:t xml:space="preserve"> </w:t>
      </w:r>
      <w:r>
        <w:rPr>
          <w:iCs/>
          <w:i/>
        </w:rPr>
        <w:t xml:space="preserve">27</w:t>
      </w:r>
      <w:r>
        <w:t xml:space="preserve">(1), 218–230.</w:t>
      </w:r>
      <w:r>
        <w:t xml:space="preserve"> </w:t>
      </w:r>
      <w:hyperlink r:id="rId76">
        <w:r>
          <w:rPr>
            <w:rStyle w:val="Hyperlink"/>
          </w:rPr>
          <w:t xml:space="preserve">https://doi.org/10.1016/j.ibusrev.2017.07.003</w:t>
        </w:r>
      </w:hyperlink>
      <w:r>
        <w:t xml:space="preserve"> </w:t>
      </w:r>
      <w:r>
        <w:t xml:space="preserve">Lakens,</w:t>
      </w:r>
      <w:r>
        <w:t xml:space="preserve"> </w:t>
      </w:r>
      <w:r>
        <w:t xml:space="preserve">D., Scheel, A. M., &amp; Isager, P. M. (2018). Equivalence testing for</w:t>
      </w:r>
      <w:r>
        <w:t xml:space="preserve"> </w:t>
      </w:r>
      <w:r>
        <w:t xml:space="preserve">psychological research: A tutorial.</w:t>
      </w:r>
      <w:r>
        <w:t xml:space="preserve"> </w:t>
      </w:r>
      <w:r>
        <w:rPr>
          <w:iCs/>
          <w:i/>
        </w:rPr>
        <w:t xml:space="preserve">Advances in Methods and Practices</w:t>
      </w:r>
      <w:r>
        <w:rPr>
          <w:iCs/>
          <w:i/>
        </w:rPr>
        <w:t xml:space="preserve"> </w:t>
      </w:r>
      <w:r>
        <w:rPr>
          <w:iCs/>
          <w:i/>
        </w:rPr>
        <w:t xml:space="preserve">in Psychological Science, 1</w:t>
      </w:r>
      <w:r>
        <w:t xml:space="preserve">(2), 259–269.</w:t>
      </w:r>
      <w:r>
        <w:t xml:space="preserve"> </w:t>
      </w:r>
      <w:hyperlink r:id="rId77">
        <w:r>
          <w:rPr>
            <w:rStyle w:val="Hyperlink"/>
          </w:rPr>
          <w:t xml:space="preserve">https://doi.org/10.1177/2515245918770963</w:t>
        </w:r>
      </w:hyperlink>
      <w:r>
        <w:t xml:space="preserve"> </w:t>
      </w:r>
      <w:r>
        <w:t xml:space="preserve">Lall, S. (1992).</w:t>
      </w:r>
      <w:r>
        <w:t xml:space="preserve"> </w:t>
      </w:r>
      <w:r>
        <w:t xml:space="preserve">Technological capabilities and industrialization.</w:t>
      </w:r>
      <w:r>
        <w:t xml:space="preserve"> </w:t>
      </w:r>
      <w:r>
        <w:rPr>
          <w:iCs/>
          <w:i/>
        </w:rPr>
        <w:t xml:space="preserve">World Development,</w:t>
      </w:r>
      <w:r>
        <w:rPr>
          <w:iCs/>
          <w:i/>
        </w:rPr>
        <w:t xml:space="preserve"> </w:t>
      </w:r>
      <w:r>
        <w:rPr>
          <w:iCs/>
          <w:i/>
        </w:rPr>
        <w:t xml:space="preserve">20</w:t>
      </w:r>
      <w:r>
        <w:t xml:space="preserve">(2), 165–186.</w:t>
      </w:r>
      <w:r>
        <w:t xml:space="preserve"> </w:t>
      </w:r>
      <w:hyperlink r:id="rId78">
        <w:r>
          <w:rPr>
            <w:rStyle w:val="Hyperlink"/>
          </w:rPr>
          <w:t xml:space="preserve">https://doi.org/10.1016/0305-750X(92)90097-F</w:t>
        </w:r>
      </w:hyperlink>
      <w:r>
        <w:t xml:space="preserve"> </w:t>
      </w:r>
      <w:r>
        <w:t xml:space="preserve">Lind, J.</w:t>
      </w:r>
      <w:r>
        <w:t xml:space="preserve"> </w:t>
      </w:r>
      <w:r>
        <w:t xml:space="preserve">T., &amp; Mehlum, H. (2010). With or without U? The appropriate test for a</w:t>
      </w:r>
      <w:r>
        <w:t xml:space="preserve"> </w:t>
      </w:r>
      <w:r>
        <w:t xml:space="preserve">U-shaped relationship.</w:t>
      </w:r>
      <w:r>
        <w:t xml:space="preserve"> </w:t>
      </w:r>
      <w:r>
        <w:rPr>
          <w:iCs/>
          <w:i/>
        </w:rPr>
        <w:t xml:space="preserve">Oxford Bulletin of Economics and Statistics,</w:t>
      </w:r>
      <w:r>
        <w:rPr>
          <w:iCs/>
          <w:i/>
        </w:rPr>
        <w:t xml:space="preserve"> </w:t>
      </w:r>
      <w:r>
        <w:rPr>
          <w:iCs/>
          <w:i/>
        </w:rPr>
        <w:t xml:space="preserve">72</w:t>
      </w:r>
      <w:r>
        <w:t xml:space="preserve">(1), 109–118.</w:t>
      </w:r>
      <w:r>
        <w:t xml:space="preserve"> </w:t>
      </w:r>
      <w:hyperlink r:id="rId79">
        <w:r>
          <w:rPr>
            <w:rStyle w:val="Hyperlink"/>
          </w:rPr>
          <w:t xml:space="preserve">https://doi.org/10.1111/j.1468-0084.2009.00569.x</w:t>
        </w:r>
      </w:hyperlink>
      <w:r>
        <w:t xml:space="preserve"> </w:t>
      </w:r>
      <w:r>
        <w:t xml:space="preserve">Lu,</w:t>
      </w:r>
      <w:r>
        <w:t xml:space="preserve"> </w:t>
      </w:r>
      <w:r>
        <w:t xml:space="preserve">J. W., &amp; Beamish, P. W. (2004). International diversification and firm</w:t>
      </w:r>
      <w:r>
        <w:t xml:space="preserve"> </w:t>
      </w:r>
      <w:r>
        <w:t xml:space="preserve">performance: The S-curve hypothesis.</w:t>
      </w:r>
      <w:r>
        <w:t xml:space="preserve"> </w:t>
      </w:r>
      <w:r>
        <w:rPr>
          <w:iCs/>
          <w:i/>
        </w:rPr>
        <w:t xml:space="preserve">Academy of Management Journal,</w:t>
      </w:r>
      <w:r>
        <w:rPr>
          <w:iCs/>
          <w:i/>
        </w:rPr>
        <w:t xml:space="preserve"> </w:t>
      </w:r>
      <w:r>
        <w:rPr>
          <w:iCs/>
          <w:i/>
        </w:rPr>
        <w:t xml:space="preserve">47</w:t>
      </w:r>
      <w:r>
        <w:t xml:space="preserve">(4), 598–609.</w:t>
      </w:r>
      <w:r>
        <w:t xml:space="preserve"> </w:t>
      </w:r>
      <w:hyperlink r:id="rId80">
        <w:r>
          <w:rPr>
            <w:rStyle w:val="Hyperlink"/>
          </w:rPr>
          <w:t xml:space="preserve">https://doi.org/10.5465/20159604</w:t>
        </w:r>
      </w:hyperlink>
      <w:r>
        <w:t xml:space="preserve"> </w:t>
      </w:r>
      <w:r>
        <w:t xml:space="preserve">MacKinnon, J. G., &amp;</w:t>
      </w:r>
      <w:r>
        <w:t xml:space="preserve"> </w:t>
      </w:r>
      <w:r>
        <w:t xml:space="preserve">White, H. (1985). Some heteroskedasticity-consistent covariance matrix</w:t>
      </w:r>
      <w:r>
        <w:t xml:space="preserve"> </w:t>
      </w:r>
      <w:r>
        <w:t xml:space="preserve">estimators with improved finite sample properties.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Econometrics, 29</w:t>
      </w:r>
      <w:r>
        <w:t xml:space="preserve">(3), 305–325.</w:t>
      </w:r>
      <w:r>
        <w:t xml:space="preserve"> </w:t>
      </w:r>
      <w:hyperlink r:id="rId81">
        <w:r>
          <w:rPr>
            <w:rStyle w:val="Hyperlink"/>
          </w:rPr>
          <w:t xml:space="preserve">https://doi.org/10.1016/0304-4076(85)90158-7</w:t>
        </w:r>
      </w:hyperlink>
      <w:r>
        <w:t xml:space="preserve"> </w:t>
      </w:r>
      <w:r>
        <w:t xml:space="preserve">Marano, V., Arregle,</w:t>
      </w:r>
      <w:r>
        <w:t xml:space="preserve"> </w:t>
      </w:r>
      <w:r>
        <w:t xml:space="preserve">J.-L., Hitt, M. A., Spadafora, E., &amp; van Essen, M. (2016). Home country</w:t>
      </w:r>
      <w:r>
        <w:t xml:space="preserve"> </w:t>
      </w:r>
      <w:r>
        <w:t xml:space="preserve">institutions and the internationalization-performance relationship: A</w:t>
      </w:r>
      <w:r>
        <w:t xml:space="preserve"> </w:t>
      </w:r>
      <w:r>
        <w:t xml:space="preserve">meta-analytic review.</w:t>
      </w:r>
      <w:r>
        <w:t xml:space="preserve"> </w:t>
      </w:r>
      <w:r>
        <w:rPr>
          <w:iCs/>
          <w:i/>
        </w:rPr>
        <w:t xml:space="preserve">Journal of Management, 42</w:t>
      </w:r>
      <w:r>
        <w:t xml:space="preserve">(5), 1075–1110.</w:t>
      </w:r>
      <w:r>
        <w:t xml:space="preserve"> </w:t>
      </w:r>
      <w:hyperlink r:id="rId82">
        <w:r>
          <w:rPr>
            <w:rStyle w:val="Hyperlink"/>
          </w:rPr>
          <w:t xml:space="preserve">https://doi.org/10.1177/0149206315624963</w:t>
        </w:r>
      </w:hyperlink>
      <w:r>
        <w:t xml:space="preserve"> </w:t>
      </w:r>
      <w:r>
        <w:t xml:space="preserve">Meyer, K. E., van</w:t>
      </w:r>
      <w:r>
        <w:t xml:space="preserve"> </w:t>
      </w:r>
      <w:r>
        <w:t xml:space="preserve">Witteloostuijn, A., &amp; Beugelsdijk, S. (2017). What’s in a p? Reassessing</w:t>
      </w:r>
      <w:r>
        <w:t xml:space="preserve"> </w:t>
      </w:r>
      <w:r>
        <w:t xml:space="preserve">best practices for conducting and reporting hypothesis-testing research.</w:t>
      </w:r>
      <w:r>
        <w:t xml:space="preserve"> </w:t>
      </w:r>
      <w:r>
        <w:rPr>
          <w:iCs/>
          <w:i/>
        </w:rPr>
        <w:t xml:space="preserve">Journal of International Business Studies, 48</w:t>
      </w:r>
      <w:r>
        <w:t xml:space="preserve">(5), 535–551.</w:t>
      </w:r>
      <w:r>
        <w:t xml:space="preserve"> </w:t>
      </w:r>
      <w:hyperlink r:id="rId83">
        <w:r>
          <w:rPr>
            <w:rStyle w:val="Hyperlink"/>
          </w:rPr>
          <w:t xml:space="preserve">https://doi.org/10.1057/s41267-017-0078-8</w:t>
        </w:r>
      </w:hyperlink>
      <w:r>
        <w:t xml:space="preserve"> </w:t>
      </w:r>
      <w:r>
        <w:t xml:space="preserve">O’Brien, R. M. (2007). A</w:t>
      </w:r>
      <w:r>
        <w:t xml:space="preserve"> </w:t>
      </w:r>
      <w:r>
        <w:t xml:space="preserve">caution regarding rules of thumb for variance inflation factors.</w:t>
      </w:r>
      <w:r>
        <w:t xml:space="preserve"> </w:t>
      </w:r>
      <w:r>
        <w:rPr>
          <w:iCs/>
          <w:i/>
        </w:rPr>
        <w:t xml:space="preserve">Quality &amp; Quantity, 41</w:t>
      </w:r>
      <w:r>
        <w:t xml:space="preserve">(5), 673–690.</w:t>
      </w:r>
      <w:r>
        <w:t xml:space="preserve"> </w:t>
      </w:r>
      <w:hyperlink r:id="rId84">
        <w:r>
          <w:rPr>
            <w:rStyle w:val="Hyperlink"/>
          </w:rPr>
          <w:t xml:space="preserve">https://doi.org/10.1007/s11135-006-9018-6</w:t>
        </w:r>
      </w:hyperlink>
      <w:r>
        <w:t xml:space="preserve"> </w:t>
      </w:r>
      <w:r>
        <w:t xml:space="preserve">Peng, M. W. (2003).</w:t>
      </w:r>
      <w:r>
        <w:t xml:space="preserve"> </w:t>
      </w:r>
      <w:r>
        <w:t xml:space="preserve">Institutional transitions and strategic choices.</w:t>
      </w:r>
      <w:r>
        <w:t xml:space="preserve"> </w:t>
      </w:r>
      <w:r>
        <w:rPr>
          <w:iCs/>
          <w:i/>
        </w:rPr>
        <w:t xml:space="preserve">Academy of Management</w:t>
      </w:r>
      <w:r>
        <w:rPr>
          <w:iCs/>
          <w:i/>
        </w:rPr>
        <w:t xml:space="preserve"> </w:t>
      </w:r>
      <w:r>
        <w:rPr>
          <w:iCs/>
          <w:i/>
        </w:rPr>
        <w:t xml:space="preserve">Review, 28</w:t>
      </w:r>
      <w:r>
        <w:t xml:space="preserve">(2), 275–296.</w:t>
      </w:r>
      <w:r>
        <w:t xml:space="preserve"> </w:t>
      </w:r>
      <w:hyperlink r:id="rId85">
        <w:r>
          <w:rPr>
            <w:rStyle w:val="Hyperlink"/>
          </w:rPr>
          <w:t xml:space="preserve">https://doi.org/10.5465/amr.2003.9416341</w:t>
        </w:r>
      </w:hyperlink>
      <w:r>
        <w:t xml:space="preserve"> </w:t>
      </w:r>
      <w:r>
        <w:t xml:space="preserve">Peng, M. W., Wang, D. Y. L., &amp; Jiang, Y. (2008). An institution-based</w:t>
      </w:r>
      <w:r>
        <w:t xml:space="preserve"> </w:t>
      </w:r>
      <w:r>
        <w:t xml:space="preserve">view of international business strategy: A focus on emerging economies.</w:t>
      </w:r>
      <w:r>
        <w:t xml:space="preserve"> </w:t>
      </w:r>
      <w:r>
        <w:rPr>
          <w:iCs/>
          <w:i/>
        </w:rPr>
        <w:t xml:space="preserve">Journal of International Business Studies, 39</w:t>
      </w:r>
      <w:r>
        <w:t xml:space="preserve">(5), 920–936.</w:t>
      </w:r>
      <w:r>
        <w:t xml:space="preserve"> </w:t>
      </w:r>
      <w:hyperlink r:id="rId86">
        <w:r>
          <w:rPr>
            <w:rStyle w:val="Hyperlink"/>
          </w:rPr>
          <w:t xml:space="preserve">https://doi.org/10.1057/palgrave.jibs.8400377</w:t>
        </w:r>
      </w:hyperlink>
      <w:r>
        <w:t xml:space="preserve"> </w:t>
      </w:r>
      <w:r>
        <w:t xml:space="preserve">Rugman, A. M., &amp;</w:t>
      </w:r>
      <w:r>
        <w:t xml:space="preserve"> </w:t>
      </w:r>
      <w:r>
        <w:t xml:space="preserve">Verbeke, A. (2004). A perspective on regional and global strategies of</w:t>
      </w:r>
      <w:r>
        <w:t xml:space="preserve"> </w:t>
      </w:r>
      <w:r>
        <w:t xml:space="preserve">multinational enterprises.</w:t>
      </w:r>
      <w:r>
        <w:t xml:space="preserve"> </w:t>
      </w:r>
      <w:r>
        <w:rPr>
          <w:iCs/>
          <w:i/>
        </w:rPr>
        <w:t xml:space="preserve">Journal of International Business Studies,</w:t>
      </w:r>
      <w:r>
        <w:rPr>
          <w:iCs/>
          <w:i/>
        </w:rPr>
        <w:t xml:space="preserve"> </w:t>
      </w:r>
      <w:r>
        <w:rPr>
          <w:iCs/>
          <w:i/>
        </w:rPr>
        <w:t xml:space="preserve">35</w:t>
      </w:r>
      <w:r>
        <w:t xml:space="preserve">(1), 3–18.</w:t>
      </w:r>
      <w:r>
        <w:t xml:space="preserve"> </w:t>
      </w:r>
      <w:hyperlink r:id="rId87">
        <w:r>
          <w:rPr>
            <w:rStyle w:val="Hyperlink"/>
          </w:rPr>
          <w:t xml:space="preserve">https://doi.org/10.1057/palgrave.jibs.8400073</w:t>
        </w:r>
      </w:hyperlink>
      <w:r>
        <w:t xml:space="preserve"> </w:t>
      </w:r>
      <w:r>
        <w:t xml:space="preserve">Shaver, J.</w:t>
      </w:r>
      <w:r>
        <w:t xml:space="preserve"> </w:t>
      </w:r>
      <w:r>
        <w:t xml:space="preserve">M. (2020). Causal identification through a cumulative body of research</w:t>
      </w:r>
      <w:r>
        <w:t xml:space="preserve"> </w:t>
      </w:r>
      <w:r>
        <w:t xml:space="preserve">in the study of strategy and organizations.</w:t>
      </w:r>
      <w:r>
        <w:t xml:space="preserve"> </w:t>
      </w:r>
      <w:r>
        <w:rPr>
          <w:iCs/>
          <w:i/>
        </w:rPr>
        <w:t xml:space="preserve">Journal of Management,</w:t>
      </w:r>
      <w:r>
        <w:rPr>
          <w:iCs/>
          <w:i/>
        </w:rPr>
        <w:t xml:space="preserve"> </w:t>
      </w:r>
      <w:r>
        <w:rPr>
          <w:iCs/>
          <w:i/>
        </w:rPr>
        <w:t xml:space="preserve">46</w:t>
      </w:r>
      <w:r>
        <w:t xml:space="preserve">(6), 1244–1256.</w:t>
      </w:r>
      <w:r>
        <w:t xml:space="preserve"> </w:t>
      </w:r>
      <w:hyperlink r:id="rId88">
        <w:r>
          <w:rPr>
            <w:rStyle w:val="Hyperlink"/>
          </w:rPr>
          <w:t xml:space="preserve">https://doi.org/10.1177/0149206319846272</w:t>
        </w:r>
      </w:hyperlink>
      <w:r>
        <w:t xml:space="preserve"> </w:t>
      </w:r>
      <w:r>
        <w:t xml:space="preserve">Stallkamp,</w:t>
      </w:r>
      <w:r>
        <w:t xml:space="preserve"> </w:t>
      </w:r>
      <w:r>
        <w:t xml:space="preserve">M., &amp; Schotter, A. P. J. (2021). Platforms without borders? The</w:t>
      </w:r>
      <w:r>
        <w:t xml:space="preserve"> </w:t>
      </w:r>
      <w:r>
        <w:t xml:space="preserve">international strategies of digital platform firms.</w:t>
      </w:r>
      <w:r>
        <w:t xml:space="preserve"> </w:t>
      </w:r>
      <w:r>
        <w:rPr>
          <w:iCs/>
          <w:i/>
        </w:rPr>
        <w:t xml:space="preserve">Global Strategy</w:t>
      </w:r>
      <w:r>
        <w:rPr>
          <w:iCs/>
          <w:i/>
        </w:rPr>
        <w:t xml:space="preserve"> </w:t>
      </w:r>
      <w:r>
        <w:rPr>
          <w:iCs/>
          <w:i/>
        </w:rPr>
        <w:t xml:space="preserve">Journal, 11</w:t>
      </w:r>
      <w:r>
        <w:t xml:space="preserve">(1), 58–80.</w:t>
      </w:r>
      <w:r>
        <w:t xml:space="preserve"> </w:t>
      </w:r>
      <w:hyperlink r:id="rId89">
        <w:r>
          <w:rPr>
            <w:rStyle w:val="Hyperlink"/>
          </w:rPr>
          <w:t xml:space="preserve">https://doi.org/10.1002/gsj.1336</w:t>
        </w:r>
      </w:hyperlink>
      <w:r>
        <w:t xml:space="preserve"> </w:t>
      </w:r>
      <w:r>
        <w:t xml:space="preserve">Verhoef, P.</w:t>
      </w:r>
      <w:r>
        <w:t xml:space="preserve"> </w:t>
      </w:r>
      <w:r>
        <w:t xml:space="preserve">C., Broekhuizen, T., Bart, Y., Bhattacharya, A., Dong, J. Q., Fabian,</w:t>
      </w:r>
      <w:r>
        <w:t xml:space="preserve"> </w:t>
      </w:r>
      <w:r>
        <w:t xml:space="preserve">N., &amp; Haenlein, M. (2021). Digital transformation: A multidisciplinary</w:t>
      </w:r>
      <w:r>
        <w:t xml:space="preserve"> </w:t>
      </w:r>
      <w:r>
        <w:t xml:space="preserve">reflection and research agenda.</w:t>
      </w:r>
      <w:r>
        <w:t xml:space="preserve"> </w:t>
      </w:r>
      <w:r>
        <w:rPr>
          <w:iCs/>
          <w:i/>
        </w:rPr>
        <w:t xml:space="preserve">Journal of Business Research, 122</w:t>
      </w:r>
      <w:r>
        <w:t xml:space="preserve">,</w:t>
      </w:r>
      <w:r>
        <w:t xml:space="preserve"> </w:t>
      </w:r>
      <w:r>
        <w:t xml:space="preserve">889–901.</w:t>
      </w:r>
      <w:r>
        <w:t xml:space="preserve"> </w:t>
      </w:r>
      <w:hyperlink r:id="rId90">
        <w:r>
          <w:rPr>
            <w:rStyle w:val="Hyperlink"/>
          </w:rPr>
          <w:t xml:space="preserve">https://doi.org/10.1016/j.jbusres.2019.09.022</w:t>
        </w:r>
      </w:hyperlink>
      <w:r>
        <w:t xml:space="preserve"> </w:t>
      </w:r>
      <w:r>
        <w:t xml:space="preserve">Wolfolds, S.</w:t>
      </w:r>
      <w:r>
        <w:t xml:space="preserve"> </w:t>
      </w:r>
      <w:r>
        <w:t xml:space="preserve">E., &amp; Siegel, J. (2019). Misaccounting for endogeneity: The peril of</w:t>
      </w:r>
      <w:r>
        <w:t xml:space="preserve"> </w:t>
      </w:r>
      <w:r>
        <w:t xml:space="preserve">relying on the Heckman two-step method without a valid instrument.</w:t>
      </w:r>
      <w:r>
        <w:t xml:space="preserve"> </w:t>
      </w:r>
      <w:r>
        <w:rPr>
          <w:iCs/>
          <w:i/>
        </w:rPr>
        <w:t xml:space="preserve">Strategic Management Journal, 40</w:t>
      </w:r>
      <w:r>
        <w:t xml:space="preserve">(3), 432–462.</w:t>
      </w:r>
      <w:r>
        <w:t xml:space="preserve"> </w:t>
      </w:r>
      <w:hyperlink r:id="rId91">
        <w:r>
          <w:rPr>
            <w:rStyle w:val="Hyperlink"/>
          </w:rPr>
          <w:t xml:space="preserve">https://doi.org/10.1002/smj.2995</w:t>
        </w:r>
      </w:hyperlink>
    </w:p>
    <w:p>
      <w:pPr>
        <w:pStyle w:val="BodyText"/>
      </w:pPr>
      <w:r>
        <w:rPr>
          <w:iCs/>
          <w:i/>
        </w:rPr>
        <w:t xml:space="preserve">Additional contextual sources (cited in §1.1 and §5.1)</w:t>
      </w:r>
    </w:p>
    <w:p>
      <w:pPr>
        <w:pStyle w:val="BodyText"/>
      </w:pPr>
      <w:r>
        <w:t xml:space="preserve">Enterprise Singapore. (2025, November).</w:t>
      </w:r>
      <w:r>
        <w:t xml:space="preserve"> </w:t>
      </w:r>
      <w:r>
        <w:rPr>
          <w:iCs/>
          <w:i/>
        </w:rPr>
        <w:t xml:space="preserve">SWITCH 2025 concludes 10th</w:t>
      </w:r>
      <w:r>
        <w:rPr>
          <w:iCs/>
          <w:i/>
        </w:rPr>
        <w:t xml:space="preserve"> </w:t>
      </w:r>
      <w:r>
        <w:rPr>
          <w:iCs/>
          <w:i/>
        </w:rPr>
        <w:t xml:space="preserve">anniversary milestone with record 25,000 attendees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Enterprise Singapore.</w:t>
      </w:r>
      <w:r>
        <w:t xml:space="preserve"> </w:t>
      </w:r>
      <w:hyperlink r:id="rId92">
        <w:r>
          <w:rPr>
            <w:rStyle w:val="Hyperlink"/>
          </w:rPr>
          <w:t xml:space="preserve">https://www.enterprisesg.gov.sg/resources/media-centre/media-releases/2025/november/mr05225_switch-2025-concludes-10th-anniversary-milestone-with-record-25000-attendees-strengthens-position-as-premiere-platform-for-deep-tech-innovation</w:t>
        </w:r>
      </w:hyperlink>
    </w:p>
    <w:p>
      <w:pPr>
        <w:pStyle w:val="BodyText"/>
      </w:pPr>
      <w:r>
        <w:t xml:space="preserve">GovTech Singapore. (2024).</w:t>
      </w:r>
      <w:r>
        <w:t xml:space="preserve"> </w:t>
      </w:r>
      <w:r>
        <w:rPr>
          <w:iCs/>
          <w:i/>
        </w:rPr>
        <w:t xml:space="preserve">Our digital government rankings</w:t>
      </w:r>
      <w:r>
        <w:t xml:space="preserve">. Government</w:t>
      </w:r>
      <w:r>
        <w:t xml:space="preserve"> </w:t>
      </w:r>
      <w:r>
        <w:t xml:space="preserve">Technology Agency of Singapore.</w:t>
      </w:r>
      <w:r>
        <w:t xml:space="preserve"> </w:t>
      </w:r>
      <w:hyperlink r:id="rId93">
        <w:r>
          <w:rPr>
            <w:rStyle w:val="Hyperlink"/>
          </w:rPr>
          <w:t xml:space="preserve">https://www.tech.gov.sg/about-us/our-achievements/our-digital-government-rankings/</w:t>
        </w:r>
      </w:hyperlink>
    </w:p>
    <w:p>
      <w:pPr>
        <w:pStyle w:val="BodyText"/>
      </w:pPr>
      <w:r>
        <w:t xml:space="preserve">IMDA. (2025).</w:t>
      </w:r>
      <w:r>
        <w:t xml:space="preserve"> </w:t>
      </w:r>
      <w:r>
        <w:rPr>
          <w:iCs/>
          <w:i/>
        </w:rPr>
        <w:t xml:space="preserve">Asia Tech x Singapore turns five</w:t>
      </w:r>
      <w:r>
        <w:t xml:space="preserve"> </w:t>
      </w:r>
      <w:r>
        <w:t xml:space="preserve">[Press release].</w:t>
      </w:r>
      <w:r>
        <w:t xml:space="preserve"> </w:t>
      </w:r>
      <w:r>
        <w:t xml:space="preserve">Infocomm Media Development Authority.</w:t>
      </w:r>
      <w:r>
        <w:t xml:space="preserve"> </w:t>
      </w:r>
      <w:hyperlink r:id="rId94">
        <w:r>
          <w:rPr>
            <w:rStyle w:val="Hyperlink"/>
          </w:rPr>
          <w:t xml:space="preserve">https://www.imda.gov.sg/resources/press-releases-factsheets-and-speeches/press-releases/2025/asia-tech-x-singapore-turns-five</w:t>
        </w:r>
      </w:hyperlink>
    </w:p>
    <w:p>
      <w:pPr>
        <w:pStyle w:val="BodyText"/>
      </w:pPr>
      <w:r>
        <w:t xml:space="preserve">StartupBlink. (2025).</w:t>
      </w:r>
      <w:r>
        <w:t xml:space="preserve"> </w:t>
      </w:r>
      <w:r>
        <w:rPr>
          <w:iCs/>
          <w:i/>
        </w:rPr>
        <w:t xml:space="preserve">Global Startup Ecosystem Index 2025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5">
        <w:r>
          <w:rPr>
            <w:rStyle w:val="Hyperlink"/>
          </w:rPr>
          <w:t xml:space="preserve">https://www.startupblink.com/startup-ecosystem/singapore</w:t>
        </w:r>
      </w:hyperlink>
    </w:p>
    <w:p>
      <w:pPr>
        <w:pStyle w:val="BodyText"/>
      </w:pPr>
      <w:r>
        <w:t xml:space="preserve">StartupBlink. (2026).</w:t>
      </w:r>
      <w:r>
        <w:t xml:space="preserve"> </w:t>
      </w:r>
      <w:r>
        <w:rPr>
          <w:iCs/>
          <w:i/>
        </w:rPr>
        <w:t xml:space="preserve">Innovators Business Environment Index 2026</w:t>
      </w:r>
      <w:r>
        <w:t xml:space="preserve">.</w:t>
      </w:r>
      <w:r>
        <w:t xml:space="preserve"> </w:t>
      </w:r>
      <w:r>
        <w:t xml:space="preserve">StartupBlink Research.</w:t>
      </w:r>
      <w:r>
        <w:t xml:space="preserve"> </w:t>
      </w:r>
      <w:hyperlink r:id="rId96">
        <w:r>
          <w:rPr>
            <w:rStyle w:val="Hyperlink"/>
          </w:rPr>
          <w:t xml:space="preserve">https://www.startupblink.com/blog/innovators-business-environment-index/</w:t>
        </w:r>
      </w:hyperlink>
      <w:r>
        <w:t xml:space="preserve"> </w:t>
      </w:r>
      <w:r>
        <w:t xml:space="preserve">World Bank. (2024).</w:t>
      </w:r>
      <w:r>
        <w:t xml:space="preserve"> </w:t>
      </w:r>
      <w:r>
        <w:rPr>
          <w:iCs/>
          <w:i/>
        </w:rPr>
        <w:t xml:space="preserve">World Bank Enterprise Survey: Singapore 2023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https://www.enterprisesurveys.org</w:t>
        </w:r>
      </w:hyperlink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://www.enterprisesurveys.org" TargetMode="External" /><Relationship Type="http://schemas.openxmlformats.org/officeDocument/2006/relationships/hyperlink" Id="rId89" Target="https://doi.org/10.1002/gsj.1336" TargetMode="External" /><Relationship Type="http://schemas.openxmlformats.org/officeDocument/2006/relationships/hyperlink" Id="rId73" Target="https://doi.org/10.1002/smj.2399" TargetMode="External" /><Relationship Type="http://schemas.openxmlformats.org/officeDocument/2006/relationships/hyperlink" Id="rId91" Target="https://doi.org/10.1002/smj.2995" TargetMode="External" /><Relationship Type="http://schemas.openxmlformats.org/officeDocument/2006/relationships/hyperlink" Id="rId84" Target="https://doi.org/10.1007/s11135-006-9018-6" TargetMode="External" /><Relationship Type="http://schemas.openxmlformats.org/officeDocument/2006/relationships/hyperlink" Id="rId71" Target="https://doi.org/10.1007/s11575-007-0024-2" TargetMode="External" /><Relationship Type="http://schemas.openxmlformats.org/officeDocument/2006/relationships/hyperlink" Id="rId81" Target="https://doi.org/10.1016/0304-4076(85)90158-7" TargetMode="External" /><Relationship Type="http://schemas.openxmlformats.org/officeDocument/2006/relationships/hyperlink" Id="rId78" Target="https://doi.org/10.1016/0305-750X(92)90097-F" TargetMode="External" /><Relationship Type="http://schemas.openxmlformats.org/officeDocument/2006/relationships/hyperlink" Id="rId76" Target="https://doi.org/10.1016/j.ibusrev.2017.07.003" TargetMode="External" /><Relationship Type="http://schemas.openxmlformats.org/officeDocument/2006/relationships/hyperlink" Id="rId70" Target="https://doi.org/10.1016/j.jbusres.2008.01.013" TargetMode="External" /><Relationship Type="http://schemas.openxmlformats.org/officeDocument/2006/relationships/hyperlink" Id="rId90" Target="https://doi.org/10.1016/j.jbusres.2019.09.022" TargetMode="External" /><Relationship Type="http://schemas.openxmlformats.org/officeDocument/2006/relationships/hyperlink" Id="rId63" Target="https://doi.org/10.1016/j.leaqua.2010.10.010" TargetMode="External" /><Relationship Type="http://schemas.openxmlformats.org/officeDocument/2006/relationships/hyperlink" Id="rId62" Target="https://doi.org/10.1037/0021-9010.90.1.94" TargetMode="External" /><Relationship Type="http://schemas.openxmlformats.org/officeDocument/2006/relationships/hyperlink" Id="rId72" Target="https://doi.org/10.1057/palgrave.jibs.8400003" TargetMode="External" /><Relationship Type="http://schemas.openxmlformats.org/officeDocument/2006/relationships/hyperlink" Id="rId87" Target="https://doi.org/10.1057/palgrave.jibs.8400073" TargetMode="External" /><Relationship Type="http://schemas.openxmlformats.org/officeDocument/2006/relationships/hyperlink" Id="rId86" Target="https://doi.org/10.1057/palgrave.jibs.8400377" TargetMode="External" /><Relationship Type="http://schemas.openxmlformats.org/officeDocument/2006/relationships/hyperlink" Id="rId83" Target="https://doi.org/10.1057/s41267-017-0078-8" TargetMode="External" /><Relationship Type="http://schemas.openxmlformats.org/officeDocument/2006/relationships/hyperlink" Id="rId65" Target="https://doi.org/10.1057/s41267-019-00243-7" TargetMode="External" /><Relationship Type="http://schemas.openxmlformats.org/officeDocument/2006/relationships/hyperlink" Id="rId64" Target="https://doi.org/10.1057/s41287-020-00328-2" TargetMode="External" /><Relationship Type="http://schemas.openxmlformats.org/officeDocument/2006/relationships/hyperlink" Id="rId79" Target="https://doi.org/10.1111/j.1468-0084.2009.00569.x" TargetMode="External" /><Relationship Type="http://schemas.openxmlformats.org/officeDocument/2006/relationships/hyperlink" Id="rId82" Target="https://doi.org/10.1177/0149206315624963" TargetMode="External" /><Relationship Type="http://schemas.openxmlformats.org/officeDocument/2006/relationships/hyperlink" Id="rId88" Target="https://doi.org/10.1177/0149206319846272" TargetMode="External" /><Relationship Type="http://schemas.openxmlformats.org/officeDocument/2006/relationships/hyperlink" Id="rId66" Target="https://doi.org/10.1177/014920639101700108" TargetMode="External" /><Relationship Type="http://schemas.openxmlformats.org/officeDocument/2006/relationships/hyperlink" Id="rId77" Target="https://doi.org/10.1177/2515245918770963" TargetMode="External" /><Relationship Type="http://schemas.openxmlformats.org/officeDocument/2006/relationships/hyperlink" Id="rId68" Target="https://doi.org/10.1257/mac.20180386" TargetMode="External" /><Relationship Type="http://schemas.openxmlformats.org/officeDocument/2006/relationships/hyperlink" Id="rId69" Target="https://doi.org/10.2307/2393553" TargetMode="External" /><Relationship Type="http://schemas.openxmlformats.org/officeDocument/2006/relationships/hyperlink" Id="rId67" Target="https://doi.org/10.25300/MISQ/2013/37:2.3" TargetMode="External" /><Relationship Type="http://schemas.openxmlformats.org/officeDocument/2006/relationships/hyperlink" Id="rId80" Target="https://doi.org/10.5465/20159604" TargetMode="External" /><Relationship Type="http://schemas.openxmlformats.org/officeDocument/2006/relationships/hyperlink" Id="rId75" Target="https://doi.org/10.5465/256948" TargetMode="External" /><Relationship Type="http://schemas.openxmlformats.org/officeDocument/2006/relationships/hyperlink" Id="rId74" Target="https://doi.org/10.5465/amr.1984.4277628" TargetMode="External" /><Relationship Type="http://schemas.openxmlformats.org/officeDocument/2006/relationships/hyperlink" Id="rId85" Target="https://doi.org/10.5465/amr.2003.9416341" TargetMode="External" /><Relationship Type="http://schemas.openxmlformats.org/officeDocument/2006/relationships/hyperlink" Id="rId92" Target="https://www.enterprisesg.gov.sg/resources/media-centre/media-releases/2025/november/mr05225_switch-2025-concludes-10th-anniversary-milestone-with-record-25000-attendees-strengthens-position-as-premiere-platform-for-deep-tech-innovation" TargetMode="External" /><Relationship Type="http://schemas.openxmlformats.org/officeDocument/2006/relationships/hyperlink" Id="rId60" Target="https://www.enterprisesurveys.org" TargetMode="External" /><Relationship Type="http://schemas.openxmlformats.org/officeDocument/2006/relationships/hyperlink" Id="rId94" Target="https://www.imda.gov.sg/resources/press-releases-factsheets-and-speeches/press-releases/2025/asia-tech-x-singapore-turns-five" TargetMode="External" /><Relationship Type="http://schemas.openxmlformats.org/officeDocument/2006/relationships/hyperlink" Id="rId96" Target="https://www.startupblink.com/blog/innovators-business-environment-index/" TargetMode="External" /><Relationship Type="http://schemas.openxmlformats.org/officeDocument/2006/relationships/hyperlink" Id="rId95" Target="https://www.startupblink.com/startup-ecosystem/singapore" TargetMode="External" /><Relationship Type="http://schemas.openxmlformats.org/officeDocument/2006/relationships/hyperlink" Id="rId93" Target="https://www.tech.gov.sg/about-us/our-achievements/our-digital-government-rankin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2026-06-10T04:03:45Z</dcterms:created>
  <dcterms:modified xsi:type="dcterms:W3CDTF">2026-06-10T04:03:45Z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