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120"/>
      </w:pPr>
      <w:r>
        <w:rPr>
          <w:b/>
          <w:sz w:val="28"/>
        </w:rPr>
        <w:t xml:space="preserve">BỘ GIÁO DỤC VÀ ĐÀO TẠO</w:t>
      </w:r>
    </w:p>
    <w:p>
      <w:pPr>
        <w:jc w:val="center"/>
        <w:spacing w:after="120"/>
      </w:pPr>
      <w:r>
        <w:rPr>
          <w:b/>
          <w:sz w:val="28"/>
        </w:rPr>
        <w:t xml:space="preserve">TRƯỜNG ĐẠI HỌC CẦN THƠ</w:t>
      </w:r>
    </w:p>
    <w:p>
      <w:pPr>
        <w:jc w:val="center"/>
        <w:spacing w:after="120"/>
      </w:pPr>
      <w:r>
        <w:rPr>
          <w:b/>
          <w:sz w:val="28"/>
        </w:rPr>
        <w:t xml:space="preserve">TRƯỜNG KINH TẾ</w:t>
      </w:r>
    </w:p>
    <w:p>
      <w:pPr>
        <w:jc w:val="center"/>
      </w:pPr>
      <w:r>
        <w:t> </w:t>
      </w:r>
    </w:p>
    <w:p>
      <w:pPr>
        <w:jc w:val="center"/>
      </w:pPr>
      <w:r>
        <w:t> </w:t>
      </w:r>
    </w:p>
    <w:p>
      <w:pPr>
        <w:jc w:val="center"/>
        <w:spacing w:after="120"/>
      </w:pPr>
      <w:r>
        <w:rPr>
          <w:b/>
          <w:sz w:val="28"/>
        </w:rPr>
        <w:t xml:space="preserve">ĐỖ THÙY HƯƠNG</w:t>
      </w:r>
    </w:p>
    <w:p>
      <w:pPr>
        <w:jc w:val="center"/>
        <w:spacing w:after="120"/>
      </w:pPr>
      <w:r>
        <w:rPr>
          <w:b/>
          <w:sz w:val="26"/>
        </w:rPr>
        <w:t xml:space="preserve">MÃ SỐ NGHIÊN CỨU SINH: P1323001</w:t>
      </w:r>
    </w:p>
    <w:p>
      <w:pPr>
        <w:jc w:val="center"/>
      </w:pPr>
      <w:r>
        <w:t> </w:t>
      </w:r>
    </w:p>
    <w:p>
      <w:pPr>
        <w:jc w:val="center"/>
        <w:spacing w:after="120"/>
      </w:pPr>
      <w:r>
        <w:rPr>
          <w:b/>
          <w:sz w:val="28"/>
        </w:rPr>
        <w:t xml:space="preserve">CHUYÊN ĐỀ TIẾN SĨ SỐ 2</w:t>
      </w:r>
    </w:p>
    <w:p>
      <w:pPr>
        <w:jc w:val="center"/>
      </w:pPr>
      <w:r>
        <w:t> </w:t>
      </w:r>
    </w:p>
    <w:p>
      <w:pPr>
        <w:jc w:val="center"/>
        <w:spacing w:after="120"/>
      </w:pPr>
      <w:r>
        <w:rPr>
          <w:b/>
          <w:sz w:val="34"/>
        </w:rPr>
        <w:t xml:space="preserve">XÂY DỰNG MÔ HÌNH NGHIÊN CỨU VỀ ẢNH HƯỞNG CỦA QUỐC TẾ HÓA ĐẾN HIỆU QUẢ HOẠT ĐỘNG KINH DOANH CỦA CÁC DOANH NGHIỆP Ở CHÂU Á</w:t>
      </w:r>
    </w:p>
    <w:p>
      <w:pPr>
        <w:jc w:val="center"/>
      </w:pPr>
      <w:r>
        <w:t> </w:t>
      </w:r>
    </w:p>
    <w:p>
      <w:pPr>
        <w:jc w:val="center"/>
      </w:pPr>
      <w:r>
        <w:t> </w:t>
      </w:r>
    </w:p>
    <w:p>
      <w:pPr>
        <w:jc w:val="center"/>
        <w:spacing w:after="120"/>
      </w:pPr>
      <w:r>
        <w:rPr>
          <w:b/>
          <w:sz w:val="28"/>
        </w:rPr>
        <w:t xml:space="preserve">NGÀNH QUẢN TRỊ KINH DOANH</w:t>
      </w:r>
    </w:p>
    <w:p>
      <w:pPr>
        <w:jc w:val="center"/>
        <w:spacing w:after="120"/>
      </w:pPr>
      <w:r>
        <w:rPr>
          <w:b/>
          <w:sz w:val="28"/>
        </w:rPr>
        <w:t xml:space="preserve">MÃ NGÀNH: 9340101</w:t>
      </w:r>
    </w:p>
    <w:p>
      <w:pPr>
        <w:jc w:val="center"/>
      </w:pPr>
      <w:r>
        <w:t> </w:t>
      </w:r>
    </w:p>
    <w:p>
      <w:pPr>
        <w:jc w:val="center"/>
        <w:spacing w:after="120"/>
      </w:pPr>
      <w:r>
        <w:rPr>
          <w:b/>
          <w:sz w:val="26"/>
        </w:rPr>
        <w:t xml:space="preserve">NGƯỜI HƯỚNG DẪN KHOA HỌC</w:t>
      </w:r>
    </w:p>
    <w:p>
      <w:pPr>
        <w:jc w:val="center"/>
        <w:spacing w:after="120"/>
      </w:pPr>
      <w:r>
        <w:rPr>
          <w:b/>
          <w:sz w:val="26"/>
        </w:rPr>
        <w:t xml:space="preserve">PGS.TS. PHAN ANH TÚ</w:t>
      </w:r>
    </w:p>
    <w:p>
      <w:pPr>
        <w:jc w:val="center"/>
      </w:pPr>
      <w:r>
        <w:t> </w:t>
      </w:r>
    </w:p>
    <w:p>
      <w:pPr>
        <w:jc w:val="center"/>
        <w:spacing w:after="120"/>
      </w:pPr>
      <w:r>
        <w:rPr>
          <w:b/>
          <w:sz w:val="28"/>
        </w:rPr>
        <w:t xml:space="preserve">CẦN THƠ, NĂM 2026</w:t>
      </w:r>
    </w:p>
    <w:p>
      <w:r>
        <w:br w:type="page"/>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lý thuyết dựa trên nguồn lực (Barney, 1991; Wernerfelt, 1984), lý thuyết thể chế (North, 1990; Khanna &amp; Palepu, 2010; Peng, 2003) và lý thuyết thượng tầng quản trị (Hambrick &amp; Mason, 1984; Hambrick, 2007), kết hợp với Khung chấp nhận số nền tảng (Banalieva &amp; Dhanaraj, 2019; Verhoef et al., 2021; Stallkamp &amp; Schotter, 2021) làm nền tảng lý thuyết. Lược khảo năm dạng hàm quan hệ quốc tế hóa, hiệu quả (I–P) gồm tuyến tính, chữ U ngược, chữ S (S-curve), chữ M (M-curve), và gánh nặng bắt buộc (forced penalty), cùng năm phân tích tổng hợp lớn giai đoạn 1980–2024, cho thấy khoảng trống thực nghiệm trong việc kiểm định đồng thời phi tuyến và điều tiết đa tầng ở châu Á. Hệ giả thuyết H1–H6 được phát triển: H1 phi tuyến dạng chữ U ngược hoặc chữ S; H2 chỉ số năng lực công nghệ (TCI) điều tiết tích cực; H3a–H3b chỉ số chấp nhận số (DAI) điều tiết phụ thuộc chế độ thể chế: có điều kiện ở Emerging/Frontier (H3a, dương trong OLS nhưng phụ thuộc bối cảnh và có thể null trong kiểm định nhân quả) và có điều kiện/null ở Advanced (H3b), phân biệt với TCI; H4a–H4c đặc điểm nhà quản trị điều tiết (kinh nghiệm, học vấn, giới tính, tách biệt dấu kỳ vọng); H5 thể chế nội địa điều tiết theo phổ thể chế ICRV sáu nhóm; H6 tính không đồng nhất theo thời gian. Tám mô hình thực nghiệm M0–M7 được thiết lập, từ cơ sở tuyến tính đến mô hình điều tiết ba chiều cấp luận án. Chiến lược nhận dạng đa tầng và kế hoạch kiểm định độ vững toàn diện được thiết kế cho mẫu gộp 88.869 doanh nghiệp ở 50 nền kinh tế (gồm Nhật Bản) châu Á và Thái Bình Dương, bao gồm 103 cặp quốc gia-năm qua 14 mốc khảo sát WBES giai đoạn 2009–2025 (hồi quy chính M2 N=81.022, M5 N=79.080). Bốn đóng góp chính: (i) khung tích hợp 4 tầng kết hợp Khung chấp nhận số nền tảng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P3 Việt Nam (mục tiêu JED), P4 Singapore (mục tiêu MIR), P5 Trung Quốc (mục tiêu IJOEM),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lý thuyết thượng tầng quản trị;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(P3 IV: β = 0.018, p = .942), conditional or null for Advanced (H3b), and distinguishable from TCI; H4a–H4c top manager characteristics moderating (experience, education, and gender with distinct directional expectations); H5 home-country institutions moderating along the ICRV six-regime institutional spectrum; H6 temporal heterogeneity. Eight empirical models M0–M7 are specified, from linear baseline to three-way moderation. A multi-level identification strategy and comprehensive robustness plan are designed for a pool of 88,869 firms across 50 Asian and Pacific economies (including Japan; 96,415 ICRV-classified across 52 source economies), spanning 103 country-year pairs across 14 WBES survey waves (2009–2025; main regressions M2 N=81,022, M5 N=79,080). The four main contributions are: (i) an integrated 4-tier framework combined with the Foundational Digital Adoption Framework with no equivalent for Asia; (ii) the separation of TCI and DAI within the Country–Digital–Capability Moderation (CDCM); (iii) the M7 three-way moderation model; (iv) sub-grouping of the Advanced regime into innovation-driven (ICRV Group I) and resource-driven (ICRV Group II) types. Three companion empirical papers, P3 Vietnam (target JED), P4 Singapore (target MIR), P5 China (target IJOEM),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quốc tế hóa và hiệu quả,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mẫu gộp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50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3"/>
    <w:bookmarkStart w:id="24"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4"/>
    <w:bookmarkStart w:id="25"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Country–Digital–Capability Moderation,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 và 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5"/>
    <w:bookmarkStart w:id="90" w:name="phần-2-nội-dung-chuyên-đề"/>
    <w:p>
      <w:pPr>
        <w:pStyle w:val="Heading2"/>
      </w:pPr>
      <w:r>
        <w:t xml:space="preserve">Phần 2: NỘI DUNG CHUYÊN ĐỀ</w:t>
      </w:r>
    </w:p>
    <w:bookmarkStart w:id="31" w:name="đặt-vấn-đề"/>
    <w:p>
      <w:pPr>
        <w:pStyle w:val="Heading3"/>
      </w:pPr>
      <w:r>
        <w:t xml:space="preserve">2.1 Đặt vấn đề</w:t>
      </w:r>
    </w:p>
    <w:bookmarkStart w:id="26" w:name="giới-thiệu"/>
    <w:p>
      <w:pPr>
        <w:pStyle w:val="Heading4"/>
      </w:pPr>
      <w:r>
        <w:t xml:space="preserve">2.1.1 Giới thiệu</w:t>
      </w:r>
    </w:p>
    <w:p>
      <w:pPr>
        <w:pStyle w:val="FirstParagraph"/>
      </w:pPr>
      <w:r>
        <w:t xml:space="preserve">Quốc tế hóa là chiến lược phát triển quan trọng của doanh nghiệp trong hơn nửa thế kỷ qua, nhưng kết quả mà nó đem lại không đồng nhất. Nền tảng lý thuyết của dòng nghiên cứu này bắt nguồn từ các công trình kinh điển về doanh nghiệp đa quốc gia và đầu tư trực tiếp nước ngoài: lý thuyết vòng đời sản phẩm (Vernon, 1966), lý thuyết lợi thế độc quyền của doanh nghiệp (Hymer, 1976; Caves, 1971), và lý thuyết nội bộ hóa chi phí giao dịch (Buckley &amp; Casson, 1976), về sau được tổng hợp trong khung chiết trung OLI (Dunning, 1988). Trên nền đó, tài liệu kinh doanh quốc tế (IB) đã ghi nhận năm dạng hàm khác nhau trong quan hệ giữa cường độ quốc tế hóa và hiệu quả hoạt động kinh doanh của doanh nghiệp: tuyến tính (Hsu &amp; Boggs, 2003), chữ U ngược (Gomes &amp; Ramaswamy, 1999; Hitt, Hoskisson &amp; Kim, 1997), chữ S (S-curve; Lu &amp; Beamish, 2004; Contractor, Kundu &amp; Hsu, 2003; Ruigrok &amp; Wagner, 2003), chữ M (M-curve; Riahi-Belkaoui, 1998), và gánh nặng bắt buộc (forced penalty; Glaum &amp; Oesterle, 2007). Sự đa dạng này phản ánh tính phụ thuộc ngữ cảnh của hiệu ứng quốc tế hóa: cùng một mức cường độ xuất khẩu có thể tạo ra lợi ích hoặc gánh nặng tùy theo năng lực doanh nghiệp, thể chế quốc gia, và giai đoạn phát triển số (Bausch &amp; Krist, 2007; Kirca et al., 2012; Marano et al., 2016; Wu, Wood &amp; Khan, 2022). Thực vậy, các nghiên cứu gần đây sử dụng chiến lược nhận diện chặt chẽ hơn cho thấy dạng chữ U ngược có thể suy yếu hoặc biến mất trong các mẫu gộp xuyên quốc gia (Pisani, Garcia-Bernardo &amp; Heemskerk, 2020), càng củng cố lập luận rằng chính dị biệt bối cảnh chi phối kết quả quốc tế hóa và hiệu quả.</w:t>
      </w:r>
    </w:p>
    <w:p>
      <w:pPr>
        <w:pStyle w:val="BodyText"/>
      </w:pPr>
      <w:r>
        <w:t xml:space="preserve">Châu Á trong giai đoạn 2009–2025 là phòng thí nghiệm tự nhiên độc đáo cho nghiên cứu quan hệ quốc tế hóa và hiệu quả. Khu vực này tồn tại đồng thời ít nhất sáu chế độ thể chế khác nhau theo khung phân loại ICRV: nhóm tiên tiến đổi mới sáng tạo dẫn dắt (ICRV Nhóm I) gồm Singapore, Hong Kong SAR, Hàn Quốc, Đài Loan, Israel; nhóm tiên tiến tài nguyên dẫn dắt (ICRV Nhóm II) gồm Saudi Arabia, Qatar, Kuwait, Bahrain, Brunei, Oman; nhóm trung bình cao (ICRV Nhóm III) gồm Trung Quốc, Malaysia, Thái Lan, Kazakhstan, Armenia, Georgia; nhóm chuyển đổi thu nhập trung bình–thấp (ICRV Nhóm IV,</w:t>
      </w:r>
      <w:r>
        <w:t xml:space="preserve"> </w:t>
      </w:r>
      <w:r>
        <w:rPr>
          <w:rStyle w:val="VerbatimChar"/>
        </w:rPr>
        <w:t xml:space="preserve">Lower_mid_transition</w:t>
      </w:r>
      <w:r>
        <w:t xml:space="preserve">) gồm Việt Nam, Ấn Độ, Indonesia, Philippines, Mông Cổ, Bangladesh, Pakistan; nhóm đang nổi (ICRV Nhóm V,</w:t>
      </w:r>
      <w:r>
        <w:t xml:space="preserve"> </w:t>
      </w:r>
      <w:r>
        <w:rPr>
          <w:rStyle w:val="VerbatimChar"/>
        </w:rPr>
        <w:t xml:space="preserve">Emerging</w:t>
      </w:r>
      <w:r>
        <w:t xml:space="preserve">) gồm 17 nền kinh tế (gồm Sri Lanka, Jordan); và nhóm quốc đảo nhỏ (ICRV Nhóm VI,</w:t>
      </w:r>
      <w:r>
        <w:t xml:space="preserve"> </w:t>
      </w:r>
      <w:r>
        <w:rPr>
          <w:rStyle w:val="VerbatimChar"/>
        </w:rPr>
        <w:t xml:space="preserve">SIDS_small</w:t>
      </w:r>
      <w:r>
        <w:t xml:space="preserve">) gồm 8 nền (7 Pacific + Timor-Leste). Tổng cộng 50 nền kinh tế (gồm Nhật Bản) châu Á–Thái Bình Dương tạo thành 103 cặp quốc gia-năm qua 14 mốc khảo sát.</w:t>
      </w:r>
    </w:p>
    <w:p>
      <w:pPr>
        <w:pStyle w:val="BodyText"/>
      </w:pPr>
      <w:r>
        <w:t xml:space="preserve">Đồng thời, châu Á đang trải qua chuyển đổi số chưa từng có trong giai đoạn 2018–2025. Sự bùng nổ của hạ tầng số và trí tuệ nhân tạo từ năm 2023 đã tái định hình cơ chế qua đó năng lực số tác động lên quốc tế hóa và hiệu quả (Bharadwaj et al., 2013; Banalieva &amp; Dhanaraj, 2019; Verhoef et al., 2021; Yang, Zhao &amp; Wei, 2025).</w:t>
      </w:r>
    </w:p>
    <w:p>
      <w:pPr>
        <w:pStyle w:val="BodyText"/>
      </w:pPr>
      <w:r>
        <w:t xml:space="preserve">Khung lý thuyết hiện hành về quan hệ quốc tế hóa và hiệu quả còn phân tán. Các tổng quan lớn thường tập trung vào một hoặc hai khía cạnh mà ít có khung tích hợp đa tầng cho phép giải thích đầy đủ tính không đồng nhất quan sát được ở châu Á. Đặc biệt, khung áp dụng số nền tảng (Foundational Digital Adoption Framework) chỉ mới được đề xuất gần đây và chưa được tích hợp đầy đủ với bốn tầng lý thuyết kinh điển.</w:t>
      </w:r>
    </w:p>
    <w:p>
      <w:pPr>
        <w:pStyle w:val="BodyText"/>
      </w:pPr>
      <w:r>
        <w:t xml:space="preserve">Kết quả phân tích mô tả trong Chuyên đề Tiến sĩ số 1 đã cung cấp bức tranh thực trạng đa chiều dựa trên 88.869 doanh nghiệp WBES xuyên 50 nền kinh tế (gồm Nhật Bản), làm rõ ba khuôn mẫu then chốt: phân tán năng suất tăng đơn điệu theo chế độ từ Nhóm I đến Nhóm VI; tính không đồng nhất nội bộ trong nhóm Advanced; và khuôn mẫu adaptation đặc trưng của các quốc đảo nhỏ Thái Bình Dương. Đồng thời, phân tích đó phát hiện CDCM, Mô hình Áp dụng số và Năng lực phụ thuộc bối cảnh: tác động của DAI lên hiệu quả phụ thuộc vào chế độ thể chế, giai đoạn quốc tế hóa, và mức độ bão hòa số của nền kinh tế. Chuyên đề 2 này tiếp nối bằng cách xây dựng mô hình lý thuyết và thực nghiệm để giải thích cơ chế đằng sau các khuôn mẫu đó.</w:t>
      </w:r>
    </w:p>
    <w:p>
      <w:pPr>
        <w:pStyle w:val="BodyText"/>
      </w:pPr>
      <w:r>
        <w:t xml:space="preserve">Bốn bản thảo thực nghiệm đồng hành cung cấp bằng chứng quốc gia cụ thể kiểm định khả năng của khung đề xuất. P2 Trung Quốc SMEs (Đỗ &amp; Phan, 2026c, JFAR đã công bố) phân tích 4.290 quan sát doanh nghiệp và năm thuộc các doanh nghiệp nhỏ và vừa Trung Quốc và tìm thấy dạng chữ U ngược bậc hai với điểm uốn tối ưu 47,8% FSTS, cung cấp tiền thân thực nghiệm cho H1 và cơ sở để so sánh với P5. P3 Việt Nam (Đỗ &amp; Phan, 2026a, mục tiêu JED)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mục tiêu MIR) phân tích 623 doanh nghiệp WBES 2023, cho thấy điểm uốn hàm ý ở FSTS khoảng 88,6% và DAI hoạt động như nguồn lực mở rộng tình huống với hệ số DAI×FSTS² = +3,119 (p = 0,005). P5 Trung Quốc (Đỗ &amp; Phan, 2026b, mục tiêu IJOEM) phân tích 4.544 doanh nghiệp WBES hai sóng (2012, 2024) xác nhận chữ U ngược bền vững cấu trúc với điểm uốn 49,4% (2012) và 47,2% (2024); kết quả này nhất quán với bằng chứng trước đó về quan hệ quốc tế hóa và hiệu quả và hiệu ứng vùng miền ở doanh nghiệp Trung Quốc (Chen &amp; Tan, 2012; Xiao et al., 2013).</w:t>
      </w:r>
    </w:p>
    <w:bookmarkEnd w:id="26"/>
    <w:bookmarkStart w:id="27"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88.869 doanh nghiệp xuyên 50 nền kinh tế (gồm Nhật Bản)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quốc tế hóa và hiệu quả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Mô hình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7"/>
    <w:bookmarkStart w:id="28"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quốc tế hóa và hiệu quả? Có phân biệt được giữa TCI và DAI theo CDCM hay không?</w:t>
      </w:r>
    </w:p>
    <w:p>
      <w:pPr>
        <w:pStyle w:val="BodyText"/>
      </w:pPr>
      <w:r>
        <w:t xml:space="preserve">Câu hỏi 3 (Q3): Tác động quốc tế hóa và hiệu quả và cơ chế điều tiết có thay đổi theo thời gian không, đặc biệt giữa giai đoạn 2009–2012 và 2018–2025?</w:t>
      </w:r>
    </w:p>
    <w:bookmarkEnd w:id="28"/>
    <w:bookmarkStart w:id="29"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50 nền kinh tế (gồm Nhật Bản) phân theo sáu nhóm ICRV (6+6+6+7+17+8).</w:t>
      </w:r>
    </w:p>
    <w:p>
      <w:pPr>
        <w:pStyle w:val="BodyText"/>
      </w:pPr>
      <w:r>
        <w:t xml:space="preserve">Phạm vi thời gian: 2009–2026 (kèm đợt khảo sát Oman 2026 trong bộ dữ liệu hợp nhất), bao trùm ba thế hệ lược đồ WBES, tạo thành 103 cặp nền kinh tế–năm trên khung phân tích 50 nền (gồm Nhật Bản).</w:t>
      </w:r>
    </w:p>
    <w:p>
      <w:pPr>
        <w:pStyle w:val="BodyText"/>
      </w:pPr>
      <w:r>
        <w:t xml:space="preserve">Phạm vi nội dung: mô hình hóa quan hệ quốc tế hóa và hiệu quả và bốn cơ chế điều tiết cộng với tính không đồng nhất theo thời gian. Chuyên đề không trình bày kết quả thực nghiệm từ toàn bộ mẫu gộp, đó là nhiệm vụ của các bài báo tiếp theo trong chuỗi luận án. Chuyên đề này tập trung xây dựng và thiết lập mô hình.</w:t>
      </w:r>
    </w:p>
    <w:bookmarkEnd w:id="29"/>
    <w:bookmarkStart w:id="30" w:name="ý-nghĩa"/>
    <w:p>
      <w:pPr>
        <w:pStyle w:val="Heading4"/>
      </w:pPr>
      <w:r>
        <w:t xml:space="preserve">2.1.5 Ý nghĩa</w:t>
      </w:r>
    </w:p>
    <w:p>
      <w:pPr>
        <w:pStyle w:val="FirstParagraph"/>
      </w:pPr>
      <w:r>
        <w:t xml:space="preserve">Về lý thuyết, chuyên đề đóng góp khung tích hợp 4 tầng kết hợp Khung chấp nhận số nền tảng, chưa có khung tương đương trong tài liệu IB cho khu vực 50 nền kinh tế (gồm Nhật Bản)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tài liệu châu Á kiểm định đồng thời phi tuyến quốc tế hóa và hiệu quả và điều tiết đa tầng trên mẫu gộp vi mô lớn nhất từ trước đến nay.</w:t>
      </w:r>
    </w:p>
    <w:p>
      <w:pPr>
        <w:pStyle w:val="BodyText"/>
      </w:pPr>
      <w:r>
        <w:t xml:space="preserve">Về thực tiễn, kết quả cung cấp hàm ý chính sách cho doanh nghiệp Việt Nam và châu Á mới nổi về cách tận dụng quốc tế hóa kết hợp năng lực công nghệ và số hóa, đặc biệt trong giai đoạn AI bùng nổ.</w:t>
      </w:r>
    </w:p>
    <w:p>
      <w:r>
        <w:pict>
          <v:rect style="width:0;height:1.5pt" o:hralign="center" o:hrstd="t" o:hr="t"/>
        </w:pict>
      </w:r>
    </w:p>
    <w:bookmarkEnd w:id="30"/>
    <w:bookmarkEnd w:id="31"/>
    <w:bookmarkStart w:id="32"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Thiết lập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sai số chuẩn vững (Long &amp; Ervin, 2000) làm chuẩn, hai chiều hiệu ứng cố định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2"/>
    <w:bookmarkStart w:id="85" w:name="kết-quả-và-thảo-luận"/>
    <w:p>
      <w:pPr>
        <w:pStyle w:val="Heading3"/>
      </w:pPr>
      <w:r>
        <w:t xml:space="preserve">2.3 Kết quả và thảo luận</w:t>
      </w:r>
    </w:p>
    <w:bookmarkStart w:id="36" w:name="X738edd18734ed39dd3ad1441b2baf3f5818c8a1"/>
    <w:p>
      <w:pPr>
        <w:pStyle w:val="Heading4"/>
      </w:pPr>
      <w:r>
        <w:t xml:space="preserve">2.3.1 Tổng quan tài liệu về quan hệ quốc tế hóa và hiệu quả kinh doanh</w:t>
      </w:r>
    </w:p>
    <w:bookmarkStart w:id="33" w:name="X164425e602d73f49b1675f9cb337c873d1b4113"/>
    <w:p>
      <w:pPr>
        <w:pStyle w:val="Heading5"/>
      </w:pPr>
      <w:r>
        <w:t xml:space="preserve">Năm dạng hàm của quan hệ quốc tế hóa và hiệu quả</w:t>
      </w:r>
    </w:p>
    <w:p>
      <w:pPr>
        <w:pStyle w:val="FirstParagraph"/>
      </w:pPr>
      <w:r>
        <w:t xml:space="preserve">Tài liệu IB đã ghi nhận không dưới năm dạng hàm khác nhau trong quan hệ giữa cường độ quốc tế hóa và hiệu quả hoạt động kinh doanh của doanh nghiệp. Sự đa dạng này không phải ngẫu nhiên mà phản ánh tính phụ thuộc ngữ cảnh của hiệu ứng quốc tế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đường cong chữ S ba giai đoạn (S-curve).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chữ S có hệ số β₁(FSTS) &gt; 0, β₂(FSTS²) &lt; 0, β₃(FSTS³) &gt; 0. Bằng chứng hỗ trợ mạnh từ các MNE lớn, nhưng kém ổn định hơn với doanh nghiệp vừa và nhỏ.</w:t>
      </w:r>
    </w:p>
    <w:p>
      <w:pPr>
        <w:pStyle w:val="BodyText"/>
      </w:pPr>
      <w:r>
        <w:t xml:space="preserve">Dạng hàm thứ tư, đường cong chữ M (M-curve). Riahi-Belkaoui (1998) đề xuất dạng chữ M với hai điểm uốn, phản ánh tính không đồng nhất trong lợi ích quốc tế hóa theo loại thị trường. Bằng chứng thực nghiệm hạn chế và khó tái lập.</w:t>
      </w:r>
    </w:p>
    <w:p>
      <w:pPr>
        <w:pStyle w:val="BodyText"/>
      </w:pPr>
      <w:r>
        <w:t xml:space="preserve">Dạng hàm thứ năm, gánh nặng bắt buộc (forced penalty). Glaum và Oesterle (2007) ghi nhận dạng hàm tuyến tính âm trong các nền kinh tế bắt buộc phải quốc tế hóa do thị trường nội địa quá nhỏ (Briguglio, 1995; Bertram, 2006). Đây là khuôn mẫu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là hàm lợi ích và C(·) là hàm chi phí. Sự khác biệt giữa các dạng hàm nằm ở hình dạng của B(·) và C(·) tùy theo ngữ cảnh thể chế, năng lực doanh nghiệp, và giai đoạn số hóa.</w:t>
      </w:r>
    </w:p>
    <w:p>
      <w:pPr>
        <w:pStyle w:val="BodyText"/>
      </w:pPr>
      <w:r>
        <w:t xml:space="preserve">Bảng 2.2. Năm dạng hàm quốc tế hóa và hiệu quả,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Chữ S ba giai đoạn (S-curve)</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Chữ M (M-curve)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3"/>
    <w:bookmarkStart w:id="34" w:name="năm-tổng-quan-định-lượng-lớn-19802024"/>
    <w:p>
      <w:pPr>
        <w:pStyle w:val="Heading5"/>
      </w:pPr>
      <w:r>
        <w:t xml:space="preserve">Năm tổng quan định lượng lớn (1980–2024)</w:t>
      </w:r>
    </w:p>
    <w:p>
      <w:pPr>
        <w:pStyle w:val="FirstParagraph"/>
      </w:pPr>
      <w:r>
        <w:t xml:space="preserve">Năm tổng quan định lượng lớn cung cấp toàn cảnh về quan hệ quốc tế hóa và hiệu quả.</w:t>
      </w:r>
    </w:p>
    <w:p>
      <w:pPr>
        <w:pStyle w:val="BodyText"/>
      </w:pPr>
      <w:r>
        <w:t xml:space="preserve">Bausch và Krist (2007) phân tích 36 nghiên cứu (41 mẫu, 1980–2005) và tìm thấy hiệu ứng trung bình dương nhỏ, nhưng với biến động cao (SD = 0,21), cho thấy các biến điều tiết quan trọng hơn hiệu ứng trung bình. Phương pháp: hồi quy phân tích tổng hợp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8/36 nghiên cứu), không kiểm định phi tuyến có hệ thống.</w:t>
      </w:r>
    </w:p>
    <w:p>
      <w:pPr>
        <w:pStyle w:val="BodyText"/>
      </w:pPr>
      <w:r>
        <w:t xml:space="preserve">Kirca và cộng sự (2012) tổng hợp 152 mẫu độc lập từ 141 nghiên cứu,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359 nghiên cứu với cách tiếp cận tập trung vào thể chế. Phát hiện chính: chất lượng thể chế quốc gia xuất xứ có thể dịch chuyển điểm uốn ±15% FSTS, đây là nền tảng quan trọng nhất ủng hộ phổ thể chế ICRV trong H5. Hạn chế: không phân tách TCI và DAI; không có dữ liệu sau 2015; không bao gồm quốc đảo nhỏ. Bổ sung cho Marano, Beugelsdijk và cộng sự (2018) tổng hợp bằng chứng về khoảng cách văn hóa trong quá trình quốc tế hóa và cho thấy hệ quả của quốc tế hóa phụ thuộc một cách hệ thống vào khoảng cách văn hóa và thể chế giữa thị trường nguồn và đích; phát hiện này bổ trợ cho phổ thể chế ICRV của CĐ2 ở chỗ khoảng cách và chất lượng thể chế là hai chiều bối cảnh khác nhau cùng định hình quan hệ, không trùng lặp.</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quốc tế hóa và hiệu quả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mẫu gộp 88.869 doanh nghiệp (50 nền, gồm Nhật Bản)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Một phần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Một phần</w:t>
            </w:r>
          </w:p>
        </w:tc>
        <w:tc>
          <w:tcPr/>
          <w:p>
            <w:pPr>
              <w:pStyle w:val="Compact"/>
              <w:jc w:val="left"/>
            </w:pPr>
            <w:r>
              <w:t xml:space="preserve">Không</w:t>
            </w:r>
          </w:p>
        </w:tc>
        <w:tc>
          <w:tcPr/>
          <w:p>
            <w:pPr>
              <w:pStyle w:val="Compact"/>
              <w:jc w:val="left"/>
            </w:pPr>
            <w:r>
              <w:t xml:space="preserve">Một phần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Một phần</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Một phần</w:t>
            </w:r>
          </w:p>
        </w:tc>
        <w:tc>
          <w:tcPr/>
          <w:p>
            <w:pPr>
              <w:pStyle w:val="Compact"/>
              <w:jc w:val="left"/>
            </w:pPr>
            <w:r>
              <w:t xml:space="preserve">Một phần</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Một phần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(2026c, JFAR)</w:t>
            </w:r>
          </w:p>
        </w:tc>
        <w:tc>
          <w:tcPr/>
          <w:p>
            <w:pPr>
              <w:pStyle w:val="Compact"/>
              <w:jc w:val="left"/>
            </w:pPr>
            <w:r>
              <w:t xml:space="preserve">Có (chữ U ngược bậc hai)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chữ S)</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Có (H4a–H4c)</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I–VI)</w:t>
            </w:r>
          </w:p>
        </w:tc>
        <w:tc>
          <w:tcPr/>
          <w:p>
            <w:pPr>
              <w:pStyle w:val="Compact"/>
              <w:jc w:val="left"/>
            </w:pPr>
            <w:r>
              <w:rPr>
                <w:bCs/>
                <w:b/>
              </w:rPr>
              <w:t xml:space="preserve">Có (Nhóm VI FIP)</w:t>
            </w:r>
          </w:p>
        </w:tc>
      </w:tr>
    </w:tbl>
    <w:p>
      <w:pPr>
        <w:pStyle w:val="BodyText"/>
      </w:pPr>
      <w:r>
        <w:rPr>
          <w:iCs/>
          <w:i/>
        </w:rPr>
        <w:t xml:space="preserve">Ghi chú:</w:t>
      </w:r>
      <w:r>
        <w:rPr>
          <w:iCs/>
          <w:i/>
        </w:rPr>
        <w:t xml:space="preserve"> </w:t>
      </w:r>
      <w:r>
        <w:rPr>
          <w:iCs/>
          <w:i/>
        </w:rPr>
        <w:t xml:space="preserve">“</w:t>
      </w:r>
      <w:r>
        <w:rPr>
          <w:iCs/>
          <w:i/>
        </w:rPr>
        <w:t xml:space="preserve">Có</w:t>
      </w:r>
      <w:r>
        <w:rPr>
          <w:iCs/>
          <w:i/>
        </w:rPr>
        <w:t xml:space="preserve">”</w:t>
      </w:r>
      <w:r>
        <w:rPr>
          <w:iCs/>
          <w:i/>
        </w:rPr>
        <w:t xml:space="preserve"> </w:t>
      </w:r>
      <w:r>
        <w:rPr>
          <w:iCs/>
          <w:i/>
        </w:rPr>
        <w:t xml:space="preserve">= kiểm định chính thức hoặc đóng góp lý thuyết rõ ràng; Một phần = đề cập nhưng không phải trọng tâm; Không = không bao gồm; – = không áp dụng. FIP = Forced Internationalization Penalty. TCI và DAI được phân tách theo tiêu chí CDCM; P2 JFAR không kiểm định CDCM (pre-framework) nhưng cung cấp bằng chứng phi tuyến cubic tiền thân.</w:t>
      </w:r>
    </w:p>
    <w:bookmarkEnd w:id="34"/>
    <w:bookmarkStart w:id="35" w:name="Xc1ee8ae98659a4ba0165f9ba23dbc70e097d79e"/>
    <w:p>
      <w:pPr>
        <w:pStyle w:val="Heading5"/>
      </w:pPr>
      <w:r>
        <w:t xml:space="preserve">Bằng chứng châu Á từ ba bản thảo đồng hành</w:t>
      </w:r>
    </w:p>
    <w:p>
      <w:pPr>
        <w:pStyle w:val="FirstParagraph"/>
      </w:pPr>
      <w:r>
        <w:t xml:space="preserve">P3 Việt Nam (Đỗ &amp; Phan, 2026a, mục tiêu JED):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(nhất quán với mô hình chọn lọc năng suất xuất khẩu của Melitz, 2003);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thiết lập mô hình P3: P3 Vietnam sử dụng chuỗi M0–M8 riêng, trong đó M8 là mô hình đầy đủ:</w:t>
      </w:r>
      <w:r>
        <w:rPr>
          <w:iCs/>
          <w:i/>
        </w:rPr>
        <w:t xml:space="preserve"> </w:t>
      </w:r>
      <m:oMath>
        <m:r>
          <m:rPr>
            <m:sty m:val="p"/>
          </m:rPr>
          <m:t>ln</m:t>
        </m:r>
        <m:sSub>
          <m:e>
            <m:d>
              <m:dPr>
                <m:begChr m:val="("/>
                <m:endChr m:val=")"/>
                <m:sepChr m:val=""/>
                <m:grow/>
              </m:dPr>
              <m:e>
                <m:r>
                  <m:rPr>
                    <m:sty m:val="p"/>
                  </m:rPr>
                  <m:t>L</m:t>
                </m:r>
                <m:r>
                  <m:rPr>
                    <m:sty m:val="p"/>
                  </m:rPr>
                  <m:t>P</m:t>
                </m:r>
              </m:e>
            </m:d>
          </m:e>
          <m:sub>
            <m:r>
              <m:t>i</m:t>
            </m:r>
            <m:r>
              <m:t>t</m:t>
            </m:r>
          </m:sub>
        </m:sSub>
        <m:r>
          <m:rPr>
            <m:sty m:val="p"/>
          </m:rPr>
          <m:t>=</m:t>
        </m:r>
        <m:r>
          <m:t>α</m:t>
        </m:r>
        <m:r>
          <m:rPr>
            <m:sty m:val="p"/>
          </m:rPr>
          <m:t>+</m:t>
        </m:r>
        <m:sSub>
          <m:e>
            <m:r>
              <m:t>β</m:t>
            </m:r>
          </m:e>
          <m:sub>
            <m:r>
              <m:t>1</m:t>
            </m:r>
          </m:sub>
        </m:sSub>
        <m:sSub>
          <m:e>
            <m:r>
              <m:rPr>
                <m:sty m:val="p"/>
              </m:rPr>
              <m:t>F</m:t>
            </m:r>
            <m:r>
              <m:rPr>
                <m:sty m:val="p"/>
              </m:rPr>
              <m:t>S</m:t>
            </m:r>
            <m:r>
              <m:rPr>
                <m:sty m:val="p"/>
              </m:rPr>
              <m:t>T</m:t>
            </m:r>
            <m:r>
              <m:rPr>
                <m:sty m:val="p"/>
              </m:rPr>
              <m:t>S</m:t>
            </m:r>
          </m:e>
          <m:sub>
            <m:r>
              <m:t>c</m:t>
            </m:r>
          </m:sub>
        </m:sSub>
        <m:r>
          <m:rPr>
            <m:sty m:val="p"/>
          </m:rPr>
          <m:t>+</m:t>
        </m:r>
        <m:sSub>
          <m:e>
            <m:r>
              <m:t>β</m:t>
            </m:r>
          </m:e>
          <m:sub>
            <m:r>
              <m:t>2</m:t>
            </m:r>
          </m:sub>
        </m:sSub>
        <m:sSubSup>
          <m:e>
            <m:r>
              <m:rPr>
                <m:sty m:val="p"/>
              </m:rPr>
              <m:t>F</m:t>
            </m:r>
            <m:r>
              <m:rPr>
                <m:sty m:val="p"/>
              </m:rPr>
              <m:t>S</m:t>
            </m:r>
            <m:r>
              <m:rPr>
                <m:sty m:val="p"/>
              </m:rPr>
              <m:t>T</m:t>
            </m:r>
            <m:r>
              <m:rPr>
                <m:sty m:val="p"/>
              </m:rPr>
              <m:t>S</m:t>
            </m:r>
          </m:e>
          <m:sub>
            <m:r>
              <m:t>c</m:t>
            </m:r>
          </m:sub>
          <m:sup>
            <m:r>
              <m:t>2</m:t>
            </m:r>
          </m:sup>
        </m:sSubSup>
        <m:r>
          <m:rPr>
            <m:sty m:val="p"/>
          </m:rPr>
          <m:t>+</m:t>
        </m:r>
        <m:sSub>
          <m:e>
            <m:r>
              <m:t>β</m:t>
            </m:r>
          </m:e>
          <m:sub>
            <m:r>
              <m:t>3</m:t>
            </m:r>
          </m:sub>
        </m:sSub>
        <m:sSub>
          <m:e>
            <m:r>
              <m:rPr>
                <m:sty m:val="p"/>
              </m:rPr>
              <m:t>T</m:t>
            </m:r>
            <m:r>
              <m:rPr>
                <m:sty m:val="p"/>
              </m:rPr>
              <m:t>C</m:t>
            </m:r>
            <m:r>
              <m:rPr>
                <m:sty m:val="p"/>
              </m:rPr>
              <m:t>I</m:t>
            </m:r>
          </m:e>
          <m:sub>
            <m:r>
              <m:t>z</m:t>
            </m:r>
          </m:sub>
        </m:sSub>
        <m:r>
          <m:rPr>
            <m:sty m:val="p"/>
          </m:rPr>
          <m:t>+</m:t>
        </m:r>
        <m:sSub>
          <m:e>
            <m:r>
              <m:t>β</m:t>
            </m:r>
          </m:e>
          <m:sub>
            <m:r>
              <m:t>4</m:t>
            </m:r>
          </m:sub>
        </m:sSub>
        <m:sSub>
          <m:e>
            <m:r>
              <m:rPr>
                <m:sty m:val="p"/>
              </m:rPr>
              <m:t>D</m:t>
            </m:r>
            <m:r>
              <m:rPr>
                <m:sty m:val="p"/>
              </m:rPr>
              <m:t>A</m:t>
            </m:r>
            <m:r>
              <m:rPr>
                <m:sty m:val="p"/>
              </m:rPr>
              <m:t>I</m:t>
            </m:r>
          </m:e>
          <m:sub>
            <m:r>
              <m:t>z</m:t>
            </m:r>
          </m:sub>
        </m:sSub>
        <m:r>
          <m:rPr>
            <m:sty m:val="p"/>
          </m:rPr>
          <m:t>+</m:t>
        </m:r>
        <m:sSub>
          <m:e>
            <m:r>
              <m:t>β</m:t>
            </m:r>
          </m:e>
          <m:sub>
            <m:r>
              <m:t>5</m:t>
            </m:r>
          </m:sub>
        </m:sSub>
        <m:d>
          <m:dPr>
            <m:begChr m:val="("/>
            <m:endChr m:val=")"/>
            <m:sepChr m:val=""/>
            <m:grow/>
          </m:dPr>
          <m:e>
            <m:sSub>
              <m:e>
                <m:r>
                  <m:rPr>
                    <m:sty m:val="p"/>
                  </m:rPr>
                  <m:t>F</m:t>
                </m:r>
                <m:r>
                  <m:rPr>
                    <m:sty m:val="p"/>
                  </m:rPr>
                  <m:t>S</m:t>
                </m:r>
                <m:r>
                  <m:rPr>
                    <m:sty m:val="p"/>
                  </m:rPr>
                  <m:t>T</m:t>
                </m:r>
                <m:r>
                  <m:rPr>
                    <m:sty m:val="p"/>
                  </m:rPr>
                  <m:t>S</m:t>
                </m:r>
              </m:e>
              <m:sub>
                <m:r>
                  <m:t>c</m:t>
                </m:r>
              </m:sub>
            </m:sSub>
            <m:r>
              <m:rPr>
                <m:sty m:val="p"/>
              </m:rPr>
              <m:t>×</m:t>
            </m:r>
            <m:sSub>
              <m:e>
                <m:r>
                  <m:rPr>
                    <m:sty m:val="p"/>
                  </m:rPr>
                  <m:t>D</m:t>
                </m:r>
                <m:r>
                  <m:rPr>
                    <m:sty m:val="p"/>
                  </m:rPr>
                  <m:t>A</m:t>
                </m:r>
                <m:r>
                  <m:rPr>
                    <m:sty m:val="p"/>
                  </m:rPr>
                  <m:t>I</m:t>
                </m:r>
              </m:e>
              <m:sub>
                <m:r>
                  <m:t>z</m:t>
                </m:r>
              </m:sub>
            </m:sSub>
          </m:e>
        </m:d>
        <m:r>
          <m:rPr>
            <m:sty m:val="p"/>
          </m:rPr>
          <m:t>+</m:t>
        </m:r>
        <m:sSub>
          <m:e>
            <m:r>
              <m:t>β</m:t>
            </m:r>
          </m:e>
          <m:sub>
            <m:r>
              <m:t>6</m:t>
            </m:r>
          </m:sub>
        </m:sSub>
        <m:d>
          <m:dPr>
            <m:begChr m:val="("/>
            <m:endChr m:val=")"/>
            <m:sepChr m:val=""/>
            <m:grow/>
          </m:dPr>
          <m:e>
            <m:sSubSup>
              <m:e>
                <m:r>
                  <m:rPr>
                    <m:sty m:val="p"/>
                  </m:rPr>
                  <m:t>F</m:t>
                </m:r>
                <m:r>
                  <m:rPr>
                    <m:sty m:val="p"/>
                  </m:rPr>
                  <m:t>S</m:t>
                </m:r>
                <m:r>
                  <m:rPr>
                    <m:sty m:val="p"/>
                  </m:rPr>
                  <m:t>T</m:t>
                </m:r>
                <m:r>
                  <m:rPr>
                    <m:sty m:val="p"/>
                  </m:rPr>
                  <m:t>S</m:t>
                </m:r>
              </m:e>
              <m:sub>
                <m:r>
                  <m:t>c</m:t>
                </m:r>
              </m:sub>
              <m:sup>
                <m:r>
                  <m:t>2</m:t>
                </m:r>
              </m:sup>
            </m:sSubSup>
            <m:r>
              <m:rPr>
                <m:sty m:val="p"/>
              </m:rPr>
              <m:t>×</m:t>
            </m:r>
            <m:sSub>
              <m:e>
                <m:r>
                  <m:rPr>
                    <m:sty m:val="p"/>
                  </m:rPr>
                  <m:t>D</m:t>
                </m:r>
                <m:r>
                  <m:rPr>
                    <m:sty m:val="p"/>
                  </m:rPr>
                  <m:t>A</m:t>
                </m:r>
                <m:r>
                  <m:rPr>
                    <m:sty m:val="p"/>
                  </m:rPr>
                  <m:t>I</m:t>
                </m:r>
              </m:e>
              <m:sub>
                <m:r>
                  <m:t>z</m:t>
                </m:r>
              </m:sub>
            </m:sSub>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w:r>
        <w:rPr>
          <w:iCs/>
          <w:i/>
        </w:rPr>
        <w:t xml:space="preserve">. Mô hình đầy đủ M0–M8 và bảng định nghĩa biến được trình bày trong bản thảo P3 (Mục 3.2–Mục 3.3) và luận án (Mục 4.5.1). Chuỗi M0–M7 trong Chuyên đề 2 là các mô hình cấp độ mẫu gộp 50 nền kinh tế, khác với mô hình cấp độ quốc gia của P3.</w:t>
      </w:r>
    </w:p>
    <w:p>
      <w:pPr>
        <w:pStyle w:val="BodyText"/>
      </w:pPr>
      <w:r>
        <w:t xml:space="preserve">P4 Singapore (Mar, Đỗ &amp; Phan, 2026, mục tiêu MIR): Phân tích 623 doanh nghiệp WBES 2023. Trong nền kinh tế số bão hòa, đường cong quốc tế hóa và hiệu quả chủ yếu dương, điểm uốn hàm ý ở FSTS khoảng 88,6% (vùng thưa dữ liệu; kiểm định Lind–Mehlum p = 0,303). DAI×FSTS² =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2026b, mục tiêu IJOEM): Phân tích 4.544 doanh nghiệp WBES hai sóng (2012, 2024). Chữ U ngược bền vững cấu trúc, điểm uốn 49,4% (2012), 47,2% (2024), kiểm định Paternoster cho hệ số FSTS² không có sự khác biệt đáng kể (p = 0,545). TCI tăng cường theo thời gian (+0,260 sang +0,426, Paternoster p = 0,011).</w:t>
      </w:r>
    </w:p>
    <w:p>
      <w:pPr>
        <w:pStyle w:val="BodyText"/>
      </w:pPr>
      <w:r>
        <w:t xml:space="preserve">Bảng 2.3. So sánh bằng chứng bốn bản thảo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JED (mục tiêu)</w:t>
            </w:r>
          </w:p>
        </w:tc>
        <w:tc>
          <w:tcPr/>
          <w:p>
            <w:pPr>
              <w:pStyle w:val="Compact"/>
              <w:jc w:val="left"/>
            </w:pPr>
            <w:r>
              <w:t xml:space="preserve">MIR (mục tiêu)</w:t>
            </w:r>
          </w:p>
        </w:tc>
        <w:tc>
          <w:tcPr/>
          <w:p>
            <w:pPr>
              <w:pStyle w:val="Compact"/>
              <w:jc w:val="left"/>
            </w:pPr>
            <w:r>
              <w:t xml:space="preserve">IJOEM (mục tiêu)</w:t>
            </w:r>
          </w:p>
        </w:tc>
      </w:tr>
      <w:tr>
        <w:tc>
          <w:tcPr/>
          <w:p>
            <w:pPr>
              <w:pStyle w:val="Compact"/>
              <w:jc w:val="left"/>
            </w:pPr>
            <w:r>
              <w:t xml:space="preserve">Dạng I–P</w:t>
            </w:r>
          </w:p>
        </w:tc>
        <w:tc>
          <w:tcPr/>
          <w:p>
            <w:pPr>
              <w:pStyle w:val="Compact"/>
              <w:jc w:val="left"/>
            </w:pPr>
            <w:r>
              <w:rPr>
                <w:bCs/>
                <w:b/>
              </w:rPr>
              <w:t xml:space="preserve">Chữ U ngược bậc hai</w:t>
            </w:r>
            <w:r>
              <w:t xml:space="preserve"> </w:t>
            </w:r>
            <w:r>
              <w:t xml:space="preserve">(điểm uốn 47,8%)</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47,8% FSTS</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(Bậc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2026c, JFAR) là bản thảo tiền thân đã công bố, tìm thấy quan hệ chữ U ngược bậc hai (điểm uốn 47,8% FSTS, mẫu 4.290 quan sát doanh nghiệp–năm) trong nhóm doanh nghiệp nhỏ và vừa Trung Quốc, là bằng chứng nền tảng cho dạng phi tuyến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bậc hai là dạng hàm phổ biến nhất cho doanh nghiệp vừa và nhỏ châu Á với điểm uốn phụ thuộc vào ICRV.</w:t>
      </w:r>
    </w:p>
    <w:bookmarkEnd w:id="35"/>
    <w:bookmarkEnd w:id="36"/>
    <w:bookmarkStart w:id="43" w:name="khung-lý-thuyết-tích-hợp-4-tầng"/>
    <w:p>
      <w:pPr>
        <w:pStyle w:val="Heading4"/>
      </w:pPr>
      <w:r>
        <w:t xml:space="preserve">2.3.2 Khung lý thuyết tích hợp 4 tầng</w:t>
      </w:r>
    </w:p>
    <w:bookmarkStart w:id="37"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7"/>
    <w:bookmarkStart w:id="38" w:name="X2c85e26e6ba3228bf003793c40503d5a193d2b2"/>
    <w:p>
      <w:pPr>
        <w:pStyle w:val="Heading5"/>
      </w:pPr>
      <w:r>
        <w:t xml:space="preserve">Tầng 2: Lý thuyết doanh nghiệp dựa trên nguồn lực (RBV)</w:t>
      </w:r>
    </w:p>
    <w:p>
      <w:pPr>
        <w:pStyle w:val="FirstParagraph"/>
      </w:pPr>
      <w:r>
        <w:t xml:space="preserve">Lý thuyết dựa trên nguồn lực (Wernerfelt, 1984; Barney, 1991) cho rằng lợi thế cạnh tranh bền vững xuất phát từ nguồn lực có giá trị, hiếm, khó bắt chước, và không thay thế (VRIN). Doanh nghiệp khác nhau về hiệu quả vì sở hữu các bộ nguồn lực khác nhau. Các phát triển gần đây mở rộng lý thuyết dựa trên nguồn lực sang lợi thế cạnh tranh bền vững gắn với bối cảnh môi trường, xã hội và quản trị (Bhandari, Ranta &amp; Salo, 2023).</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Lý thuyết dựa trên nguồn lực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sang +0,426) ủng hộ TCI là nguồn lực VRIN bền vững.</w:t>
      </w:r>
    </w:p>
    <w:bookmarkEnd w:id="38"/>
    <w:bookmarkStart w:id="39"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phổ thể chế).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39"/>
    <w:bookmarkStart w:id="40" w:name="tầng-4-lý-thuyết-thượng-tầng-quản-trị"/>
    <w:p>
      <w:pPr>
        <w:pStyle w:val="Heading5"/>
      </w:pPr>
      <w:r>
        <w:t xml:space="preserve">Tầng 4: Lý thuyết thượng tầng quản trị</w:t>
      </w:r>
    </w:p>
    <w:p>
      <w:pPr>
        <w:pStyle w:val="FirstParagraph"/>
      </w:pPr>
      <w:r>
        <w:t xml:space="preserve">Hambrick và Mason (1984) đề xuất lý thuyết thượng tầng quản trị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Lý thuyết thượng tầng quản trị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0"/>
    <w:bookmarkStart w:id="41" w:name="khung-chấp-nhận-số-nền-tảng-và-cdcm"/>
    <w:p>
      <w:pPr>
        <w:pStyle w:val="Heading5"/>
      </w:pPr>
      <w:r>
        <w:t xml:space="preserve">Khung chấp nhận số nền tảng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(Bậc 3–4); và áp dụng số nền tảng (DAI) gồm sử dụng hạ tầng số cơ bản (website, e-commerce, e-payment), đo lường bằng Bậc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Bậc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DAI×FSTS² = +3,119, p = 0,005).</w:t>
      </w:r>
    </w:p>
    <w:p>
      <w:pPr>
        <w:pStyle w:val="BodyText"/>
      </w:pPr>
      <w:r>
        <w:t xml:space="preserve">Chiều thứ ba là mức độ bão hòa số: khi nền kinh tế đạt bão hòa Bậc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quốc tế hóa và hiệu quả trong giai đoạn 2018 trở đi, nhưng chỉ khi phân tách đúng cấp độ năng lực.</w:t>
      </w:r>
    </w:p>
    <w:bookmarkEnd w:id="41"/>
    <w:bookmarkStart w:id="42"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w:t>
            </w:r>
            <w:r>
              <w:t xml:space="preserve"> </w:t>
            </w:r>
            <m:oMath>
              <m:r>
                <m:t>β</m:t>
              </m:r>
              <m:r>
                <m:rPr>
                  <m:sty m:val="p"/>
                </m:rPr>
                <m:t>=</m:t>
              </m:r>
              <m:r>
                <m:t>0</m:t>
              </m:r>
              <m:r>
                <m:rPr>
                  <m:sty m:val="p"/>
                </m:rPr>
                <m:t>,</m:t>
              </m:r>
              <m:r>
                <m:t>179</m:t>
              </m:r>
            </m:oMath>
            <w:r>
              <w:t xml:space="preserve"> </w:t>
            </w:r>
            <w:r>
              <w:t xml:space="preserve">nhân quả (IV); P5: +0,260 đến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w:t>
            </w:r>
            <w:r>
              <w:t xml:space="preserve"> </w:t>
            </w:r>
            <m:oMath>
              <m:r>
                <m:rPr>
                  <m:nor/>
                  <m:sty m:val="p"/>
                </m:rPr>
                <m:t>DAI</m:t>
              </m:r>
              <m:r>
                <m:rPr>
                  <m:sty m:val="p"/>
                </m:rPr>
                <m:t>×</m:t>
              </m:r>
              <m:sSup>
                <m:e>
                  <m:r>
                    <m:rPr>
                      <m:nor/>
                      <m:sty m:val="p"/>
                    </m:rPr>
                    <m:t>FSTS</m:t>
                  </m:r>
                </m:e>
                <m:sup>
                  <m:r>
                    <m:t>2</m:t>
                  </m:r>
                </m:sup>
              </m:sSup>
              <m:r>
                <m:rPr>
                  <m:sty m:val="p"/>
                </m:rPr>
                <m:t>=</m:t>
              </m:r>
              <m:r>
                <m:rPr>
                  <m:sty m:val="p"/>
                </m:rPr>
                <m:t>+</m:t>
              </m:r>
              <m:r>
                <m:t>3</m:t>
              </m:r>
              <m:r>
                <m:rPr>
                  <m:sty m:val="p"/>
                </m:rPr>
                <m:t>,</m:t>
              </m:r>
              <m:r>
                <m:t>119</m:t>
              </m:r>
            </m:oMath>
            <w:r>
              <w:t xml:space="preserve"> </w:t>
            </w:r>
            <w:r>
              <w:t xml:space="preserve">(Nhóm I); P3: IV null (</w:t>
            </w:r>
            <m:oMath>
              <m:r>
                <m:t>β</m:t>
              </m:r>
              <m:r>
                <m:rPr>
                  <m:sty m:val="p"/>
                </m:rPr>
                <m:t>=</m:t>
              </m:r>
              <m:r>
                <m:t>0</m:t>
              </m:r>
              <m:r>
                <m:rPr>
                  <m:sty m:val="p"/>
                </m:rPr>
                <m:t>,</m:t>
              </m:r>
              <m:r>
                <m:t>018</m:t>
              </m:r>
            </m:oMath>
            <w:r>
              <w:t xml:space="preserve">,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Nhà quản trị cấp cao</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Phổ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gồm định hướng quốc tế của đội ngũ quản trị cấp cao (Upper Echelons/Hambrick &amp; Mason, 1984; Nielsen &amp; Nielsen, 2011); bị khuôn khổ bởi thể chế nội địa (Institutional Theory/North, 1990), phổ thể chế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bảng dài; một số biến quan trọng theo Uppsala (khoảng cách tâm lý, gắn kết mạng lưới) khó đo trong WBES; TCI và DAI có thể tương quan; ICRV và country hiệu ứng cố định có thể đa cộng; CDCM chỉ đo ở Bậc 1–2 do hạn chế WBES.</w:t>
      </w:r>
    </w:p>
    <w:bookmarkEnd w:id="42"/>
    <w:bookmarkEnd w:id="43"/>
    <w:bookmarkStart w:id="53"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lý thuyết dựa trên nguồn lực, lý thuyết thể chế, lý thuyết thượng tầng quản trị và Khung chấp nhận số nền tảng,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 FSTS²_c),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7" w:name="X554d9a38aa5071c54dd41cf832555f814bf88a4"/>
    <w:p>
      <w:pPr>
        <w:pStyle w:val="Heading5"/>
      </w:pPr>
      <w:r>
        <w:t xml:space="preserve">Hình 2.1: Khung khái niệm tích hợp (tổng quan)</w:t>
      </w:r>
    </w:p>
    <w:p>
      <w:pPr>
        <w:pStyle w:val="CaptionedFigure"/>
      </w:pPr>
      <w:r>
        <w:drawing>
          <wp:inline>
            <wp:extent cx="5753100" cy="3040985"/>
            <wp:effectExtent b="0" l="0" r="0" t="0"/>
            <wp:docPr descr="Hình 2.1: Khung khái niệm tích hợp CĐ2" title="" id="45" name="Picture"/>
            <a:graphic>
              <a:graphicData uri="http://schemas.openxmlformats.org/drawingml/2006/picture">
                <pic:pic>
                  <pic:nvPicPr>
                    <pic:cNvPr descr="figures/hinh_2_1_khung_khai_niem.png" id="46" name="Picture"/>
                    <pic:cNvPicPr>
                      <a:picLocks noChangeArrowheads="1" noChangeAspect="1"/>
                    </pic:cNvPicPr>
                  </pic:nvPicPr>
                  <pic:blipFill>
                    <a:blip r:embed="rId44"/>
                    <a:stretch>
                      <a:fillRect/>
                    </a:stretch>
                  </pic:blipFill>
                  <pic:spPr bwMode="auto">
                    <a:xfrm>
                      <a:off x="0" y="0"/>
                      <a:ext cx="5753100" cy="3040985"/>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 FSTS²_c, FSTS³_c) ở cực trái. Năm nhóm biến điều tiết phân theo hai cấp: cấp doanh nghiệp (TCI, H2, DAI, H3, đặc điểm nhà quản trị, H4a–H4c) và cấp quốc gia (ICRV regime, H5, giai đoạn thời gian, H6). Biến kiểm soát (ln(emp), firm_age, foreign_own, ngành/country/year FE) được đưa vào mô hình thực nghiệm nhưng không hiển thị trong sơ đồ để đơn giản hóa trình bày. Mỗi tầng lý thuyết cung cấp cơ chế nhân quả riêng biệt: Uppsala giải thích đường cong quốc tế hóa và hiệu quả; lý thuyết dựa trên nguồn lực biện minh cho H2; Khung chấp nhận số nền tảng (CDCM) biện minh cho H3; lý thuyết thượng tầng quản trị biện minh cho H4; lý thuyết thể chế biện minh cho H5. Bằng chứng neo đậu từ P3 Việt Nam, P4 Singapore và P5 Trung Quốc xác nhận tính khả nghiệm trước khi áp dụng cho toàn mẫu gộp 88.869 doanh nghiệp (50 nền, gồm Nhật Bản).</w:t>
      </w:r>
    </w:p>
    <w:bookmarkEnd w:id="47"/>
    <w:bookmarkStart w:id="51" w:name="hình-2.2-cơ-chế-cdcm-chi-tiết"/>
    <w:p>
      <w:pPr>
        <w:pStyle w:val="Heading5"/>
      </w:pPr>
      <w:r>
        <w:t xml:space="preserve">Hình 2.2: Cơ chế CDCM chi tiết</w:t>
      </w:r>
    </w:p>
    <w:p>
      <w:pPr>
        <w:pStyle w:val="CaptionedFigure"/>
      </w:pPr>
      <w:r>
        <w:drawing>
          <wp:inline>
            <wp:extent cx="5753100" cy="2244603"/>
            <wp:effectExtent b="0" l="0" r="0" t="0"/>
            <wp:docPr descr="Hình 2.2: Cơ chế CDCM theo ba nhóm ICRV" title="" id="49" name="Picture"/>
            <a:graphic>
              <a:graphicData uri="http://schemas.openxmlformats.org/drawingml/2006/picture">
                <pic:pic>
                  <pic:nvPicPr>
                    <pic:cNvPr descr="figures/hinh_2_2_cdcm_detail.png" id="50" name="Picture"/>
                    <pic:cNvPicPr>
                      <a:picLocks noChangeArrowheads="1" noChangeAspect="1"/>
                    </pic:cNvPicPr>
                  </pic:nvPicPr>
                  <pic:blipFill>
                    <a:blip r:embed="rId48"/>
                    <a:stretch>
                      <a:fillRect/>
                    </a:stretch>
                  </pic:blipFill>
                  <pic:spPr bwMode="auto">
                    <a:xfrm>
                      <a:off x="0" y="0"/>
                      <a:ext cx="5753100" cy="2244603"/>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Country–Digital–Capability Moderation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quốc tế hóa và hiệu quả thay đổi theo regime thể chế và mức bão hòa số của nền kinh tế. Nhóm I (Singapore, Advanced I, bão hòa số cao): DAI Bậc 1+2 vận hành như nguồn lực khuếch đại tình huống, tác động chỉ xuất hiện khi cường độ xuất khẩu đạt ngưỡng cao (FSTS²×DAI = +3,119; P4). Nhóm IV (Việt Nam, Lower_mid_transition, bão hòa số thấp; Nhóm IV trong cả hệ 5 nhóm P6 lẫn hệ 6 nhóm CD2): DAI Bậc 1 là ràng buộc đo lường; tác động dương theo OLS nhưng biến mất sau hiệu chỉnh nội sinh biến công cụ (β = 0,018, p = 0,942; P3). Nhóm III (Trung Quốc, Upper-Middle/Emerging transition, bão hòa số trung bình): DAI Bậc 1 phổ biến &gt;60%, mất khả năng phân biệt, giữ như biến kiểm soát không phải biến điều tiết (P5).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1"/>
    <w:bookmarkStart w:id="52"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r>
                <m:rPr>
                  <m:sty m:val="p"/>
                </m:rPr>
                <m:t>&gt;</m:t>
              </m:r>
              <m:r>
                <m:t>0</m:t>
              </m:r>
            </m:oMath>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m:oMath>
              <m:sSup>
                <m:e>
                  <m:d>
                    <m:dPr>
                      <m:begChr m:val="("/>
                      <m:endChr m:val=")"/>
                      <m:sepChr m:val=""/>
                      <m:grow/>
                    </m:dPr>
                    <m:e>
                      <m:sSub>
                        <m:e>
                          <m:r>
                            <m:rPr>
                              <m:nor/>
                              <m:sty m:val="p"/>
                            </m:rPr>
                            <m:t>FSTS</m:t>
                          </m:r>
                        </m:e>
                        <m:sub>
                          <m:r>
                            <m:t>c</m:t>
                          </m:r>
                        </m:sub>
                      </m:sSub>
                    </m:e>
                  </m:d>
                </m:e>
                <m:sup>
                  <m:r>
                    <m:t>2</m:t>
                  </m:r>
                </m:sup>
              </m:sSup>
            </m:oMath>
          </w:p>
        </w:tc>
        <w:tc>
          <w:tcPr/>
          <w:p>
            <w:pPr>
              <w:pStyle w:val="Compact"/>
              <w:jc w:val="left"/>
            </w:pPr>
            <m:oMath>
              <m:sSub>
                <m:e>
                  <m:r>
                    <m:t>β</m:t>
                  </m:r>
                </m:e>
                <m:sub>
                  <m:r>
                    <m:t>2</m:t>
                  </m:r>
                </m:sub>
              </m:sSub>
              <m:r>
                <m:rPr>
                  <m:sty m:val="p"/>
                </m:rPr>
                <m:t>&lt;</m:t>
              </m:r>
              <m:r>
                <m:t>0</m:t>
              </m:r>
            </m:oMath>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Chữ S</w:t>
            </w:r>
          </w:p>
        </w:tc>
        <w:tc>
          <w:tcPr/>
          <w:p>
            <w:pPr>
              <w:pStyle w:val="Compact"/>
              <w:jc w:val="left"/>
            </w:pPr>
            <w:r>
              <w:t xml:space="preserve">–</w:t>
            </w:r>
          </w:p>
        </w:tc>
        <w:tc>
          <w:tcPr/>
          <w:p>
            <w:pPr>
              <w:pStyle w:val="Compact"/>
              <w:jc w:val="left"/>
            </w:pPr>
            <m:oMath>
              <m:sSup>
                <m:e>
                  <m:d>
                    <m:dPr>
                      <m:begChr m:val="("/>
                      <m:endChr m:val=")"/>
                      <m:sepChr m:val=""/>
                      <m:grow/>
                    </m:dPr>
                    <m:e>
                      <m:sSub>
                        <m:e>
                          <m:r>
                            <m:rPr>
                              <m:nor/>
                              <m:sty m:val="p"/>
                            </m:rPr>
                            <m:t>FSTS</m:t>
                          </m:r>
                        </m:e>
                        <m:sub>
                          <m:r>
                            <m:t>c</m:t>
                          </m:r>
                        </m:sub>
                      </m:sSub>
                    </m:e>
                  </m:d>
                </m:e>
                <m:sup>
                  <m:r>
                    <m:t>3</m:t>
                  </m:r>
                </m:sup>
              </m:sSup>
            </m:oMath>
          </w:p>
        </w:tc>
        <w:tc>
          <w:tcPr/>
          <w:p>
            <w:pPr>
              <w:pStyle w:val="Compact"/>
              <w:jc w:val="left"/>
            </w:pPr>
            <m:oMath>
              <m:sSub>
                <m:e>
                  <m:r>
                    <m:t>β</m:t>
                  </m:r>
                </m:e>
                <m:sub>
                  <m:r>
                    <m:t>3</m:t>
                  </m:r>
                </m:sub>
              </m:sSub>
              <m:r>
                <m:rPr>
                  <m:sty m:val="p"/>
                </m:rPr>
                <m:t>&gt;</m:t>
              </m:r>
              <m:r>
                <m:t>0</m:t>
              </m:r>
            </m:oMath>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 ($</w:t>
            </w:r>
            <w:r>
              <w:t xml:space="preserve">$3/4 items)</w:t>
            </w:r>
          </w:p>
        </w:tc>
        <w:tc>
          <w:tcPr/>
          <w:p>
            <w:pPr>
              <w:pStyle w:val="Compact"/>
              <w:jc w:val="left"/>
            </w:pPr>
            <m:oMath>
              <m:r>
                <m:t>β</m:t>
              </m:r>
              <m:r>
                <m:rPr>
                  <m:sty m:val="p"/>
                </m:rPr>
                <m:t>&gt;</m:t>
              </m:r>
              <m:r>
                <m:t>0</m:t>
              </m:r>
            </m:oMath>
            <w:r>
              <w:t xml:space="preserve"> </w:t>
            </w:r>
            <w:r>
              <w:t xml:space="preserve">(trực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(Bậc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m:oMath>
              <m:r>
                <m:rPr>
                  <m:nor/>
                  <m:sty m:val="p"/>
                </m:rPr>
                <m:t>FSTS</m:t>
              </m:r>
              <m:r>
                <m:rPr>
                  <m:sty m:val="p"/>
                </m:rPr>
                <m:t>×</m:t>
              </m:r>
              <m:r>
                <m:rPr>
                  <m:nor/>
                  <m:sty m:val="p"/>
                </m:rPr>
                <m:t>TCI</m:t>
              </m:r>
            </m:oMath>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m:oMath>
              <m:sSub>
                <m:e>
                  <m:r>
                    <m:t>β</m:t>
                  </m:r>
                </m:e>
                <m:sub>
                  <m:r>
                    <m:rPr>
                      <m:nor/>
                      <m:sty m:val="p"/>
                    </m:rPr>
                    <m:t>mod</m:t>
                  </m:r>
                </m:sub>
              </m:sSub>
            </m:oMath>
            <w:r>
              <w:t xml:space="preserve">: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r>
                <m:rPr>
                  <m:sty m:val="p"/>
                </m:rPr>
                <m:t>×</m:t>
              </m:r>
              <m:r>
                <m:rPr>
                  <m:nor/>
                  <m:sty m:val="p"/>
                </m:rPr>
                <m:t>DAI</m:t>
              </m:r>
            </m:oMath>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m:oMath>
              <m:r>
                <m:t>β</m:t>
              </m:r>
              <m:r>
                <m:rPr>
                  <m:sty m:val="p"/>
                </m:rPr>
                <m:t>&gt;</m:t>
              </m:r>
              <m:r>
                <m:t>0</m:t>
              </m:r>
            </m:oMath>
            <w:r>
              <w:t xml:space="preserve"> </w:t>
            </w:r>
            <w:r>
              <w:t xml:space="preserve">(Nhóm I); null (Nhóm III,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m:oMath>
              <m:r>
                <m:t>β</m:t>
              </m:r>
              <m:r>
                <m:rPr>
                  <m:sty m:val="p"/>
                </m:rPr>
                <m:t>&gt;</m:t>
              </m:r>
              <m:r>
                <m:t>0</m:t>
              </m:r>
            </m:oMath>
            <w:r>
              <w:t xml:space="preserve"> </w:t>
            </w:r>
            <w:r>
              <w:t xml:space="preserve">(</w:t>
            </w:r>
            <m:oMath>
              <m:sSub>
                <m:e>
                  <m:r>
                    <m:t>δ</m:t>
                  </m:r>
                </m:e>
                <m:sub>
                  <m:r>
                    <m:rPr>
                      <m:nor/>
                      <m:sty m:val="p"/>
                    </m:rPr>
                    <m:t>exp</m:t>
                  </m:r>
                </m:sub>
              </m:sSub>
              <m:r>
                <m:rPr>
                  <m:sty m:val="p"/>
                </m:rPr>
                <m:t>&gt;</m:t>
              </m:r>
              <m:r>
                <m:t>0</m:t>
              </m:r>
            </m:oMath>
            <w:r>
              <w:t xml:space="preserve">)</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m:oMath>
              <m:r>
                <m:t>β</m:t>
              </m:r>
              <m:r>
                <m:rPr>
                  <m:sty m:val="p"/>
                </m:rPr>
                <m:t>&gt;</m:t>
              </m:r>
              <m:r>
                <m:t>0</m:t>
              </m:r>
            </m:oMath>
            <w:r>
              <w:t xml:space="preserve"> </w:t>
            </w:r>
            <w:r>
              <w:t xml:space="preserve">(</w:t>
            </w:r>
            <m:oMath>
              <m:sSub>
                <m:e>
                  <m:r>
                    <m:t>δ</m:t>
                  </m:r>
                </m:e>
                <m:sub>
                  <m:r>
                    <m:rPr>
                      <m:nor/>
                      <m:sty m:val="p"/>
                    </m:rPr>
                    <m:t>educ</m:t>
                  </m:r>
                </m:sub>
              </m:sSub>
              <m:r>
                <m:rPr>
                  <m:sty m:val="p"/>
                </m:rPr>
                <m:t>&gt;</m:t>
              </m:r>
              <m:r>
                <m:t>0</m:t>
              </m:r>
            </m:oMath>
            <w:r>
              <w:t xml:space="preserve">)</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Khám phá, hai phía</w:t>
            </w:r>
          </w:p>
        </w:tc>
        <w:tc>
          <w:tcPr/>
          <w:p>
            <w:pPr>
              <w:pStyle w:val="Compact"/>
              <w:jc w:val="left"/>
            </w:pPr>
            <w:r>
              <w:t xml:space="preserve">H4c</w:t>
            </w:r>
          </w:p>
        </w:tc>
      </w:tr>
      <w:tr>
        <w:tc>
          <w:tcPr/>
          <w:p>
            <w:pPr>
              <w:pStyle w:val="Compact"/>
              <w:jc w:val="left"/>
            </w:pPr>
            <m:oMath>
              <m:sSub>
                <m:e>
                  <m:r>
                    <m:rPr>
                      <m:nor/>
                      <m:sty m:val="p"/>
                    </m:rPr>
                    <m:t>ICRV</m:t>
                  </m:r>
                </m:e>
                <m:sub>
                  <m:r>
                    <m:t>j</m:t>
                  </m:r>
                </m:sub>
              </m:sSub>
            </m:oMath>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I–VI, biến giả</w:t>
            </w:r>
          </w:p>
        </w:tc>
        <w:tc>
          <w:tcPr/>
          <w:p>
            <w:pPr>
              <w:pStyle w:val="Compact"/>
              <w:jc w:val="left"/>
            </w:pPr>
            <w:r>
              <w:t xml:space="preserve">Phổ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m:oMath>
              <m:r>
                <m:t>β</m:t>
              </m:r>
              <m:r>
                <m:rPr>
                  <m:sty m:val="p"/>
                </m:rPr>
                <m:t>&gt;</m:t>
              </m:r>
              <m:r>
                <m:t>0</m:t>
              </m:r>
            </m:oMath>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m:oMath>
              <m:r>
                <m:t>β</m:t>
              </m:r>
            </m:oMath>
            <w:r>
              <w:t xml:space="preserve"> </w:t>
            </w:r>
            <w:r>
              <w:t xml:space="preserve">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m:oMath>
              <m:r>
                <m:t>β</m:t>
              </m:r>
              <m:r>
                <m:rPr>
                  <m:sty m:val="p"/>
                </m:rPr>
                <m:t>&gt;</m:t>
              </m:r>
              <m:r>
                <m:t>0</m:t>
              </m:r>
            </m:oMath>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≥3/4 items không thiếu; z-chuẩn hóa trong mỗi sóng. DAI_z_full (Bậc 1+2): z-mean(c22b + k33 + k38) chỉ có trong lược đồ BEE (2019 trở đi). DAI_z_tier1 (Bậc 1): z-mean(c22b) có xuyên tất cả lược đồ. FSTS được tính trung tâm theo mean trong mỗi ô quốc gia-sóng trước khi tính FSTS² để giảm đa cộng tuyến.</w:t>
      </w:r>
    </w:p>
    <w:bookmarkEnd w:id="52"/>
    <w:bookmarkEnd w:id="53"/>
    <w:bookmarkStart w:id="62" w:name="hệ-giả-thuyết-nghiên-cứu-h1h6"/>
    <w:p>
      <w:pPr>
        <w:pStyle w:val="Heading4"/>
      </w:pPr>
      <w:r>
        <w:t xml:space="preserve">2.3.4 Hệ giả thuyết nghiên cứu (H1–H6)</w:t>
      </w:r>
    </w:p>
    <w:bookmarkStart w:id="54"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tài liệu,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≥2 bằng chứng neo đậu từ P3/P4/P5). H4a–H4b và H6 là hỗn hợp xác nhận/khám phá (hướng rõ nhưng độ lớn khám phá). H4c là hoàn toàn khám phá (hai phía, không có dấu tiên nghiệm).</w:t>
      </w:r>
    </w:p>
    <w:bookmarkEnd w:id="54"/>
    <w:bookmarkStart w:id="55" w:name="X8a9e88460ae4e1b85cd12a03beef213b73b6d78"/>
    <w:p>
      <w:pPr>
        <w:pStyle w:val="Heading5"/>
      </w:pPr>
      <w:r>
        <w:t xml:space="preserve">H1: Phi tuyến trong quan hệ quốc tế hóa và hiệu quả</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đường cong chữ S: giai đoạn học tập tốn kém; giai đoạn hái quả; giai đoạn quá mức. Với các doanh nghiệp vừa và nhỏ châu Á trong WBES, giai đoạn đầu ngắn, do đó dạng chữ U ngược (H1 bậc hai, M1) có thể mạnh hơn chữ S đầy đủ (H1 bậc ba, M2).</w:t>
      </w:r>
    </w:p>
    <w:p>
      <w:pPr>
        <w:pStyle w:val="BodyText"/>
      </w:pPr>
      <w:r>
        <w:t xml:space="preserve">Điểm uốn và chính sự tồn tại của chữ U ngược khác nhau theo chế độ thể chế: trên khung 50 nền, chữ U ngược định hình rõ nét và tin cậy nhất ở Nhóm IV (điểm uốn 43,0%, trùng các ước lượng đơn quốc gia Việt Nam 39–46% và Ấn Độ 40,7%); ở Nhóm I đường cong duỗi thẳng gần tuyến tính dương (điểm uốn ngoài miền dữ liệu, trùng Singapore); ở Nhóm V quan hệ mất ý nghĩa thống kê và Nhóm VI không có chữ U ngược (~50–55%). Nhóm VI có khuôn mẫu gánh nặng bắt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hoạt động kinh doanh của doanh nghiệp (ln LP) có dạng phi tuyến, với β₁(FSTS) &gt; 0 và β₂(FSTS²) &lt; 0, phản ánh chữ U ngược ở phần lớn các chế độ ICRV. Điểm uốn</w:t>
      </w:r>
      <w:r>
        <w:t xml:space="preserve"> </w:t>
      </w:r>
      <w:r>
        <w:rPr>
          <w:bCs/>
          <w:b/>
        </w:rPr>
        <w:t xml:space="preserve">giảm</w:t>
      </w:r>
      <w:r>
        <w:t xml:space="preserve"> </w:t>
      </w:r>
      <w:r>
        <w:t xml:space="preserve">theo phổ thể chế ICRV:</w:t>
      </w:r>
      <w:r>
        <w:t xml:space="preserve"> </w:t>
      </w:r>
      <w:r>
        <w:rPr>
          <w:bCs/>
          <w:b/>
        </w:rPr>
        <w:t xml:space="preserve">thấp nhất ở Nhóm I (~28%)</w:t>
      </w:r>
      <w:r>
        <w:t xml:space="preserve">, tăng dần qua Nhóm III (~47–49%) sang Nhóm IV (~39–46%) sang Nhóm V (~50–55%), với Nhóm VI có khuôn mẫu gánh nặng bắt buộc (không có điểm uốn). Thể chế càng mạnh, doanh nghiệp đạt đỉnh hiệu suất xuất khẩu ở mức cường độ thấp hơn.</w:t>
      </w:r>
    </w:p>
    <w:p>
      <w:pPr>
        <w:pStyle w:val="BodyText"/>
      </w:pPr>
      <w:r>
        <w:t xml:space="preserve">Cơ chế biên tham gia (của H1): Bước chuyển từ không xuất khẩu (FSTS = 0) sang xuất khẩu (FSTS &gt; 0) tạo ra mức tăng năng suất lao động đáng kể và dương, tác động tham gia thị trường xuất khẩu là động lực chính của hiệu ứng quốc tế hóa và hiệu quả.</w:t>
      </w:r>
    </w:p>
    <w:p>
      <w:pPr>
        <w:pStyle w:val="BodyText"/>
      </w:pPr>
      <w:r>
        <w:t xml:space="preserve">Cơ chế biên cường độ (của H1, gần phẳng): Trong mẫu chỉ gồm doanh nghiệp xuất khẩu, đường cong quốc tế hóa và hiệu quả gần phẳng, tức là sau khi đã xuất khẩu, việc tăng cường độ tiếp theo không tạo thêm nhiều lợi ích năng suất nếu không có TCI và DAI đủ mạnh.</w:t>
      </w:r>
    </w:p>
    <w:bookmarkEnd w:id="55"/>
    <w:bookmarkStart w:id="56" w:name="h2-tci-điều-tiết-tích-cực-nâng-mặt-bằng"/>
    <w:p>
      <w:pPr>
        <w:pStyle w:val="Heading5"/>
      </w:pPr>
      <w:r>
        <w:t xml:space="preserve">H2: TCI điều tiết tích cực (nâng mặt bằng)</w:t>
      </w:r>
    </w:p>
    <w:p>
      <w:pPr>
        <w:pStyle w:val="FirstParagraph"/>
      </w:pPr>
      <w:r>
        <w:t xml:space="preserve">Cơ sở lý thuyết: lý thuyết dựa trên nguồn lực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sang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Chỉ số năng lực công nghệ (TCI) có mối quan hệ dương trực tiếp với hiệu quả hoạt động kinh doanh của doanh nghiệp (β(TCI) &gt; 0) và nâng mặt bằng ln(LP) của toàn bộ đường cong quốc tế hóa và hiệu quả (hiệu ứng nâng mặt bằng). Tác động điều tiết của TCI lên độ cong của đường cong là câu hỏi thực nghiệm mở và được kiểm định như H2 khám phá trong M3.</w:t>
      </w:r>
    </w:p>
    <w:bookmarkEnd w:id="56"/>
    <w:bookmarkStart w:id="57" w:name="X1c9c953fc89a4348f4f643e69b0c33ec6bd1f9d"/>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 FSTS²×DAI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r>
                <m:rPr>
                  <m:sty m:val="p"/>
                </m:rPr>
                <m:t>×</m:t>
              </m:r>
              <m:r>
                <m:rPr>
                  <m:nor/>
                  <m:sty m:val="p"/>
                </m:rPr>
                <m:t>DAI</m:t>
              </m:r>
              <m:r>
                <m:rPr>
                  <m:sty m:val="p"/>
                </m:rPr>
                <m:t>=</m:t>
              </m:r>
              <m:r>
                <m:rPr>
                  <m:sty m:val="p"/>
                </m:rPr>
                <m:t>+</m:t>
              </m:r>
              <m:r>
                <m:t>3</m:t>
              </m:r>
              <m:r>
                <m:rPr>
                  <m:sty m:val="p"/>
                </m:rPr>
                <m:t>,</m:t>
              </m:r>
              <m:r>
                <m:t>119</m:t>
              </m:r>
            </m:oMath>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(Bậc 1 mất tín hiệu phân biệt)</w:t>
            </w:r>
          </w:p>
        </w:tc>
        <w:tc>
          <w:tcPr/>
          <w:p>
            <w:pPr>
              <w:pStyle w:val="Compact"/>
              <w:jc w:val="left"/>
            </w:pPr>
            <w:r>
              <w:t xml:space="preserve">Bậc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w:t>
            </w:r>
            <m:oMath>
              <m:r>
                <m:t>β</m:t>
              </m:r>
              <m:r>
                <m:rPr>
                  <m:sty m:val="p"/>
                </m:rPr>
                <m:t>=</m:t>
              </m:r>
              <m:r>
                <m:t>0</m:t>
              </m:r>
              <m:r>
                <m:rPr>
                  <m:sty m:val="p"/>
                </m:rPr>
                <m:t>,</m:t>
              </m:r>
              <m:r>
                <m:t>018</m:t>
              </m:r>
            </m:oMath>
            <w:r>
              <w:t xml:space="preserve">; F bậc một = 34,6)</w:t>
            </w:r>
          </w:p>
        </w:tc>
        <w:tc>
          <w:tcPr/>
          <w:p>
            <w:pPr>
              <w:pStyle w:val="Compact"/>
              <w:jc w:val="left"/>
            </w:pPr>
            <w:r>
              <w:t xml:space="preserve">Phụ thuộc chọn lựa</w:t>
            </w:r>
          </w:p>
        </w:tc>
      </w:tr>
      <w:tr>
        <w:tc>
          <w:tcPr/>
          <w:p>
            <w:pPr>
              <w:pStyle w:val="Compact"/>
              <w:jc w:val="left"/>
            </w:pPr>
            <w:r>
              <w:t xml:space="preserve">Nhóm V (Đang nổi)</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quốc tế hóa và hiệu quả. DAI không hoạt động như một phần thưởng năng suất đồng nhất mà như một nguồn lực mở rộng tình huống theo CDCM, với hướng và cường độ khác nhau rõ ràng giữa Emerging/Frontier và Advanced. Hai giả thuyết con phân biệt dấu kỳ vọng:</w:t>
      </w:r>
    </w:p>
    <w:p>
      <w:pPr>
        <w:pStyle w:val="BodyText"/>
      </w:pPr>
      <w:r>
        <w:rPr>
          <w:bCs/>
          <w:b/>
        </w:rPr>
        <w:t xml:space="preserve">H3a</w:t>
      </w:r>
      <w:r>
        <w:t xml:space="preserve"> </w:t>
      </w:r>
      <w:r>
        <w:t xml:space="preserve">(các nền đang nổi và chuyển đổi, Nhóm III–V): Trong các nền kinh tế này, DAI điều tiết tích cực quan hệ FSTS sang ln(LP): β(FSTS×DAI) &gt; 0 và/hoặc β(FSTS²×DAI)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Bậc 1 proxy, không phản ánh đầy đủ năng lực số). Tuy nhiên, tác động điều tiết điều kiện β(FSTS²×DAI) vẫn dương ở mức FSTS cao nơi nhu cầu điều phối xuyên biên giới cao (bằng chứng neo đậu: P4 Singapore β(FSTS²×DAI) = +3,119, p = 0,005).</w:t>
      </w:r>
    </w:p>
    <w:p>
      <w:pPr>
        <w:pStyle w:val="BodyText"/>
      </w:pPr>
      <w:r>
        <w:t xml:space="preserve">TCI và DAI là hai cấu trúc phân biệt và không thể thay thế nhau trong cả hai giả thuyết con (giả thuyết tính phân biệt CDCM, H3c: β(TCI) ≠ β(DAI) và hai cấu trúc thỏa mãn tiêu chí discriminant validity).</w:t>
      </w:r>
    </w:p>
    <w:bookmarkEnd w:id="57"/>
    <w:bookmarkStart w:id="58" w:name="h4ah4c-đặc-điểm-nhà-quản-trị-điều-tiết"/>
    <w:p>
      <w:pPr>
        <w:pStyle w:val="Heading5"/>
      </w:pPr>
      <w:r>
        <w:t xml:space="preserve">H4a–H4c: Đặc điểm nhà quản trị điều tiết</w:t>
      </w:r>
    </w:p>
    <w:p>
      <w:pPr>
        <w:pStyle w:val="FirstParagraph"/>
      </w:pPr>
      <w:r>
        <w:t xml:space="preserve">Cơ sở lý thuyết: lý thuyết thượng tầng quản trị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giả thuyết con được tách biệt theo đặc điểm và dấu kỳ vọng:</w:t>
      </w:r>
    </w:p>
    <w:p>
      <w:pPr>
        <w:pStyle w:val="BodyText"/>
      </w:pPr>
      <w:r>
        <w:rPr>
          <w:bCs/>
          <w:b/>
        </w:rPr>
        <w:t xml:space="preserve">H4a</w:t>
      </w:r>
      <w:r>
        <w:t xml:space="preserve">: Kinh nghiệm quản lý tổng thể điều tiết tích cực quan hệ FSTS sang 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 sang 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hai phía. Bằng chứng trong tài liệu lý thuyết thượng tầng quản trị không đồng nhất về chiều hướng cho châu Á (Hambrick, 2007); H4c vì vậy là khám phá.</w:t>
      </w:r>
    </w:p>
    <w:p>
      <w:pPr>
        <w:pStyle w:val="BodyText"/>
      </w:pPr>
      <w:r>
        <w:t xml:space="preserve">Phạm vi kiểm định: H4a–H4b là biến đại diện (proxy) cho cơ chế lý thuyết thượng tầng quản trị, kết quả là chỉ báo gián tiếp, không phải kiểm định trực tiếp cấu trúc lý thuyết gốc. Hạn chế này cần được thừa nhận rõ trong phần thảo luận kết quả.</w:t>
      </w:r>
    </w:p>
    <w:bookmarkEnd w:id="58"/>
    <w:bookmarkStart w:id="59" w:name="Xdc105cdbc1f44bae5408ec2aee9fc7cd8005d15"/>
    <w:p>
      <w:pPr>
        <w:pStyle w:val="Heading5"/>
      </w:pPr>
      <w:r>
        <w:t xml:space="preserve">H5: Thể chế ICRV điều tiết theo phổ thể chế</w:t>
      </w:r>
    </w:p>
    <w:p>
      <w:pPr>
        <w:pStyle w:val="FirstParagraph"/>
      </w:pPr>
      <w:r>
        <w:t xml:space="preserve">Cơ sở lý thuyết: lý thuyết thể chế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gần tuyến tính dương; điểm uốn ngoài miền dữ liệu</w:t>
            </w:r>
          </w:p>
        </w:tc>
        <w:tc>
          <w:tcPr/>
          <w:p>
            <w:pPr>
              <w:pStyle w:val="Compact"/>
              <w:jc w:val="left"/>
            </w:pPr>
            <w:r>
              <w:t xml:space="preserve">P7 50 nền: TP gộp M5 = 43,6% (N=79.080; M2 N=81.022); trong Nhóm I đường cong không định hình (LM p = ,30), nhất quán P4 Singapore (TP ~88,6%, LM p = ,303, không có ý nghĩa)</w:t>
            </w:r>
          </w:p>
        </w:tc>
      </w:tr>
      <w:tr>
        <w:tc>
          <w:tcPr/>
          <w:p>
            <w:pPr>
              <w:pStyle w:val="Compact"/>
              <w:jc w:val="left"/>
            </w:pPr>
            <w:r>
              <w:t xml:space="preserve">Nhóm II (tiên tiến tài nguyên)</w:t>
            </w:r>
          </w:p>
        </w:tc>
        <w:tc>
          <w:tcPr/>
          <w:p>
            <w:pPr>
              <w:pStyle w:val="Compact"/>
              <w:jc w:val="left"/>
            </w:pPr>
            <w:r>
              <w:t xml:space="preserve">Chữ U ngược ở biên ý nghĩa (~62%)</w:t>
            </w:r>
          </w:p>
        </w:tc>
        <w:tc>
          <w:tcPr/>
          <w:p>
            <w:pPr>
              <w:pStyle w:val="Compact"/>
              <w:jc w:val="left"/>
            </w:pPr>
            <w:r>
              <w:t xml:space="preserve">Kết quả 50 nền: TP 62,0%, LM p = ,081</w:t>
            </w:r>
          </w:p>
        </w:tc>
      </w:tr>
      <w:tr>
        <w:tc>
          <w:tcPr/>
          <w:p>
            <w:pPr>
              <w:pStyle w:val="Compact"/>
              <w:jc w:val="left"/>
            </w:pPr>
            <w:r>
              <w:t xml:space="preserve">Nhóm III (trung bình cao)</w:t>
            </w:r>
          </w:p>
        </w:tc>
        <w:tc>
          <w:tcPr/>
          <w:p>
            <w:pPr>
              <w:pStyle w:val="Compact"/>
              <w:jc w:val="left"/>
            </w:pPr>
            <w:r>
              <w:t xml:space="preserve">Không xác định ở cấp nhóm; ~47–49% ở Trung Quốc</w:t>
            </w:r>
          </w:p>
        </w:tc>
        <w:tc>
          <w:tcPr/>
          <w:p>
            <w:pPr>
              <w:pStyle w:val="Compact"/>
              <w:jc w:val="left"/>
            </w:pPr>
            <w:r>
              <w:t xml:space="preserve">Kết quả 50 nền: LM p = ,26; P5 Trung Quốc TP 47–49%***</w:t>
            </w:r>
          </w:p>
        </w:tc>
      </w:tr>
      <w:tr>
        <w:tc>
          <w:tcPr/>
          <w:p>
            <w:pPr>
              <w:pStyle w:val="Compact"/>
              <w:jc w:val="left"/>
            </w:pPr>
            <w:r>
              <w:t xml:space="preserve">Nhóm IV (chuyển đổi TB-thấp)</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(đang nổi)</w:t>
            </w:r>
          </w:p>
        </w:tc>
        <w:tc>
          <w:tcPr/>
          <w:p>
            <w:pPr>
              <w:pStyle w:val="Compact"/>
              <w:jc w:val="left"/>
            </w:pPr>
            <w:r>
              <w:t xml:space="preserve">Quan hệ mất cấu trúc, không xác định</w:t>
            </w:r>
          </w:p>
        </w:tc>
        <w:tc>
          <w:tcPr/>
          <w:p>
            <w:pPr>
              <w:pStyle w:val="Compact"/>
              <w:jc w:val="left"/>
            </w:pPr>
            <w:r>
              <w:t xml:space="preserve">Kết quả 50 nền: LM p = ,18; khoảng trống thể chế làm phần thưởng nhỏ và bất định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quốc tế hóa và hiệu quả có dạng ba vùng: chữ U ngược định hình rõ ở vùng giữa phổ thể chế (Nhóm IV, điểm uốn 43,0%); duỗi thẳng gần tuyến tính dương ở biên trên (Nhóm I–II); mất cấu trúc ở biên dưới (Nhóm V không ý nghĩa; Nhóm VI có khuôn mẫu gánh nặng bắt buộc). Thể chế càng mạnh; ở biên trên phổ thể chế, chi phí giao dịch thấp và năng lực điều phối cao đẩy nhánh đi xuống ra ngoài miền quan sát thay vì tạo đỉnh sớm hơn.</w:t>
      </w:r>
    </w:p>
    <w:bookmarkEnd w:id="59"/>
    <w:bookmarkStart w:id="60"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quốc tế hóa và hiệu quả.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quốc tế hóa và hiệu quả dịch chuyển đáng kể. P5 Trung Quốc: TCI Paternoster p = 0,011, hiệu ứng TCI tăng cường 2012 xuống 2024. P5 Trung Quốc: FSTS Paternoster p = 0,545, điểm uốn ổn định (bền vững cấu trúc H2b xác nhận).</w:t>
      </w:r>
    </w:p>
    <w:p>
      <w:pPr>
        <w:pStyle w:val="BodyText"/>
      </w:pPr>
      <w:r>
        <w:t xml:space="preserve">H6: Tác động của quốc tế hóa lên hiệu quả hoạt động kinh doanh của doanh nghiệp thể hiện tính không đồng nhất theo thời gian: β(FSTS×Year_bucket) và β(FSTS²×Year_bucket)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0"/>
    <w:bookmarkStart w:id="61"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r>
                <m:rPr>
                  <m:sty m:val="p"/>
                </m:rPr>
                <m:t>&gt;</m:t>
              </m:r>
              <m:r>
                <m:t>0</m:t>
              </m:r>
            </m:oMath>
            <w:r>
              <w:t xml:space="preserve">;</w:t>
            </w:r>
            <w:r>
              <w:t xml:space="preserve"> </w:t>
            </w:r>
            <m:oMath>
              <m:sSub>
                <m:e>
                  <m:r>
                    <m:t>β</m:t>
                  </m:r>
                </m:e>
                <m:sub>
                  <m:r>
                    <m:t>2</m:t>
                  </m:r>
                </m:sub>
              </m:sSub>
              <m:r>
                <m:rPr>
                  <m:sty m:val="p"/>
                </m:rPr>
                <m:t>&lt;</m:t>
              </m:r>
              <m:r>
                <m:t>0</m:t>
              </m:r>
            </m:oMath>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w:t>
            </w:r>
            <w:r>
              <w:t xml:space="preserve"> </w:t>
            </w:r>
            <m:oMath>
              <m:r>
                <m:rPr>
                  <m:nor/>
                  <m:sty m:val="p"/>
                </m:rPr>
                <m:t>FSTS</m:t>
              </m:r>
              <m:r>
                <m:rPr>
                  <m:sty m:val="p"/>
                </m:rPr>
                <m:t>×</m:t>
              </m:r>
              <m:r>
                <m:rPr>
                  <m:nor/>
                  <m:sty m:val="p"/>
                </m:rPr>
                <m:t>TCI</m:t>
              </m:r>
            </m:oMath>
          </w:p>
        </w:tc>
        <w:tc>
          <w:tcPr/>
          <w:p>
            <w:pPr>
              <w:pStyle w:val="Compact"/>
              <w:jc w:val="left"/>
            </w:pPr>
            <m:oMath>
              <m:r>
                <m:t>β</m:t>
              </m:r>
              <m:d>
                <m:dPr>
                  <m:begChr m:val="("/>
                  <m:endChr m:val=")"/>
                  <m:sepChr m:val=""/>
                  <m:grow/>
                </m:dPr>
                <m:e>
                  <m:r>
                    <m:rPr>
                      <m:nor/>
                      <m:sty m:val="p"/>
                    </m:rPr>
                    <m:t>TCI</m:t>
                  </m:r>
                </m:e>
              </m:d>
              <m:r>
                <m:rPr>
                  <m:sty m:val="p"/>
                </m:rPr>
                <m:t>&gt;</m:t>
              </m:r>
              <m:r>
                <m:t>0</m:t>
              </m:r>
            </m:oMath>
            <w:r>
              <w:t xml:space="preserve">; độ cong: khám phá</w:t>
            </w:r>
          </w:p>
        </w:tc>
        <w:tc>
          <w:tcPr/>
          <w:p>
            <w:pPr>
              <w:pStyle w:val="Compact"/>
              <w:jc w:val="left"/>
            </w:pPr>
            <w:r>
              <w:t xml:space="preserve">P3 IV nhân quả; P5 +0,260 đến +0,426</w:t>
            </w:r>
          </w:p>
        </w:tc>
      </w:tr>
      <w:tr>
        <w:tc>
          <w:tcPr/>
          <w:p>
            <w:pPr>
              <w:pStyle w:val="Compact"/>
              <w:jc w:val="left"/>
            </w:pPr>
            <w:r>
              <w:t xml:space="preserve">H3a</w:t>
            </w:r>
          </w:p>
        </w:tc>
        <w:tc>
          <w:tcPr/>
          <w:p>
            <w:pPr>
              <w:pStyle w:val="Compact"/>
              <w:jc w:val="left"/>
            </w:pPr>
            <w:r>
              <w:t xml:space="preserve">DAI nhóm đang nổi/chuyển đổi (+)</w:t>
            </w:r>
          </w:p>
        </w:tc>
        <w:tc>
          <w:tcPr/>
          <w:p>
            <w:pPr>
              <w:pStyle w:val="Compact"/>
              <w:jc w:val="left"/>
            </w:pPr>
            <w:r>
              <w:t xml:space="preserve">CDCM × Digital Adoption Lens</w:t>
            </w:r>
          </w:p>
        </w:tc>
        <w:tc>
          <w:tcPr/>
          <w:p>
            <w:pPr>
              <w:pStyle w:val="Compact"/>
              <w:jc w:val="left"/>
            </w:pPr>
            <w:r>
              <w:t xml:space="preserve">DAI,</w:t>
            </w:r>
            <w:r>
              <w:t xml:space="preserve"> </w:t>
            </w:r>
            <m:oMath>
              <m:r>
                <m:rPr>
                  <m:nor/>
                  <m:sty m:val="p"/>
                </m:rPr>
                <m:t>FSTS</m:t>
              </m:r>
              <m:r>
                <m:rPr>
                  <m:sty m:val="p"/>
                </m:rPr>
                <m:t>×</m:t>
              </m:r>
              <m:r>
                <m:rPr>
                  <m:nor/>
                  <m:sty m:val="p"/>
                </m:rPr>
                <m:t>DAI</m:t>
              </m:r>
            </m:oMath>
          </w:p>
        </w:tc>
        <w:tc>
          <w:tcPr/>
          <w:p>
            <w:pPr>
              <w:pStyle w:val="Compact"/>
              <w:jc w:val="left"/>
            </w:pPr>
            <m:oMath>
              <m:r>
                <m:t>β</m:t>
              </m:r>
              <m:d>
                <m:dPr>
                  <m:begChr m:val="("/>
                  <m:endChr m:val=")"/>
                  <m:sepChr m:val=""/>
                  <m:grow/>
                </m:dPr>
                <m:e>
                  <m:r>
                    <m:rPr>
                      <m:nor/>
                      <m:sty m:val="p"/>
                    </m:rPr>
                    <m:t>FSTS</m:t>
                  </m:r>
                  <m:r>
                    <m:rPr>
                      <m:sty m:val="p"/>
                    </m:rPr>
                    <m:t>×</m:t>
                  </m:r>
                  <m:r>
                    <m:rPr>
                      <m:nor/>
                      <m:sty m:val="p"/>
                    </m:rPr>
                    <m:t>DAI</m:t>
                  </m:r>
                </m:e>
              </m:d>
              <m:r>
                <m:rPr>
                  <m:sty m:val="p"/>
                </m:rPr>
                <m:t>&gt;</m:t>
              </m:r>
              <m:r>
                <m:t>0</m:t>
              </m:r>
            </m:oMath>
            <w:r>
              <w:t xml:space="preserve"> </w:t>
            </w:r>
            <w:r>
              <w:t xml:space="preserve">(Nhóm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r>
                <m:rPr>
                  <m:sty m:val="p"/>
                </m:rPr>
                <m:t>×</m:t>
              </m:r>
              <m:r>
                <m:rPr>
                  <m:nor/>
                  <m:sty m:val="p"/>
                </m:rPr>
                <m:t>DAI</m:t>
              </m:r>
            </m:oMath>
          </w:p>
        </w:tc>
        <w:tc>
          <w:tcPr/>
          <w:p>
            <w:pPr>
              <w:pStyle w:val="Compact"/>
              <w:jc w:val="left"/>
            </w:pPr>
            <w:r>
              <w:t xml:space="preserve">Direct: null/–; cond:</w:t>
            </w:r>
            <w:r>
              <w:t xml:space="preserve"> </w:t>
            </w:r>
            <m:oMath>
              <m:r>
                <m:t>β</m:t>
              </m:r>
              <m:d>
                <m:dPr>
                  <m:begChr m:val="("/>
                  <m:endChr m:val=")"/>
                  <m:sepChr m:val=""/>
                  <m:grow/>
                </m:dPr>
                <m:e>
                  <m:sSup>
                    <m:e>
                      <m:r>
                        <m:rPr>
                          <m:nor/>
                          <m:sty m:val="p"/>
                        </m:rPr>
                        <m:t>FSTS</m:t>
                      </m:r>
                    </m:e>
                    <m:sup>
                      <m:r>
                        <m:t>2</m:t>
                      </m:r>
                    </m:sup>
                  </m:sSup>
                  <m:r>
                    <m:rPr>
                      <m:sty m:val="p"/>
                    </m:rPr>
                    <m:t>×</m:t>
                  </m:r>
                  <m:r>
                    <m:rPr>
                      <m:nor/>
                      <m:sty m:val="p"/>
                    </m:rPr>
                    <m:t>DAI</m:t>
                  </m:r>
                </m:e>
              </m:d>
              <m:r>
                <m:rPr>
                  <m:sty m:val="p"/>
                </m:rPr>
                <m:t>&gt;</m:t>
              </m:r>
              <m:r>
                <m:t>0</m:t>
              </m:r>
            </m:oMath>
            <w:r>
              <w:t xml:space="preserve"> </w:t>
            </w:r>
            <w:r>
              <w:t xml:space="preserve">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w:t>
            </w:r>
            <w:r>
              <w:t xml:space="preserve"> </w:t>
            </w:r>
            <m:oMath>
              <m:r>
                <m:rPr>
                  <m:nor/>
                  <m:sty m:val="p"/>
                </m:rPr>
                <m:t>FSTS</m:t>
              </m:r>
              <m:r>
                <m:rPr>
                  <m:sty m:val="p"/>
                </m:rPr>
                <m:t>×</m:t>
              </m:r>
              <m:r>
                <m:rPr>
                  <m:nor/>
                  <m:sty m:val="p"/>
                </m:rPr>
                <m:t>exp</m:t>
              </m:r>
            </m:oMath>
          </w:p>
        </w:tc>
        <w:tc>
          <w:tcPr/>
          <w:p>
            <w:pPr>
              <w:pStyle w:val="Compact"/>
              <w:jc w:val="left"/>
            </w:pPr>
            <m:oMath>
              <m:r>
                <m:t>β</m:t>
              </m:r>
              <m:d>
                <m:dPr>
                  <m:begChr m:val="("/>
                  <m:endChr m:val=")"/>
                  <m:sepChr m:val=""/>
                  <m:grow/>
                </m:dPr>
                <m:e>
                  <m:r>
                    <m:rPr>
                      <m:nor/>
                      <m:sty m:val="p"/>
                    </m:rPr>
                    <m:t>FSTS</m:t>
                  </m:r>
                  <m:r>
                    <m:rPr>
                      <m:sty m:val="p"/>
                    </m:rPr>
                    <m:t>×</m:t>
                  </m:r>
                  <m:r>
                    <m:rPr>
                      <m:nor/>
                      <m:sty m:val="p"/>
                    </m:rPr>
                    <m:t>exp</m:t>
                  </m:r>
                </m:e>
              </m:d>
              <m:r>
                <m:rPr>
                  <m:sty m:val="p"/>
                </m:rPr>
                <m:t>&gt;</m:t>
              </m:r>
              <m:r>
                <m:t>0</m:t>
              </m:r>
            </m:oMath>
            <w:r>
              <w:t xml:space="preserve"> </w:t>
            </w:r>
            <w:r>
              <w:t xml:space="preserve">(</w:t>
            </w:r>
            <m:oMath>
              <m:sSub>
                <m:e>
                  <m:r>
                    <m:t>δ</m:t>
                  </m:r>
                </m:e>
                <m:sub>
                  <m:r>
                    <m:rPr>
                      <m:nor/>
                      <m:sty m:val="p"/>
                    </m:rPr>
                    <m:t>exp</m:t>
                  </m:r>
                </m:sub>
              </m:sSub>
              <m:r>
                <m:rPr>
                  <m:sty m:val="p"/>
                </m:rPr>
                <m:t>&gt;</m:t>
              </m:r>
              <m:r>
                <m:t>0</m:t>
              </m:r>
            </m:oMath>
            <w:r>
              <w:t xml:space="preserve">)</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w:t>
            </w:r>
            <w:r>
              <w:t xml:space="preserve"> </w:t>
            </w:r>
            <m:oMath>
              <m:r>
                <m:rPr>
                  <m:nor/>
                  <m:sty m:val="p"/>
                </m:rPr>
                <m:t>FSTS</m:t>
              </m:r>
              <m:r>
                <m:rPr>
                  <m:sty m:val="p"/>
                </m:rPr>
                <m:t>×</m:t>
              </m:r>
              <m:r>
                <m:rPr>
                  <m:nor/>
                  <m:sty m:val="p"/>
                </m:rPr>
                <m:t>educ</m:t>
              </m:r>
            </m:oMath>
          </w:p>
        </w:tc>
        <w:tc>
          <w:tcPr/>
          <w:p>
            <w:pPr>
              <w:pStyle w:val="Compact"/>
              <w:jc w:val="left"/>
            </w:pPr>
            <m:oMath>
              <m:r>
                <m:t>β</m:t>
              </m:r>
              <m:d>
                <m:dPr>
                  <m:begChr m:val="("/>
                  <m:endChr m:val=")"/>
                  <m:sepChr m:val=""/>
                  <m:grow/>
                </m:dPr>
                <m:e>
                  <m:r>
                    <m:rPr>
                      <m:nor/>
                      <m:sty m:val="p"/>
                    </m:rPr>
                    <m:t>FSTS</m:t>
                  </m:r>
                  <m:r>
                    <m:rPr>
                      <m:sty m:val="p"/>
                    </m:rPr>
                    <m:t>×</m:t>
                  </m:r>
                  <m:r>
                    <m:rPr>
                      <m:nor/>
                      <m:sty m:val="p"/>
                    </m:rPr>
                    <m:t>educ</m:t>
                  </m:r>
                </m:e>
              </m:d>
              <m:r>
                <m:rPr>
                  <m:sty m:val="p"/>
                </m:rPr>
                <m:t>&gt;</m:t>
              </m:r>
              <m:r>
                <m:t>0</m:t>
              </m:r>
            </m:oMath>
            <w:r>
              <w:t xml:space="preserve"> </w:t>
            </w:r>
            <w:r>
              <w:t xml:space="preserve">(</w:t>
            </w:r>
            <m:oMath>
              <m:sSub>
                <m:e>
                  <m:r>
                    <m:t>δ</m:t>
                  </m:r>
                </m:e>
                <m:sub>
                  <m:r>
                    <m:rPr>
                      <m:nor/>
                      <m:sty m:val="p"/>
                    </m:rPr>
                    <m:t>educ</m:t>
                  </m:r>
                </m:sub>
              </m:sSub>
              <m:r>
                <m:rPr>
                  <m:sty m:val="p"/>
                </m:rPr>
                <m:t>&gt;</m:t>
              </m:r>
              <m:r>
                <m:t>0</m:t>
              </m:r>
            </m:oMath>
            <w:r>
              <w:t xml:space="preserve">)</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khám phá</w:t>
            </w:r>
          </w:p>
        </w:tc>
        <w:tc>
          <w:tcPr/>
          <w:p>
            <w:pPr>
              <w:pStyle w:val="Compact"/>
              <w:jc w:val="left"/>
            </w:pPr>
            <w:r>
              <w:t xml:space="preserve">Upper Echelons</w:t>
            </w:r>
          </w:p>
        </w:tc>
        <w:tc>
          <w:tcPr/>
          <w:p>
            <w:pPr>
              <w:pStyle w:val="Compact"/>
              <w:jc w:val="left"/>
            </w:pPr>
            <w:r>
              <w:t xml:space="preserve">gender_manager,</w:t>
            </w:r>
            <w:r>
              <w:t xml:space="preserve"> </w:t>
            </w:r>
            <m:oMath>
              <m:r>
                <m:rPr>
                  <m:nor/>
                  <m:sty m:val="p"/>
                </m:rPr>
                <m:t>FSTS</m:t>
              </m:r>
              <m:r>
                <m:rPr>
                  <m:sty m:val="p"/>
                </m:rPr>
                <m:t>×</m:t>
              </m:r>
              <m:r>
                <m:rPr>
                  <m:nor/>
                  <m:sty m:val="p"/>
                </m:rPr>
                <m:t>gender</m:t>
              </m:r>
            </m:oMath>
          </w:p>
        </w:tc>
        <w:tc>
          <w:tcPr/>
          <w:p>
            <w:pPr>
              <w:pStyle w:val="Compact"/>
              <w:jc w:val="left"/>
            </w:pPr>
            <w:r>
              <w:t xml:space="preserve">Khám phá, hai phía</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Phổ ICRV</w:t>
            </w:r>
          </w:p>
        </w:tc>
        <w:tc>
          <w:tcPr/>
          <w:p>
            <w:pPr>
              <w:pStyle w:val="Compact"/>
              <w:jc w:val="left"/>
            </w:pPr>
            <w:r>
              <w:t xml:space="preserve">Institutional Theory</w:t>
            </w:r>
          </w:p>
        </w:tc>
        <w:tc>
          <w:tcPr/>
          <w:p>
            <w:pPr>
              <w:pStyle w:val="Compact"/>
              <w:jc w:val="left"/>
            </w:pPr>
            <m:oMath>
              <m:sSub>
                <m:e>
                  <m:r>
                    <m:rPr>
                      <m:nor/>
                      <m:sty m:val="p"/>
                    </m:rPr>
                    <m:t>ICRV</m:t>
                  </m:r>
                </m:e>
                <m:sub>
                  <m:r>
                    <m:t>j</m:t>
                  </m:r>
                </m:sub>
              </m:sSub>
              <m:r>
                <m:rPr>
                  <m:sty m:val="p"/>
                </m:rPr>
                <m:t>×</m:t>
              </m:r>
              <m:r>
                <m:rPr>
                  <m:nor/>
                  <m:sty m:val="p"/>
                </m:rPr>
                <m:t>FSTS</m:t>
              </m:r>
            </m:oMath>
          </w:p>
        </w:tc>
        <w:tc>
          <w:tcPr/>
          <w:p>
            <w:pPr>
              <w:pStyle w:val="Compact"/>
              <w:jc w:val="left"/>
            </w:pPr>
            <w:r>
              <w:t xml:space="preserve">TP phổ thể chế; Nhóm VI gánh nặng bắt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m:oMath>
              <m:r>
                <m:rPr>
                  <m:nor/>
                  <m:sty m:val="p"/>
                </m:rPr>
                <m:t>Year_bucket</m:t>
              </m:r>
              <m:r>
                <m:rPr>
                  <m:sty m:val="p"/>
                </m:rPr>
                <m:t>×</m:t>
              </m:r>
              <m:r>
                <m:rPr>
                  <m:nor/>
                  <m:sty m:val="p"/>
                </m:rPr>
                <m:t>FSTS</m:t>
              </m:r>
            </m:oMath>
          </w:p>
        </w:tc>
        <w:tc>
          <w:tcPr/>
          <w:p>
            <w:pPr>
              <w:pStyle w:val="Compact"/>
              <w:jc w:val="left"/>
            </w:pPr>
            <m:oMath>
              <m:r>
                <m:t>β</m:t>
              </m:r>
              <m:d>
                <m:dPr>
                  <m:begChr m:val="("/>
                  <m:endChr m:val=")"/>
                  <m:sepChr m:val=""/>
                  <m:grow/>
                </m:dPr>
                <m:e>
                  <m:r>
                    <m:rPr>
                      <m:nor/>
                      <m:sty m:val="p"/>
                    </m:rPr>
                    <m:t>FSTS</m:t>
                  </m:r>
                  <m:r>
                    <m:rPr>
                      <m:sty m:val="p"/>
                    </m:rPr>
                    <m:t>×</m:t>
                  </m:r>
                  <m:r>
                    <m:rPr>
                      <m:nor/>
                      <m:sty m:val="p"/>
                    </m:rPr>
                    <m:t>Year</m:t>
                  </m:r>
                </m:e>
              </m:d>
              <m:r>
                <m:rPr>
                  <m:sty m:val="p"/>
                </m:rPr>
                <m:t>≠</m:t>
              </m:r>
              <m:r>
                <m:t>0</m:t>
              </m:r>
            </m:oMath>
          </w:p>
        </w:tc>
        <w:tc>
          <w:tcPr/>
          <w:p>
            <w:pPr>
              <w:pStyle w:val="Compact"/>
              <w:jc w:val="left"/>
            </w:pPr>
            <w:r>
              <w:t xml:space="preserve">P3 Paternoster p &lt; 0,001; P5 TCI p = 0,011</w:t>
            </w:r>
          </w:p>
        </w:tc>
      </w:tr>
    </w:tbl>
    <w:p>
      <w:pPr>
        <w:pStyle w:val="BodyText"/>
      </w:pPr>
      <w:r>
        <w:t xml:space="preserve">Mười một mệnh đề con dưới sáu giả thuyết chính H1–H6 (H1 với hai cơ chế biên tham gia và biên cường độ, H2, H3a–H3b với H3c tính phân biệt, H4a–H4c, H5, H6) tạo thành hệ thống logic nhất quán: H1 cùng hai cơ chế biên tham gia và biên cường độ (phi tuyến) là trọng tâm; H2 (TCI nâng mặt bằng) và H3a/H3b (DAI phụ thuộc regime) phân rã cơ chế năng lực doanh nghiệp với dấu kỳ vọng khác nhau theo ngữ cảnh; H4a–H4c (Quản trị) bổ sung tầng lý thuyết thượng tầng quản trị với dấu kỳ vọng phân biệt theo đặc điểm nhà quản trị; H5 (ICRV phổ thể chế)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quốc tế hóa và hiệu quả ở Nhóm I, câu hỏi chưa được trả lời trong bất kỳ nghiên cứu quốc tế hóa và hiệu quả nào trước đây.</w:t>
      </w:r>
    </w:p>
    <w:bookmarkEnd w:id="61"/>
    <w:bookmarkEnd w:id="62"/>
    <w:bookmarkStart w:id="73" w:name="thiết-kế-mô-hình-thực-nghiệm-m0m7"/>
    <w:p>
      <w:pPr>
        <w:pStyle w:val="Heading4"/>
      </w:pPr>
      <w:r>
        <w:t xml:space="preserve">2.3.5 Thiết kế mô hình thực nghiệm (M0–M7)</w:t>
      </w:r>
    </w:p>
    <w:bookmarkStart w:id="63" w:name="nguyên-tắc-mô-hình"/>
    <w:p>
      <w:pPr>
        <w:pStyle w:val="Heading5"/>
      </w:pPr>
      <w:r>
        <w:t xml:space="preserve">Nguyên tắc mô hình</w:t>
      </w:r>
    </w:p>
    <w:p>
      <w:pPr>
        <w:pStyle w:val="FirstParagraph"/>
      </w:pPr>
      <w:r>
        <w:t xml:space="preserve">Tám mô hình M0–M7 được xây dựng theo cấu trúc lồng nhau: mỗi mô hình sau bổ sung thêm biến so với mô hình trước, cho phép so sánh AIC/BIC và R² tăng thêm, và kiểm định từng giả thuyết bằng F-test theo khối. Tất cả mô hình sử dụng: biến phụ thuộc là ln(LP) = ln(doanh thu hằng năm trong nội tệ / lao động thường xuyên), chuẩn hóa z trong cụm nền kinh tế × năm (xem Mục 2.3.6); sai số chuẩn HC1 robust (Long &amp; Ervin, 2000) làm chuẩn; hiệu ứng cố định quốc gia (</w:t>
      </w:r>
      <m:oMath>
        <m:sSub>
          <m:e>
            <m:r>
              <m:t>α</m:t>
            </m:r>
          </m:e>
          <m:sub>
            <m:r>
              <m:t>j</m:t>
            </m:r>
          </m:sub>
        </m:sSub>
      </m:oMath>
      <w:r>
        <w:t xml:space="preserve">) và năm (</w:t>
      </w:r>
      <m:oMath>
        <m:sSub>
          <m:e>
            <m:r>
              <m:t>δ</m:t>
            </m:r>
          </m:e>
          <m:sub>
            <m:r>
              <m:t>t</m:t>
            </m:r>
          </m:sub>
        </m:sSub>
      </m:oMath>
      <w:r>
        <w:t xml:space="preserve">); FSTS được tính trung tâm theo mean trước khi tính</w:t>
      </w:r>
      <w:r>
        <w:t xml:space="preserve"> </w:t>
      </w:r>
      <m:oMath>
        <m:sSup>
          <m:e>
            <m:r>
              <m:rPr>
                <m:sty m:val="p"/>
              </m:rPr>
              <m:t>F</m:t>
            </m:r>
            <m:r>
              <m:rPr>
                <m:sty m:val="p"/>
              </m:rPr>
              <m:t>S</m:t>
            </m:r>
            <m:r>
              <m:rPr>
                <m:sty m:val="p"/>
              </m:rPr>
              <m:t>T</m:t>
            </m:r>
            <m:r>
              <m:rPr>
                <m:sty m:val="p"/>
              </m:rPr>
              <m: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r>
          <m:rPr>
            <m:sty m:val="p"/>
          </m:rPr>
          <m:t>&gt;</m:t>
        </m:r>
        <m:r>
          <m:t>0</m:t>
        </m:r>
        <m:r>
          <m:rPr>
            <m:sty m:val="p"/>
          </m:rPr>
          <m:t>,</m:t>
        </m:r>
        <m:r>
          <m:t>01</m:t>
        </m:r>
      </m:oMath>
      <w:r>
        <w:t xml:space="preserve"> </w:t>
      </w:r>
      <w:r>
        <w:t xml:space="preserve">để thêm biến điều tiết;</w:t>
      </w:r>
      <w:r>
        <w:t xml:space="preserve"> </w:t>
      </w:r>
      <m:oMath>
        <m:r>
          <m:t>Δ</m:t>
        </m:r>
        <m:r>
          <m:rPr>
            <m:sty m:val="p"/>
          </m:rPr>
          <m:t>A</m:t>
        </m:r>
        <m:r>
          <m:rPr>
            <m:sty m:val="p"/>
          </m:rPr>
          <m:t>I</m:t>
        </m:r>
        <m:r>
          <m:rPr>
            <m:sty m:val="p"/>
          </m:rPr>
          <m:t>C</m:t>
        </m:r>
        <m:r>
          <m:rPr>
            <m:sty m:val="p"/>
          </m:rPr>
          <m:t>&lt;</m:t>
        </m:r>
        <m:r>
          <m:rPr>
            <m:sty m:val="p"/>
          </m:rPr>
          <m:t>−</m:t>
        </m:r>
        <m:r>
          <m:t>2</m:t>
        </m:r>
      </m:oMath>
      <w:r>
        <w:t xml:space="preserve"> </w:t>
      </w:r>
      <w:r>
        <w:t xml:space="preserve">ủng hộ mô hình phức tạp hơn;</w:t>
      </w:r>
      <w:r>
        <w:t xml:space="preserve"> </w:t>
      </w:r>
      <m:oMath>
        <m:r>
          <m:t>Δ</m:t>
        </m:r>
        <m:r>
          <m:rPr>
            <m:sty m:val="p"/>
          </m:rPr>
          <m:t>B</m:t>
        </m:r>
        <m:r>
          <m:rPr>
            <m:sty m:val="p"/>
          </m:rPr>
          <m:t>I</m:t>
        </m:r>
        <m:r>
          <m:rPr>
            <m:sty m:val="p"/>
          </m:rPr>
          <m:t>C</m:t>
        </m:r>
        <m:r>
          <m:rPr>
            <m:sty m:val="p"/>
          </m:rPr>
          <m:t>&lt;</m:t>
        </m:r>
        <m:r>
          <m:rPr>
            <m:sty m:val="p"/>
          </m:rPr>
          <m:t>−</m:t>
        </m:r>
        <m:r>
          <m:t>10</m:t>
        </m:r>
      </m:oMath>
      <w:r>
        <w:t xml:space="preserve"> </w:t>
      </w:r>
      <w:r>
        <w:t xml:space="preserve">là bằng chứng mạnh; F-test</w:t>
      </w:r>
      <w:r>
        <w:t xml:space="preserve"> </w:t>
      </w:r>
      <m:oMath>
        <m:r>
          <m:t>p</m:t>
        </m:r>
        <m:r>
          <m:rPr>
            <m:sty m:val="p"/>
          </m:rPr>
          <m:t>&lt;</m:t>
        </m:r>
        <m:r>
          <m:t>0</m:t>
        </m:r>
        <m:r>
          <m:rPr>
            <m:sty m:val="p"/>
          </m:rPr>
          <m:t>,</m:t>
        </m:r>
        <m:r>
          <m:t>05</m:t>
        </m:r>
      </m:oMath>
      <w:r>
        <w:t xml:space="preserve"> </w:t>
      </w:r>
      <w:r>
        <w:t xml:space="preserve">để thêm khối biến. M7 được báo cáo nếu ΔAIC(M7 vs M4+M3 kết hợp) &lt; −2 VÀ F-test p &lt; 0,05.</w:t>
      </w:r>
    </w:p>
    <w:bookmarkEnd w:id="63"/>
    <w:bookmarkStart w:id="64" w:name="m0-cơ-sở-tuyến-tính"/>
    <w:p>
      <w:pPr>
        <w:pStyle w:val="Heading5"/>
      </w:pPr>
      <w:r>
        <w:t xml:space="preserve">M0: Cơ sở tuyến tính</w:t>
      </w:r>
    </w:p>
    <w:p>
      <w:pPr>
        <w:pStyle w:val="FirstParagraph"/>
      </w:pPr>
    </w:p>
    <w:p>
      <w:pPr>
        <w:pStyle w:val="BodyText"/>
      </w:pPr>
      <w:r>
        <w:t xml:space="preserve">Mục đích: thiết lập cơ sở và kiểm tra hướng tác động tuyến tính thuần túy.</w:t>
      </w:r>
      <w:r>
        <w:t xml:space="preserve"> </w:t>
      </w:r>
      <w:r>
        <w:t xml:space="preserve">Kỳ vọng:</w:t>
      </w:r>
      <w:r>
        <w:t xml:space="preserve"> </w:t>
      </w:r>
      <m:oMath>
        <m:sSub>
          <m:e>
            <m:r>
              <m:t>β</m:t>
            </m:r>
          </m:e>
          <m:sub>
            <m:r>
              <m:t>1</m:t>
            </m:r>
          </m:sub>
        </m:sSub>
        <m:r>
          <m:rPr>
            <m:sty m:val="p"/>
          </m:rPr>
          <m:t>&gt;</m:t>
        </m:r>
        <m:r>
          <m:t>0</m:t>
        </m:r>
      </m:oMath>
      <w:r>
        <w:t xml:space="preserve"> </w:t>
      </w:r>
      <w:r>
        <w:t xml:space="preserve">(tác động dương trung bình của xuất khẩu).</w:t>
      </w:r>
      <w:r>
        <w:t xml:space="preserve"> </w:t>
      </w:r>
      <w:r>
        <w:t xml:space="preserve">Hạn chế: không nắm bắt được phi tuyến tính, cung cấp ước lượng cận dưới cho tác động quốc tế hóa.</w:t>
      </w:r>
    </w:p>
    <w:bookmarkEnd w:id="64"/>
    <w:bookmarkStart w:id="65"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tài liệu.</w:t>
      </w:r>
      <w:r>
        <w:t xml:space="preserve"> </w:t>
      </w:r>
      <w:r>
        <w:t xml:space="preserve">Kỳ vọng:</w:t>
      </w:r>
      <w:r>
        <w:t xml:space="preserve"> </w:t>
      </w:r>
      <m:oMath>
        <m:sSub>
          <m:e>
            <m:r>
              <m:t>β</m:t>
            </m:r>
          </m:e>
          <m:sub>
            <m:r>
              <m:t>1</m:t>
            </m:r>
          </m:sub>
        </m:sSub>
        <m:r>
          <m:rPr>
            <m:sty m:val="p"/>
          </m:rPr>
          <m:t>&gt;</m:t>
        </m:r>
        <m:r>
          <m:t>0</m:t>
        </m:r>
      </m:oMath>
      <w:r>
        <w:t xml:space="preserve">,</w:t>
      </w:r>
      <w:r>
        <w:t xml:space="preserve"> </w:t>
      </w:r>
      <m:oMath>
        <m:sSub>
          <m:e>
            <m:r>
              <m:t>β</m:t>
            </m:r>
          </m:e>
          <m:sub>
            <m:r>
              <m:t>2</m:t>
            </m:r>
          </m:sub>
        </m:sSub>
        <m:r>
          <m:rPr>
            <m:sty m:val="p"/>
          </m:rPr>
          <m:t>&lt;</m:t>
        </m:r>
        <m:r>
          <m:t>0</m:t>
        </m:r>
      </m:oMath>
      <w:r>
        <w:t xml:space="preserve">.</w:t>
      </w:r>
      <w:r>
        <w:t xml:space="preserve"> </w:t>
      </w:r>
      <w:r>
        <w:t xml:space="preserve">Điểm uốn:</w:t>
      </w:r>
      <w:r>
        <w:t xml:space="preserve"> </w:t>
      </w:r>
      <m:oMath>
        <m:sSub>
          <m:e>
            <m:r>
              <m:rPr>
                <m:sty m:val="p"/>
              </m:rPr>
              <m:t>T</m:t>
            </m:r>
            <m:r>
              <m:rPr>
                <m:sty m:val="p"/>
              </m:rPr>
              <m:t>P</m:t>
            </m:r>
          </m:e>
          <m:sub>
            <m:r>
              <m:t>1</m:t>
            </m:r>
          </m:sub>
        </m:sSub>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mức FSTS tối ưu (trên thang mean-centered).</w:t>
      </w:r>
      <w:r>
        <w:t xml:space="preserve"> </w:t>
      </w:r>
      <w:r>
        <w:t xml:space="preserve">Kiểm định bổ sung: Lind–Mehlum (2010) để xác nhận chữ U ngược thực sự.</w:t>
      </w:r>
    </w:p>
    <w:bookmarkEnd w:id="65"/>
    <w:bookmarkStart w:id="66" w:name="X51cb9b2996366fdc36147f0c453aa9546199387"/>
    <w:p>
      <w:pPr>
        <w:pStyle w:val="Heading5"/>
      </w:pPr>
      <w:r>
        <w:t xml:space="preserve">M2: đường cong chữ S bậc ba (kiểm định H1 đầy đủ)</w:t>
      </w:r>
    </w:p>
    <w:p>
      <w:pPr>
        <w:pStyle w:val="FirstParagraph"/>
      </w:pPr>
    </w:p>
    <w:p>
      <w:pPr>
        <w:pStyle w:val="BodyText"/>
      </w:pPr>
      <w:r>
        <w:t xml:space="preserve">Mục đích: kiểm định đường cong chữ S ba giai đoạn (Lu &amp; Beamish, 2004; Contractor et al., 2003).</w:t>
      </w:r>
      <w:r>
        <w:t xml:space="preserve"> </w:t>
      </w:r>
      <w:r>
        <w:t xml:space="preserve">Kỳ vọng:</w:t>
      </w:r>
      <w:r>
        <w:t xml:space="preserve"> </w:t>
      </w:r>
      <m:oMath>
        <m:sSub>
          <m:e>
            <m:r>
              <m:t>β</m:t>
            </m:r>
          </m:e>
          <m:sub>
            <m:r>
              <m:t>1</m:t>
            </m:r>
          </m:sub>
        </m:sSub>
        <m:r>
          <m:rPr>
            <m:sty m:val="p"/>
          </m:rPr>
          <m:t>&gt;</m:t>
        </m:r>
        <m:r>
          <m:t>0</m:t>
        </m:r>
      </m:oMath>
      <w:r>
        <w:t xml:space="preserve">,</w:t>
      </w:r>
      <w:r>
        <w:t xml:space="preserve"> </w:t>
      </w:r>
      <m:oMath>
        <m:sSub>
          <m:e>
            <m:r>
              <m:t>β</m:t>
            </m:r>
          </m:e>
          <m:sub>
            <m:r>
              <m:t>2</m:t>
            </m:r>
          </m:sub>
        </m:sSub>
        <m:r>
          <m:rPr>
            <m:sty m:val="p"/>
          </m:rPr>
          <m:t>&lt;</m:t>
        </m:r>
        <m:r>
          <m:t>0</m:t>
        </m:r>
      </m:oMath>
      <w:r>
        <w:t xml:space="preserve">,</w:t>
      </w:r>
      <w:r>
        <w:t xml:space="preserve"> </w:t>
      </w:r>
      <m:oMath>
        <m:sSub>
          <m:e>
            <m:r>
              <m:t>β</m:t>
            </m:r>
          </m:e>
          <m:sub>
            <m:r>
              <m:t>3</m:t>
            </m:r>
          </m:sub>
        </m:sSub>
        <m:r>
          <m:rPr>
            <m:sty m:val="p"/>
          </m:rPr>
          <m:t>&gt;</m:t>
        </m:r>
        <m:r>
          <m:t>0</m:t>
        </m:r>
      </m:oMath>
      <w:r>
        <w:t xml:space="preserve">.</w:t>
      </w:r>
      <w:r>
        <w:t xml:space="preserve"> </w:t>
      </w:r>
      <w:r>
        <w:t xml:space="preserve">Lựa chọn mô hình: so sánh M1 và M2 bằng AIC, BIC, và F-test</w:t>
      </w:r>
      <w:r>
        <w:t xml:space="preserve"> </w:t>
      </w:r>
      <m:oMath>
        <m:sSub>
          <m:e>
            <m:r>
              <m:t>β</m:t>
            </m:r>
          </m:e>
          <m:sub>
            <m:r>
              <m:t>3</m:t>
            </m:r>
          </m:sub>
        </m:sSub>
        <m:r>
          <m:rPr>
            <m:sty m:val="p"/>
          </m:rPr>
          <m:t>=</m:t>
        </m:r>
        <m:r>
          <m:t>0</m:t>
        </m:r>
      </m:oMath>
      <w:r>
        <w:t xml:space="preserve">.</w:t>
      </w:r>
    </w:p>
    <w:bookmarkEnd w:id="66"/>
    <w:bookmarkStart w:id="67"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r>
          <m:rPr>
            <m:sty m:val="p"/>
          </m:rPr>
          <m:t>&gt;</m:t>
        </m:r>
        <m:r>
          <m:t>0</m:t>
        </m:r>
      </m:oMath>
      <w:r>
        <w:t xml:space="preserve">)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r>
          <m:rPr>
            <m:sty m:val="p"/>
          </m:rPr>
          <m:t>&gt;</m:t>
        </m:r>
        <m:r>
          <m:t>0</m:t>
        </m:r>
      </m:oMath>
      <w:r>
        <w:t xml:space="preserve"> </w:t>
      </w:r>
      <w:r>
        <w:t xml:space="preserve">(hiệu ứng TCI trực tiếp).</w:t>
      </w:r>
      <w:r>
        <w:t xml:space="preserve"> </w:t>
      </w:r>
      <w:r>
        <w:t xml:space="preserve">Kiểm định: F-test (</w:t>
      </w:r>
      <m:oMath>
        <m:sSub>
          <m:e>
            <m:r>
              <m:t>β</m:t>
            </m:r>
          </m:e>
          <m:sub>
            <m:r>
              <m:t>4</m:t>
            </m:r>
          </m:sub>
        </m:sSub>
        <m:r>
          <m:rPr>
            <m:sty m:val="p"/>
          </m:rPr>
          <m:t>=</m:t>
        </m:r>
        <m:sSub>
          <m:e>
            <m:r>
              <m:t>β</m:t>
            </m:r>
          </m:e>
          <m:sub>
            <m:r>
              <m:t>5</m:t>
            </m:r>
          </m:sub>
        </m:sSub>
        <m:r>
          <m:rPr>
            <m:sty m:val="p"/>
          </m:rPr>
          <m:t>=</m:t>
        </m:r>
        <m:r>
          <m:t>0</m:t>
        </m:r>
      </m:oMath>
      <w:r>
        <w:t xml:space="preserve">) = kiểm định điều tiết kết hợp (joint moderation); nếu</w:t>
      </w:r>
      <w:r>
        <w:t xml:space="preserve"> </w:t>
      </w:r>
      <m:oMath>
        <m:r>
          <m:t>p</m:t>
        </m:r>
        <m:r>
          <m:rPr>
            <m:sty m:val="p"/>
          </m:rPr>
          <m:t>&gt;</m:t>
        </m:r>
        <m:r>
          <m:t>0</m:t>
        </m:r>
        <m:r>
          <m:rPr>
            <m:sty m:val="p"/>
          </m:rPr>
          <m:t>,</m:t>
        </m:r>
        <m:r>
          <m:t>10</m:t>
        </m:r>
      </m:oMath>
      <w:r>
        <w:t xml:space="preserve"> </w:t>
      </w:r>
      <w:r>
        <w:t xml:space="preserve">sang TCI là nâng mặt bằng thuần túy.</w:t>
      </w:r>
    </w:p>
    <w:bookmarkEnd w:id="67"/>
    <w:bookmarkStart w:id="68"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nguồn lực mở rộng tình huống.</w:t>
      </w:r>
      <w:r>
        <w:t xml:space="preserve"> </w:t>
      </w:r>
      <w:r>
        <w:t xml:space="preserve">Kỳ vọng:</w:t>
      </w:r>
      <w:r>
        <w:t xml:space="preserve"> </w:t>
      </w:r>
      <m:oMath>
        <m:sSub>
          <m:e>
            <m:r>
              <m:t>β</m:t>
            </m:r>
          </m:e>
          <m:sub>
            <m:r>
              <m:t>5</m:t>
            </m:r>
          </m:sub>
        </m:sSub>
        <m:d>
          <m:dPr>
            <m:begChr m:val="("/>
            <m:endChr m:val=")"/>
            <m:sepChr m:val=""/>
            <m:grow/>
          </m:dPr>
          <m:e>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e>
        </m:d>
        <m:r>
          <m:rPr>
            <m:sty m:val="p"/>
          </m:rPr>
          <m:t>&gt;</m:t>
        </m:r>
        <m:r>
          <m:t>0</m:t>
        </m:r>
      </m:oMath>
      <w:r>
        <w:t xml:space="preserve"> </w:t>
      </w:r>
      <w:r>
        <w:t xml:space="preserve">trong Nhóm I (nhất quán P4 Singapore</w:t>
      </w:r>
      <w:r>
        <w:t xml:space="preserve"> </w:t>
      </w:r>
      <m:oMath>
        <m:r>
          <m:rPr>
            <m:sty m:val="p"/>
          </m:rPr>
          <m:t>+</m:t>
        </m:r>
        <m:r>
          <m:t>3</m:t>
        </m:r>
        <m:r>
          <m:rPr>
            <m:sty m:val="p"/>
          </m:rPr>
          <m:t>,</m:t>
        </m:r>
        <m:r>
          <m:t>119</m:t>
        </m:r>
      </m:oMath>
      <w:r>
        <w:t xml:space="preserve">);</w:t>
      </w:r>
      <w:r>
        <w:t xml:space="preserve"> </w:t>
      </w:r>
      <m:oMath>
        <m:sSub>
          <m:e>
            <m:r>
              <m:t>β</m:t>
            </m:r>
          </m:e>
          <m:sub>
            <m:r>
              <m:t>3</m:t>
            </m:r>
          </m:sub>
        </m:sSub>
      </m:oMath>
      <w:r>
        <w:t xml:space="preserve"> </w:t>
      </w:r>
      <w:r>
        <w:t xml:space="preserve">(DAI trực tiếp) rồi</w:t>
      </w:r>
      <w:r>
        <w:t xml:space="preserve"> </w:t>
      </w:r>
      <m:oMath>
        <m:r>
          <m:t>0</m:t>
        </m:r>
      </m:oMath>
      <w:r>
        <w:t xml:space="preserve"> </w:t>
      </w:r>
      <w:r>
        <w:t xml:space="preserve">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8"/>
    <w:bookmarkStart w:id="69" w:name="Xa11d8e594967f6dc9b7fd56ec467a6a3177254d"/>
    <w:p>
      <w:pPr>
        <w:pStyle w:val="Heading5"/>
      </w:pPr>
      <w:r>
        <w:t xml:space="preserve">M5: + Điều tiết nhà quản trị (kiểm định H4a/H4b/H4c)</w:t>
      </w:r>
    </w:p>
    <w:p>
      <w:pPr>
        <w:pStyle w:val="FirstParagraph"/>
      </w:pPr>
    </w:p>
    <w:p>
      <w:pPr>
        <w:pStyle w:val="BodyText"/>
      </w:pPr>
      <w:r>
        <w:t xml:space="preserve">Biến Manager theo thứ tự ưu tiên: exp_manager (b5, H4a), biến chính với kỳ vọng β₄ &gt; 0; educ_manager (b7a, H4b), biến phụ với kỳ vọng β₄ &gt; 0; gender_manager (b7, H4c), khám phá, kiểm định hai phía.</w:t>
      </w:r>
      <w:r>
        <w:t xml:space="preserve"> </w:t>
      </w:r>
      <w:r>
        <w:t xml:space="preserve">Kỳ vọng:</w:t>
      </w:r>
      <w:r>
        <w:t xml:space="preserve"> </w:t>
      </w:r>
      <m:oMath>
        <m:sSub>
          <m:e>
            <m:r>
              <m:t>β</m:t>
            </m:r>
          </m:e>
          <m:sub>
            <m:r>
              <m:t>4</m:t>
            </m:r>
          </m:sub>
        </m:sSub>
        <m:d>
          <m:dPr>
            <m:begChr m:val="("/>
            <m:endChr m:val=")"/>
            <m:sepChr m:val=""/>
            <m:grow/>
          </m:dPr>
          <m:e>
            <m:r>
              <m:rPr>
                <m:sty m:val="p"/>
              </m:rPr>
              <m:t>F</m:t>
            </m:r>
            <m:r>
              <m:rPr>
                <m:sty m:val="p"/>
              </m:rPr>
              <m:t>S</m:t>
            </m:r>
            <m:r>
              <m:rPr>
                <m:sty m:val="p"/>
              </m:rPr>
              <m:t>T</m:t>
            </m:r>
            <m:r>
              <m:rPr>
                <m:sty m:val="p"/>
              </m:rPr>
              <m:t>S</m:t>
            </m:r>
            <m:r>
              <m:rPr>
                <m:sty m:val="p"/>
              </m:rPr>
              <m:t>×</m:t>
            </m:r>
            <m:r>
              <m:rPr>
                <m:nor/>
                <m:sty m:val="p"/>
              </m:rPr>
              <m:t>exp_manager</m:t>
            </m:r>
          </m:e>
        </m:d>
        <m:r>
          <m:rPr>
            <m:sty m:val="p"/>
          </m:rPr>
          <m:t>&gt;</m:t>
        </m:r>
        <m:r>
          <m:t>0</m:t>
        </m:r>
      </m:oMath>
      <w:r>
        <w:t xml:space="preserve"> </w:t>
      </w:r>
      <w:r>
        <w:t xml:space="preserve">[H4a];</w:t>
      </w:r>
      <w:r>
        <w:t xml:space="preserve"> </w:t>
      </w:r>
      <m:oMath>
        <m:sSub>
          <m:e>
            <m:r>
              <m:t>β</m:t>
            </m:r>
          </m:e>
          <m:sub>
            <m:r>
              <m:t>4</m:t>
            </m:r>
          </m:sub>
        </m:sSub>
        <m:d>
          <m:dPr>
            <m:begChr m:val="("/>
            <m:endChr m:val=")"/>
            <m:sepChr m:val=""/>
            <m:grow/>
          </m:dPr>
          <m:e>
            <m:r>
              <m:rPr>
                <m:sty m:val="p"/>
              </m:rPr>
              <m:t>F</m:t>
            </m:r>
            <m:r>
              <m:rPr>
                <m:sty m:val="p"/>
              </m:rPr>
              <m:t>S</m:t>
            </m:r>
            <m:r>
              <m:rPr>
                <m:sty m:val="p"/>
              </m:rPr>
              <m:t>T</m:t>
            </m:r>
            <m:r>
              <m:rPr>
                <m:sty m:val="p"/>
              </m:rPr>
              <m:t>S</m:t>
            </m:r>
            <m:r>
              <m:rPr>
                <m:sty m:val="p"/>
              </m:rPr>
              <m:t>×</m:t>
            </m:r>
            <m:r>
              <m:rPr>
                <m:nor/>
                <m:sty m:val="p"/>
              </m:rPr>
              <m:t>educ_manager</m:t>
            </m:r>
          </m:e>
        </m:d>
        <m:r>
          <m:rPr>
            <m:sty m:val="p"/>
          </m:rPr>
          <m:t>&gt;</m:t>
        </m:r>
        <m:r>
          <m:t>0</m:t>
        </m:r>
      </m:oMath>
      <w:r>
        <w:t xml:space="preserve"> </w:t>
      </w:r>
      <w:r>
        <w:t xml:space="preserve">[H4b];</w:t>
      </w:r>
      <w:r>
        <w:t xml:space="preserve"> </w:t>
      </w:r>
      <m:oMath>
        <m:sSub>
          <m:e>
            <m:r>
              <m:t>β</m:t>
            </m:r>
          </m:e>
          <m:sub>
            <m:r>
              <m:t>4</m:t>
            </m:r>
          </m:sub>
        </m:sSub>
        <m:d>
          <m:dPr>
            <m:begChr m:val="("/>
            <m:endChr m:val=")"/>
            <m:sepChr m:val=""/>
            <m:grow/>
          </m:dPr>
          <m:e>
            <m:r>
              <m:rPr>
                <m:sty m:val="p"/>
              </m:rPr>
              <m:t>F</m:t>
            </m:r>
            <m:r>
              <m:rPr>
                <m:sty m:val="p"/>
              </m:rPr>
              <m:t>S</m:t>
            </m:r>
            <m:r>
              <m:rPr>
                <m:sty m:val="p"/>
              </m:rPr>
              <m:t>T</m:t>
            </m:r>
            <m:r>
              <m:rPr>
                <m:sty m:val="p"/>
              </m:rPr>
              <m:t>S</m:t>
            </m:r>
            <m:r>
              <m:rPr>
                <m:sty m:val="p"/>
              </m:rPr>
              <m:t>×</m:t>
            </m:r>
            <m:r>
              <m:rPr>
                <m:nor/>
                <m:sty m:val="p"/>
              </m:rPr>
              <m:t>gender_manager</m:t>
            </m:r>
          </m:e>
        </m:d>
      </m:oMath>
      <w:r>
        <w:t xml:space="preserve">, không có kỳ vọng tiên nghiệm [H4c].</w:t>
      </w:r>
    </w:p>
    <w:bookmarkEnd w:id="69"/>
    <w:bookmarkStart w:id="70"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phổ thể chế ICRV và gánh nặng bắt buộc (Nhóm VI).</w:t>
      </w:r>
      <w:r>
        <w:t xml:space="preserve"> </w:t>
      </w:r>
      <w:r>
        <w:t xml:space="preserve">Nhóm tham chiếu: Nhóm I (tiên tiến đổi mới).</w:t>
      </w:r>
      <w:r>
        <w:t xml:space="preserve"> </w:t>
      </w:r>
      <w:r>
        <w:t xml:space="preserve">Kỳ vọng: cấu trúc ba vùng: hệ số bậc hai âm và có ý nghĩa chỉ ở Nhóm IV (và biên ý nghĩa ở Nhóm II); không ý nghĩa ở Nhóm I, III, V; Nhóm VI không có chữ U ngược; Nhóm VI có β(FSTS×ICRV_VI) ≤ 0 (neo đậu P8: FIP β = −1,339, SE 0,386, p &lt; 0,001).</w:t>
      </w:r>
      <w:r>
        <w:t xml:space="preserve"> </w:t>
      </w:r>
      <w:r>
        <w:t xml:space="preserve">Lưu ý: Country FE bị omit trong M6 do ICRV_j là biến cấp quốc gia bất biến theo thời gian, thay bằng Year FE + Region FE (6 vùng).</w:t>
      </w:r>
    </w:p>
    <w:bookmarkEnd w:id="70"/>
    <w:bookmarkStart w:id="71"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w:t>
      </w:r>
      <w:r>
        <w:t xml:space="preserve"> </w:t>
      </w:r>
      <m:oMath>
        <m:sSub>
          <m:e>
            <m:r>
              <m:rPr>
                <m:sty m:val="b"/>
              </m:rPr>
              <m:t>X</m:t>
            </m:r>
          </m:e>
          <m:sub>
            <m:r>
              <m:t>i</m:t>
            </m:r>
          </m:sub>
        </m:sSub>
      </m:oMath>
      <w:r>
        <w:t xml:space="preserve"> </w:t>
      </w:r>
      <w:r>
        <w:t xml:space="preserve">gồm: ln_employees, firm_age, foreign_own (</w:t>
      </w:r>
      <m:oMath>
        <m:r>
          <m:rPr>
            <m:sty m:val="p"/>
          </m:rPr>
          <m:t>≥</m:t>
        </m:r>
        <m:r>
          <m:t>10</m:t>
        </m:r>
        <m:r>
          <m:rPr>
            <m:sty m:val="p"/>
          </m:rPr>
          <m:t>%</m:t>
        </m:r>
      </m:oMath>
      <w:r>
        <w:t xml:space="preserve">), sector dummies;</w:t>
      </w:r>
      <w:r>
        <w:t xml:space="preserve"> </w:t>
      </w:r>
      <m:oMath>
        <m:sSub>
          <m:e>
            <m:r>
              <m:t>α</m:t>
            </m:r>
          </m:e>
          <m:sub>
            <m:r>
              <m:t>j</m:t>
            </m:r>
          </m:sub>
        </m:sSub>
      </m:oMath>
      <w:r>
        <w:t xml:space="preserve"> </w:t>
      </w:r>
      <w:r>
        <w:t xml:space="preserve">= country FE;</w:t>
      </w:r>
      <w:r>
        <w:t xml:space="preserve"> </w:t>
      </w:r>
      <m:oMath>
        <m:sSub>
          <m:e>
            <m:r>
              <m:t>δ</m:t>
            </m:r>
          </m:e>
          <m:sub>
            <m:r>
              <m:t>t</m:t>
            </m:r>
          </m:sub>
        </m:sSub>
      </m:oMath>
      <w:r>
        <w:t xml:space="preserve"> </w:t>
      </w:r>
      <w:r>
        <w:t xml:space="preserve">=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d>
          <m:dPr>
            <m:begChr m:val="("/>
            <m:endChr m:val=")"/>
            <m:sepChr m:val=""/>
            <m:grow/>
          </m:dPr>
          <m:e>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e>
        </m:d>
        <m:r>
          <m:rPr>
            <m:sty m:val="p"/>
          </m:rPr>
          <m:t>&gt;</m:t>
        </m:r>
        <m:r>
          <m:t>0</m:t>
        </m:r>
      </m:oMath>
      <w:r>
        <w:t xml:space="preserve"> </w:t>
      </w:r>
      <w:r>
        <w:t xml:space="preserve">trong Nhóm I;</w:t>
      </w:r>
      <w:r>
        <w:t xml:space="preserve"> </w:t>
      </w:r>
      <m:oMath>
        <m:sSub>
          <m:e>
            <m:r>
              <m:t>β</m:t>
            </m:r>
          </m:e>
          <m:sub>
            <m:r>
              <m:t>3</m:t>
            </m:r>
          </m:sub>
        </m:sSub>
        <m:d>
          <m:dPr>
            <m:begChr m:val="("/>
            <m:endChr m:val=")"/>
            <m:sepChr m:val=""/>
            <m:grow/>
          </m:dPr>
          <m:e>
            <m:r>
              <m:rPr>
                <m:sty m:val="p"/>
              </m:rPr>
              <m:t>T</m:t>
            </m:r>
            <m:r>
              <m:rPr>
                <m:sty m:val="p"/>
              </m:rPr>
              <m:t>C</m:t>
            </m:r>
            <m:r>
              <m:rPr>
                <m:sty m:val="p"/>
              </m:rPr>
              <m:t>I</m:t>
            </m:r>
          </m:e>
        </m:d>
        <m:r>
          <m:rPr>
            <m:sty m:val="p"/>
          </m:rPr>
          <m:t>&gt;</m:t>
        </m:r>
        <m:r>
          <m:t>0</m:t>
        </m:r>
      </m:oMath>
      <w:r>
        <w:t xml:space="preserve">;</w:t>
      </w:r>
      <w:r>
        <w:t xml:space="preserve"> </w:t>
      </w:r>
      <m:oMath>
        <m:sSub>
          <m:e>
            <m:r>
              <m:t>β</m:t>
            </m:r>
          </m:e>
          <m:sub>
            <m:r>
              <m:t>12</m:t>
            </m:r>
          </m:sub>
        </m:sSub>
        <m:r>
          <m:rPr>
            <m:sty m:val="p"/>
          </m:rPr>
          <m:t>/</m:t>
        </m:r>
        <m:sSub>
          <m:e>
            <m:r>
              <m:t>β</m:t>
            </m:r>
          </m:e>
          <m:sub>
            <m:r>
              <m:t>13</m:t>
            </m:r>
          </m:sub>
        </m:sSub>
        <m:r>
          <m:rPr>
            <m:sty m:val="p"/>
          </m:rPr>
          <m:t>≠</m:t>
        </m:r>
        <m:sSub>
          <m:e>
            <m:r>
              <m:t>β</m:t>
            </m:r>
          </m:e>
          <m:sub>
            <m:r>
              <m:t>10</m:t>
            </m:r>
          </m:sub>
        </m:sSub>
        <m:r>
          <m:rPr>
            <m:sty m:val="p"/>
          </m:rPr>
          <m:t>/</m:t>
        </m:r>
        <m:sSub>
          <m:e>
            <m:r>
              <m:t>β</m:t>
            </m:r>
          </m:e>
          <m:sub>
            <m:r>
              <m:t>11</m:t>
            </m:r>
          </m:sub>
        </m:sSub>
      </m:oMath>
      <w:r>
        <w:t xml:space="preserve"> </w:t>
      </w:r>
      <w:r>
        <w:t xml:space="preserve">(dịch chuyển thời gian).</w:t>
      </w:r>
      <w:r>
        <w:t xml:space="preserve"> </w:t>
      </w:r>
      <w:r>
        <w:t xml:space="preserve">Yêu cầu mẫu: với k = 13 tham số trọng tâm + controls, n ≥ 5.000 cần thiết cho power &gt; 0,80 tại f² = 0,02, dễ dàng đáp ứng với mẫu gộp 88.869 (50 nền, gồm Nhật Bản).</w:t>
      </w:r>
    </w:p>
    <w:bookmarkEnd w:id="71"/>
    <w:bookmarkStart w:id="72"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m:oMath>
              <m:sSub>
                <m:e>
                  <m:r>
                    <m:t>β</m:t>
                  </m:r>
                </m:e>
                <m:sub>
                  <m:r>
                    <m:t>1</m:t>
                  </m:r>
                </m:sub>
              </m:sSub>
              <m:r>
                <m:rPr>
                  <m:sty m:val="p"/>
                </m:rPr>
                <m:t>&gt;</m:t>
              </m:r>
              <m:r>
                <m:t>0</m:t>
              </m:r>
            </m:oMath>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r>
                <m:rPr>
                  <m:sty m:val="p"/>
                </m:rPr>
                <m:t>&lt;</m:t>
              </m:r>
              <m:r>
                <m:t>0</m:t>
              </m:r>
            </m:oMath>
            <w:r>
              <w:t xml:space="preserve">;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(chữ S)</w:t>
            </w:r>
          </w:p>
        </w:tc>
        <w:tc>
          <w:tcPr/>
          <w:p>
            <w:pPr>
              <w:pStyle w:val="Compact"/>
              <w:jc w:val="left"/>
            </w:pPr>
            <m:oMath>
              <m:sSub>
                <m:e>
                  <m:r>
                    <m:t>β</m:t>
                  </m:r>
                </m:e>
                <m:sub>
                  <m:r>
                    <m:t>3</m:t>
                  </m:r>
                </m:sub>
              </m:sSub>
              <m:r>
                <m:rPr>
                  <m:sty m:val="p"/>
                </m:rPr>
                <m:t>&gt;</m:t>
              </m:r>
              <m:r>
                <m:t>0</m:t>
              </m:r>
            </m:oMath>
            <w:r>
              <w:t xml:space="preserve">; F-test</w:t>
            </w:r>
            <w:r>
              <w:t xml:space="preserve"> </w:t>
            </w:r>
            <m:oMath>
              <m:sSub>
                <m:e>
                  <m:r>
                    <m:t>β</m:t>
                  </m:r>
                </m:e>
                <m:sub>
                  <m:r>
                    <m:t>3</m:t>
                  </m:r>
                </m:sub>
              </m:sSub>
              <m:r>
                <m:rPr>
                  <m:sty m:val="p"/>
                </m:rPr>
                <m:t>=</m:t>
              </m:r>
              <m:r>
                <m:t>0</m:t>
              </m:r>
            </m:oMath>
          </w:p>
        </w:tc>
      </w:tr>
      <w:tr>
        <w:tc>
          <w:tcPr/>
          <w:p>
            <w:pPr>
              <w:pStyle w:val="Compact"/>
              <w:jc w:val="left"/>
            </w:pPr>
            <w:r>
              <w:t xml:space="preserve">M3</w:t>
            </w:r>
          </w:p>
        </w:tc>
        <w:tc>
          <w:tcPr/>
          <w:p>
            <w:pPr>
              <w:pStyle w:val="Compact"/>
              <w:jc w:val="left"/>
            </w:pPr>
            <w:r>
              <w:t xml:space="preserve">+ TCI,</w:t>
            </w:r>
            <w:r>
              <w:t xml:space="preserve"> </w:t>
            </w:r>
            <m:oMath>
              <m:r>
                <m:rPr>
                  <m:nor/>
                  <m:sty m:val="p"/>
                </m:rPr>
                <m:t>FSTS</m:t>
              </m:r>
              <m:r>
                <m:rPr>
                  <m:sty m:val="p"/>
                </m:rPr>
                <m:t>×</m:t>
              </m:r>
              <m:r>
                <m:rPr>
                  <m:nor/>
                  <m:sty m:val="p"/>
                </m:rPr>
                <m:t>TCI</m:t>
              </m:r>
            </m:oMath>
            <w:r>
              <w:t xml:space="preserve">,</w:t>
            </w:r>
            <w:r>
              <w:t xml:space="preserve"> </w:t>
            </w:r>
            <m:oMath>
              <m:sSup>
                <m:e>
                  <m:r>
                    <m:rPr>
                      <m:nor/>
                      <m:sty m:val="p"/>
                    </m:rPr>
                    <m:t>FSTS</m:t>
                  </m:r>
                </m:e>
                <m:sup>
                  <m:r>
                    <m:t>2</m:t>
                  </m:r>
                </m:sup>
              </m:sSup>
              <m:r>
                <m:rPr>
                  <m:sty m:val="p"/>
                </m:rPr>
                <m:t>×</m:t>
              </m:r>
              <m:r>
                <m:rPr>
                  <m:nor/>
                  <m:sty m:val="p"/>
                </m:rPr>
                <m:t>TCI</m:t>
              </m:r>
            </m:oMath>
          </w:p>
        </w:tc>
        <w:tc>
          <w:tcPr/>
          <w:p>
            <w:pPr>
              <w:pStyle w:val="Compact"/>
              <w:jc w:val="left"/>
            </w:pPr>
            <w:r>
              <w:t xml:space="preserve">H2</w:t>
            </w:r>
          </w:p>
        </w:tc>
        <w:tc>
          <w:tcPr/>
          <w:p>
            <w:pPr>
              <w:pStyle w:val="Compact"/>
              <w:jc w:val="left"/>
            </w:pPr>
            <m:oMath>
              <m:sSub>
                <m:e>
                  <m:r>
                    <m:t>β</m:t>
                  </m:r>
                </m:e>
                <m:sub>
                  <m:r>
                    <m:t>3</m:t>
                  </m:r>
                </m:sub>
              </m:sSub>
              <m:r>
                <m:rPr>
                  <m:sty m:val="p"/>
                </m:rPr>
                <m:t>&gt;</m:t>
              </m:r>
              <m:r>
                <m:t>0</m:t>
              </m:r>
            </m:oMath>
            <w:r>
              <w:t xml:space="preserve">; F-test (</w:t>
            </w:r>
            <m:oMath>
              <m:sSub>
                <m:e>
                  <m:r>
                    <m:t>β</m:t>
                  </m:r>
                </m:e>
                <m:sub>
                  <m:r>
                    <m:t>4</m:t>
                  </m:r>
                </m:sub>
              </m:sSub>
              <m:r>
                <m:rPr>
                  <m:sty m:val="p"/>
                </m:rPr>
                <m:t>=</m:t>
              </m:r>
              <m:sSub>
                <m:e>
                  <m:r>
                    <m:t>β</m:t>
                  </m:r>
                </m:e>
                <m:sub>
                  <m:r>
                    <m:t>5</m:t>
                  </m:r>
                </m:sub>
              </m:sSub>
              <m:r>
                <m:rPr>
                  <m:sty m:val="p"/>
                </m:rPr>
                <m:t>=</m:t>
              </m:r>
              <m:r>
                <m:t>0</m:t>
              </m:r>
            </m:oMath>
            <w:r>
              <w:t xml:space="preserve">)</w:t>
            </w:r>
          </w:p>
        </w:tc>
      </w:tr>
      <w:tr>
        <w:tc>
          <w:tcPr/>
          <w:p>
            <w:pPr>
              <w:pStyle w:val="Compact"/>
              <w:jc w:val="left"/>
            </w:pPr>
            <w:r>
              <w:t xml:space="preserve">M4</w:t>
            </w:r>
          </w:p>
        </w:tc>
        <w:tc>
          <w:tcPr/>
          <w:p>
            <w:pPr>
              <w:pStyle w:val="Compact"/>
              <w:jc w:val="left"/>
            </w:pPr>
            <w:r>
              <w:t xml:space="preserve">+ DAI,</w:t>
            </w:r>
            <w:r>
              <w:t xml:space="preserve"> </w:t>
            </w:r>
            <m:oMath>
              <m:r>
                <m:rPr>
                  <m:nor/>
                  <m:sty m:val="p"/>
                </m:rPr>
                <m:t>FSTS</m:t>
              </m:r>
              <m:r>
                <m:rPr>
                  <m:sty m:val="p"/>
                </m:rPr>
                <m:t>×</m:t>
              </m:r>
              <m:r>
                <m:rPr>
                  <m:nor/>
                  <m:sty m:val="p"/>
                </m:rPr>
                <m:t>DAI</m:t>
              </m:r>
            </m:oMath>
            <w:r>
              <w:t xml:space="preserve">,</w:t>
            </w:r>
            <w:r>
              <w:t xml:space="preserve"> </w:t>
            </w:r>
            <m:oMath>
              <m:sSup>
                <m:e>
                  <m:r>
                    <m:rPr>
                      <m:nor/>
                      <m:sty m:val="p"/>
                    </m:rPr>
                    <m:t>FSTS</m:t>
                  </m:r>
                </m:e>
                <m:sup>
                  <m:r>
                    <m:t>2</m:t>
                  </m:r>
                </m:sup>
              </m:sSup>
              <m:r>
                <m:rPr>
                  <m:sty m:val="p"/>
                </m:rPr>
                <m:t>×</m:t>
              </m:r>
              <m:r>
                <m:rPr>
                  <m:nor/>
                  <m:sty m:val="p"/>
                </m:rPr>
                <m:t>DAI</m:t>
              </m:r>
            </m:oMath>
          </w:p>
        </w:tc>
        <w:tc>
          <w:tcPr/>
          <w:p>
            <w:pPr>
              <w:pStyle w:val="Compact"/>
              <w:jc w:val="left"/>
            </w:pPr>
            <w:r>
              <w:t xml:space="preserve">H3a/H3b</w:t>
            </w:r>
          </w:p>
        </w:tc>
        <w:tc>
          <w:tcPr/>
          <w:p>
            <w:pPr>
              <w:pStyle w:val="Compact"/>
              <w:jc w:val="left"/>
            </w:pPr>
            <w:r>
              <w:t xml:space="preserve">H3a:</w:t>
            </w:r>
            <w:r>
              <w:t xml:space="preserve"> </w:t>
            </w:r>
            <m:oMath>
              <m:r>
                <m:t>β</m:t>
              </m:r>
              <m:d>
                <m:dPr>
                  <m:begChr m:val="("/>
                  <m:endChr m:val=")"/>
                  <m:sepChr m:val=""/>
                  <m:grow/>
                </m:dPr>
                <m:e>
                  <m:r>
                    <m:rPr>
                      <m:nor/>
                      <m:sty m:val="p"/>
                    </m:rPr>
                    <m:t>FSTS</m:t>
                  </m:r>
                  <m:r>
                    <m:rPr>
                      <m:sty m:val="p"/>
                    </m:rPr>
                    <m:t>×</m:t>
                  </m:r>
                  <m:r>
                    <m:rPr>
                      <m:nor/>
                      <m:sty m:val="p"/>
                    </m:rPr>
                    <m:t>DAI</m:t>
                  </m:r>
                </m:e>
              </m:d>
              <m:r>
                <m:rPr>
                  <m:sty m:val="p"/>
                </m:rPr>
                <m:t>&gt;</m:t>
              </m:r>
              <m:r>
                <m:t>0</m:t>
              </m:r>
            </m:oMath>
            <w:r>
              <w:t xml:space="preserve"> </w:t>
            </w:r>
            <w:r>
              <w:t xml:space="preserve">Nhóm III–V; H3b:</w:t>
            </w:r>
            <w:r>
              <w:t xml:space="preserve"> </w:t>
            </w:r>
            <m:oMath>
              <m:r>
                <m:t>β</m:t>
              </m:r>
              <m:d>
                <m:dPr>
                  <m:begChr m:val="("/>
                  <m:endChr m:val=")"/>
                  <m:sepChr m:val=""/>
                  <m:grow/>
                </m:dPr>
                <m:e>
                  <m:sSup>
                    <m:e>
                      <m:r>
                        <m:rPr>
                          <m:nor/>
                          <m:sty m:val="p"/>
                        </m:rPr>
                        <m:t>FSTS</m:t>
                      </m:r>
                    </m:e>
                    <m:sup>
                      <m:r>
                        <m:t>2</m:t>
                      </m:r>
                    </m:sup>
                  </m:sSup>
                  <m:r>
                    <m:rPr>
                      <m:sty m:val="p"/>
                    </m:rPr>
                    <m:t>×</m:t>
                  </m:r>
                  <m:r>
                    <m:rPr>
                      <m:nor/>
                      <m:sty m:val="p"/>
                    </m:rPr>
                    <m:t>DAI</m:t>
                  </m:r>
                </m:e>
              </m:d>
              <m:r>
                <m:rPr>
                  <m:sty m:val="p"/>
                </m:rPr>
                <m:t>&gt;</m:t>
              </m:r>
              <m:r>
                <m:t>0</m:t>
              </m:r>
            </m:oMath>
            <w:r>
              <w:t xml:space="preserve"> </w:t>
            </w:r>
            <w:r>
              <w:t xml:space="preserve">ở FSTS cao Nhóm I</w:t>
            </w:r>
          </w:p>
        </w:tc>
      </w:tr>
      <w:tr>
        <w:tc>
          <w:tcPr/>
          <w:p>
            <w:pPr>
              <w:pStyle w:val="Compact"/>
              <w:jc w:val="left"/>
            </w:pPr>
            <w:r>
              <w:t xml:space="preserve">M5</w:t>
            </w:r>
          </w:p>
        </w:tc>
        <w:tc>
          <w:tcPr/>
          <w:p>
            <w:pPr>
              <w:pStyle w:val="Compact"/>
              <w:jc w:val="left"/>
            </w:pPr>
            <w:r>
              <w:t xml:space="preserve">+ Manager,</w:t>
            </w:r>
            <w:r>
              <w:t xml:space="preserve"> </w:t>
            </w:r>
            <m:oMath>
              <m:r>
                <m:rPr>
                  <m:nor/>
                  <m:sty m:val="p"/>
                </m:rPr>
                <m:t>FSTS</m:t>
              </m:r>
              <m:r>
                <m:rPr>
                  <m:sty m:val="p"/>
                </m:rPr>
                <m:t>×</m:t>
              </m:r>
              <m:r>
                <m:rPr>
                  <m:nor/>
                  <m:sty m:val="p"/>
                </m:rPr>
                <m:t>Manager</m:t>
              </m:r>
            </m:oMath>
          </w:p>
        </w:tc>
        <w:tc>
          <w:tcPr/>
          <w:p>
            <w:pPr>
              <w:pStyle w:val="Compact"/>
              <w:jc w:val="left"/>
            </w:pPr>
            <w:r>
              <w:t xml:space="preserve">H4a/H4b/H4c</w:t>
            </w:r>
          </w:p>
        </w:tc>
        <w:tc>
          <w:tcPr/>
          <w:p>
            <w:pPr>
              <w:pStyle w:val="Compact"/>
              <w:jc w:val="left"/>
            </w:pPr>
            <w:r>
              <w:t xml:space="preserve">H4a:</w:t>
            </w:r>
            <w:r>
              <w:t xml:space="preserve"> </w:t>
            </w:r>
            <m:oMath>
              <m:sSub>
                <m:e>
                  <m:r>
                    <m:t>β</m:t>
                  </m:r>
                </m:e>
                <m:sub>
                  <m:r>
                    <m:t>4</m:t>
                  </m:r>
                </m:sub>
              </m:sSub>
              <m:d>
                <m:dPr>
                  <m:begChr m:val="("/>
                  <m:endChr m:val=")"/>
                  <m:sepChr m:val=""/>
                  <m:grow/>
                </m:dPr>
                <m:e>
                  <m:r>
                    <m:rPr>
                      <m:nor/>
                      <m:sty m:val="p"/>
                    </m:rPr>
                    <m:t>FSTS</m:t>
                  </m:r>
                  <m:r>
                    <m:rPr>
                      <m:sty m:val="p"/>
                    </m:rPr>
                    <m:t>×</m:t>
                  </m:r>
                  <m:r>
                    <m:rPr>
                      <m:nor/>
                      <m:sty m:val="p"/>
                    </m:rPr>
                    <m:t>exp</m:t>
                  </m:r>
                </m:e>
              </m:d>
              <m:r>
                <m:rPr>
                  <m:sty m:val="p"/>
                </m:rPr>
                <m:t>&gt;</m:t>
              </m:r>
              <m:r>
                <m:t>0</m:t>
              </m:r>
            </m:oMath>
            <w:r>
              <w:t xml:space="preserve">; H4b:</w:t>
            </w:r>
            <w:r>
              <w:t xml:space="preserve"> </w:t>
            </w:r>
            <m:oMath>
              <m:sSub>
                <m:e>
                  <m:r>
                    <m:t>β</m:t>
                  </m:r>
                </m:e>
                <m:sub>
                  <m:r>
                    <m:t>4</m:t>
                  </m:r>
                </m:sub>
              </m:sSub>
              <m:d>
                <m:dPr>
                  <m:begChr m:val="("/>
                  <m:endChr m:val=")"/>
                  <m:sepChr m:val=""/>
                  <m:grow/>
                </m:dPr>
                <m:e>
                  <m:r>
                    <m:rPr>
                      <m:nor/>
                      <m:sty m:val="p"/>
                    </m:rPr>
                    <m:t>FSTS</m:t>
                  </m:r>
                  <m:r>
                    <m:rPr>
                      <m:sty m:val="p"/>
                    </m:rPr>
                    <m:t>×</m:t>
                  </m:r>
                  <m:r>
                    <m:rPr>
                      <m:nor/>
                      <m:sty m:val="p"/>
                    </m:rPr>
                    <m:t>educ</m:t>
                  </m:r>
                </m:e>
              </m:d>
              <m:r>
                <m:rPr>
                  <m:sty m:val="p"/>
                </m:rPr>
                <m:t>&gt;</m:t>
              </m:r>
              <m:r>
                <m:t>0</m:t>
              </m:r>
            </m:oMath>
            <w:r>
              <w:t xml:space="preserve">; H4c: hai phía</w:t>
            </w:r>
          </w:p>
        </w:tc>
      </w:tr>
      <w:tr>
        <w:tc>
          <w:tcPr/>
          <w:p>
            <w:pPr>
              <w:pStyle w:val="Compact"/>
              <w:jc w:val="left"/>
            </w:pPr>
            <w:r>
              <w:t xml:space="preserve">M6</w:t>
            </w:r>
          </w:p>
        </w:tc>
        <w:tc>
          <w:tcPr/>
          <w:p>
            <w:pPr>
              <w:pStyle w:val="Compact"/>
              <w:jc w:val="left"/>
            </w:pPr>
            <w:r>
              <w:t xml:space="preserve">+</w:t>
            </w:r>
            <w:r>
              <w:t xml:space="preserve"> </w:t>
            </w:r>
            <m:oMath>
              <m:sSub>
                <m:e>
                  <m:r>
                    <m:rPr>
                      <m:nor/>
                      <m:sty m:val="p"/>
                    </m:rPr>
                    <m:t>ICRV</m:t>
                  </m:r>
                </m:e>
                <m:sub>
                  <m:r>
                    <m:t>j</m:t>
                  </m:r>
                </m:sub>
              </m:sSub>
              <m:r>
                <m:rPr>
                  <m:sty m:val="p"/>
                </m:rPr>
                <m:t>×</m:t>
              </m:r>
              <m:r>
                <m:rPr>
                  <m:nor/>
                  <m:sty m:val="p"/>
                </m:rPr>
                <m:t>FSTS</m:t>
              </m:r>
            </m:oMath>
            <w:r>
              <w:t xml:space="preserve">,</w:t>
            </w:r>
            <w:r>
              <w:t xml:space="preserve"> </w:t>
            </w:r>
            <m:oMath>
              <m:sSub>
                <m:e>
                  <m:r>
                    <m:rPr>
                      <m:nor/>
                      <m:sty m:val="p"/>
                    </m:rPr>
                    <m:t>ICRV</m:t>
                  </m:r>
                </m:e>
                <m:sub>
                  <m:r>
                    <m:t>j</m:t>
                  </m:r>
                </m:sub>
              </m:sSub>
              <m:r>
                <m:rPr>
                  <m:sty m:val="p"/>
                </m:rPr>
                <m:t>×</m:t>
              </m:r>
              <m:sSup>
                <m:e>
                  <m:r>
                    <m:rPr>
                      <m:nor/>
                      <m:sty m:val="p"/>
                    </m:rPr>
                    <m:t>FSTS</m:t>
                  </m:r>
                </m:e>
                <m:sup>
                  <m:r>
                    <m:t>2</m:t>
                  </m:r>
                </m:sup>
              </m:sSup>
            </m:oMath>
          </w:p>
        </w:tc>
        <w:tc>
          <w:tcPr/>
          <w:p>
            <w:pPr>
              <w:pStyle w:val="Compact"/>
              <w:jc w:val="left"/>
            </w:pPr>
            <w:r>
              <w:t xml:space="preserve">H5</w:t>
            </w:r>
          </w:p>
        </w:tc>
        <w:tc>
          <w:tcPr/>
          <w:p>
            <w:pPr>
              <w:pStyle w:val="Compact"/>
              <w:jc w:val="left"/>
            </w:pPr>
            <w:r>
              <w:t xml:space="preserve">Phổ TP; gánh nặng bắt buộc Nhóm VI</w:t>
            </w:r>
          </w:p>
        </w:tc>
      </w:tr>
      <w:tr>
        <w:tc>
          <w:tcPr/>
          <w:p>
            <w:pPr>
              <w:pStyle w:val="Compact"/>
              <w:jc w:val="left"/>
            </w:pPr>
            <w:r>
              <w:t xml:space="preserve">M7</w:t>
            </w:r>
          </w:p>
        </w:tc>
        <w:tc>
          <w:tcPr/>
          <w:p>
            <w:pPr>
              <w:pStyle w:val="Compact"/>
              <w:jc w:val="left"/>
            </w:pPr>
            <w:r>
              <w:t xml:space="preserve">+</w:t>
            </w:r>
            <w:r>
              <w:t xml:space="preserve"> </w:t>
            </w:r>
            <m:oMath>
              <m:r>
                <m:rPr>
                  <m:nor/>
                  <m:sty m:val="p"/>
                </m:rPr>
                <m:t>TCI</m:t>
              </m:r>
              <m:r>
                <m:rPr>
                  <m:sty m:val="p"/>
                </m:rPr>
                <m:t>×</m:t>
              </m:r>
              <m:r>
                <m:rPr>
                  <m:nor/>
                  <m:sty m:val="p"/>
                </m:rPr>
                <m:t>DAI</m:t>
              </m:r>
              <m:r>
                <m:rPr>
                  <m:sty m:val="p"/>
                </m:rPr>
                <m:t>×</m:t>
              </m:r>
              <m:r>
                <m:rPr>
                  <m:nor/>
                  <m:sty m:val="p"/>
                </m:rPr>
                <m:t>FSTS</m:t>
              </m:r>
            </m:oMath>
            <w:r>
              <w:t xml:space="preserve">,</w:t>
            </w:r>
            <w:r>
              <w:t xml:space="preserve"> </w:t>
            </w:r>
            <m:oMath>
              <m:r>
                <m:rPr>
                  <m:nor/>
                  <m:sty m:val="p"/>
                </m:rPr>
                <m:t>Year_bucket</m:t>
              </m:r>
              <m:r>
                <m:rPr>
                  <m:sty m:val="p"/>
                </m:rPr>
                <m:t>×</m:t>
              </m:r>
              <m:r>
                <m:rPr>
                  <m:nor/>
                  <m:sty m:val="p"/>
                </m:rPr>
                <m:t>FSTS</m:t>
              </m:r>
            </m:oMath>
          </w:p>
        </w:tc>
        <w:tc>
          <w:tcPr/>
          <w:p>
            <w:pPr>
              <w:pStyle w:val="Compact"/>
              <w:jc w:val="left"/>
            </w:pPr>
            <w:r>
              <w:t xml:space="preserve">H2+H3+H6</w:t>
            </w:r>
          </w:p>
        </w:tc>
        <w:tc>
          <w:tcPr/>
          <w:p>
            <w:pPr>
              <w:pStyle w:val="Compact"/>
              <w:jc w:val="left"/>
            </w:pPr>
            <w:r>
              <w:t xml:space="preserve">F-test block ba chiều</w:t>
            </w:r>
          </w:p>
        </w:tc>
      </w:tr>
    </w:tbl>
    <w:bookmarkEnd w:id="72"/>
    <w:bookmarkEnd w:id="73"/>
    <w:bookmarkStart w:id="78" w:name="dữ-liệu-và-chiến-lược-nhận-dạng-nhân-quả"/>
    <w:p>
      <w:pPr>
        <w:pStyle w:val="Heading4"/>
      </w:pPr>
      <w:r>
        <w:t xml:space="preserve">2.3.6 Dữ liệu và chiến lược nhận dạng nhân quả</w:t>
      </w:r>
    </w:p>
    <w:bookmarkStart w:id="74" w:name="nguồn-dữ-liệu-và-cấu-trúc-mẫu-gộp"/>
    <w:p>
      <w:pPr>
        <w:pStyle w:val="Heading5"/>
      </w:pPr>
      <w:r>
        <w:t xml:space="preserve">Nguồn dữ liệu và cấu trúc mẫu gộp</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Mẫu gộp chuyên đề: khung 50 nền kinh tế châu Á và Thái Bình Dương (gồm Nhật Bản 2025), 88.869 doanh nghiệp, 103 cặp nền kinh tế–năm trong giai đoạn 2006–2026; mẫu hồi quy chính của vòng ước lượng chính thức: M2 N = 81.022, M5 N = 79.080.</w:t>
      </w:r>
    </w:p>
    <w:p>
      <w:pPr>
        <w:pStyle w:val="BodyText"/>
      </w:pPr>
      <w:r>
        <w:t xml:space="preserve">Bảng 2.8. Cấu trúc mẫu gộp theo nhóm ICRV và mốc khảo sát.</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ICRV Nhóm (icrv_label)</w:t>
            </w:r>
          </w:p>
        </w:tc>
        <w:tc>
          <w:tcPr/>
          <w:p>
            <w:pPr>
              <w:pStyle w:val="Compact"/>
              <w:jc w:val="left"/>
            </w:pPr>
            <w:r>
              <w:t xml:space="preserve">Nền kinh tế</w:t>
            </w:r>
          </w:p>
        </w:tc>
        <w:tc>
          <w:tcPr/>
          <w:p>
            <w:pPr>
              <w:pStyle w:val="Compact"/>
              <w:jc w:val="center"/>
            </w:pPr>
            <w:r>
              <w:t xml:space="preserve">Số nền</w:t>
            </w:r>
          </w:p>
        </w:tc>
        <w:tc>
          <w:tcPr/>
          <w:p>
            <w:pPr>
              <w:pStyle w:val="Compact"/>
              <w:jc w:val="center"/>
            </w:pPr>
            <w:r>
              <w:t xml:space="preserve">N doanh nghiệp</w:t>
            </w:r>
          </w:p>
        </w:tc>
      </w:tr>
      <w:tr>
        <w:tc>
          <w:tcPr/>
          <w:p>
            <w:pPr>
              <w:pStyle w:val="Compact"/>
              <w:jc w:val="left"/>
            </w:pPr>
            <w:r>
              <w:t xml:space="preserve">I, Adv. đổi mới (</w:t>
            </w:r>
            <w:r>
              <w:rPr>
                <w:rStyle w:val="VerbatimChar"/>
              </w:rPr>
              <w:t xml:space="preserve">Advanced_innovation</w:t>
            </w:r>
            <w:r>
              <w:t xml:space="preserve">)</w:t>
            </w:r>
          </w:p>
        </w:tc>
        <w:tc>
          <w:tcPr/>
          <w:p>
            <w:pPr>
              <w:pStyle w:val="Compact"/>
              <w:jc w:val="left"/>
            </w:pPr>
            <w:r>
              <w:t xml:space="preserve">Singapore, HongKong, Hàn Quốc, Đài Loan, Israel, Nhật Bản¹</w:t>
            </w:r>
          </w:p>
        </w:tc>
        <w:tc>
          <w:tcPr/>
          <w:p>
            <w:pPr>
              <w:pStyle w:val="Compact"/>
              <w:jc w:val="center"/>
            </w:pPr>
            <w:r>
              <w:t xml:space="preserve">6</w:t>
            </w:r>
          </w:p>
        </w:tc>
        <w:tc>
          <w:tcPr/>
          <w:p>
            <w:pPr>
              <w:pStyle w:val="Compact"/>
              <w:jc w:val="center"/>
            </w:pPr>
            <w:r>
              <w:t xml:space="preserve">6.390</w:t>
            </w:r>
          </w:p>
        </w:tc>
      </w:tr>
      <w:tr>
        <w:tc>
          <w:tcPr/>
          <w:p>
            <w:pPr>
              <w:pStyle w:val="Compact"/>
              <w:jc w:val="left"/>
            </w:pPr>
            <w:r>
              <w:t xml:space="preserve">II, Adv. tài nguyên (</w:t>
            </w:r>
            <w:r>
              <w:rPr>
                <w:rStyle w:val="VerbatimChar"/>
              </w:rPr>
              <w:t xml:space="preserve">Advanced_resource</w:t>
            </w:r>
            <w:r>
              <w:t xml:space="preserve">)</w:t>
            </w:r>
          </w:p>
        </w:tc>
        <w:tc>
          <w:tcPr/>
          <w:p>
            <w:pPr>
              <w:pStyle w:val="Compact"/>
              <w:jc w:val="left"/>
            </w:pPr>
            <w:r>
              <w:t xml:space="preserve">Saudi Arabia, Qatar, Kuwait, Bahrain, Brunei, Oman</w:t>
            </w:r>
          </w:p>
        </w:tc>
        <w:tc>
          <w:tcPr/>
          <w:p>
            <w:pPr>
              <w:pStyle w:val="Compact"/>
              <w:jc w:val="center"/>
            </w:pPr>
            <w:r>
              <w:t xml:space="preserve">6</w:t>
            </w:r>
          </w:p>
        </w:tc>
        <w:tc>
          <w:tcPr/>
          <w:p>
            <w:pPr>
              <w:pStyle w:val="Compact"/>
              <w:jc w:val="center"/>
            </w:pPr>
            <w:r>
              <w:t xml:space="preserve">2.231</w:t>
            </w:r>
          </w:p>
        </w:tc>
      </w:tr>
      <w:tr>
        <w:tc>
          <w:tcPr/>
          <w:p>
            <w:pPr>
              <w:pStyle w:val="Compact"/>
              <w:jc w:val="left"/>
            </w:pPr>
            <w:r>
              <w:t xml:space="preserve">III, Trung bình cao (</w:t>
            </w:r>
            <w:r>
              <w:rPr>
                <w:rStyle w:val="VerbatimChar"/>
              </w:rPr>
              <w:t xml:space="preserve">Upper_mid</w:t>
            </w:r>
            <w:r>
              <w:t xml:space="preserve">)</w:t>
            </w:r>
          </w:p>
        </w:tc>
        <w:tc>
          <w:tcPr/>
          <w:p>
            <w:pPr>
              <w:pStyle w:val="Compact"/>
              <w:jc w:val="left"/>
            </w:pPr>
            <w:r>
              <w:t xml:space="preserve">Trung Quốc, Malaysia, Thái Lan, Kazakhstan, Armenia, Georgia</w:t>
            </w:r>
          </w:p>
        </w:tc>
        <w:tc>
          <w:tcPr/>
          <w:p>
            <w:pPr>
              <w:pStyle w:val="Compact"/>
              <w:jc w:val="center"/>
            </w:pPr>
            <w:r>
              <w:t xml:space="preserve">6</w:t>
            </w:r>
          </w:p>
        </w:tc>
        <w:tc>
          <w:tcPr/>
          <w:p>
            <w:pPr>
              <w:pStyle w:val="Compact"/>
              <w:jc w:val="center"/>
            </w:pPr>
            <w:r>
              <w:t xml:space="preserve">13.993</w:t>
            </w:r>
          </w:p>
        </w:tc>
      </w:tr>
      <w:tr>
        <w:tc>
          <w:tcPr/>
          <w:p>
            <w:pPr>
              <w:pStyle w:val="Compact"/>
              <w:jc w:val="left"/>
            </w:pPr>
            <w:r>
              <w:t xml:space="preserve">IV, Chuyển đổi TB-thấp (</w:t>
            </w:r>
            <w:r>
              <w:rPr>
                <w:rStyle w:val="VerbatimChar"/>
              </w:rPr>
              <w:t xml:space="preserve">Lower_mid_transition</w:t>
            </w:r>
            <w:r>
              <w:t xml:space="preserve">)</w:t>
            </w:r>
          </w:p>
        </w:tc>
        <w:tc>
          <w:tcPr/>
          <w:p>
            <w:pPr>
              <w:pStyle w:val="Compact"/>
              <w:jc w:val="left"/>
            </w:pPr>
            <w:r>
              <w:t xml:space="preserve">Việt Nam, Ấn Độ, Indonesia, Philippines, Mông Cổ, Bangladesh, Pakistan</w:t>
            </w:r>
          </w:p>
        </w:tc>
        <w:tc>
          <w:tcPr/>
          <w:p>
            <w:pPr>
              <w:pStyle w:val="Compact"/>
              <w:jc w:val="center"/>
            </w:pPr>
            <w:r>
              <w:t xml:space="preserve">7</w:t>
            </w:r>
          </w:p>
        </w:tc>
        <w:tc>
          <w:tcPr/>
          <w:p>
            <w:pPr>
              <w:pStyle w:val="Compact"/>
              <w:jc w:val="center"/>
            </w:pPr>
            <w:r>
              <w:t xml:space="preserve">45.003</w:t>
            </w:r>
          </w:p>
        </w:tc>
      </w:tr>
      <w:tr>
        <w:tc>
          <w:tcPr/>
          <w:p>
            <w:pPr>
              <w:pStyle w:val="Compact"/>
              <w:jc w:val="left"/>
            </w:pPr>
            <w:r>
              <w:t xml:space="preserve">V, Đang nổi (</w:t>
            </w:r>
            <w:r>
              <w:rPr>
                <w:rStyle w:val="VerbatimChar"/>
              </w:rPr>
              <w:t xml:space="preserve">Emerging</w:t>
            </w:r>
            <w:r>
              <w:t xml:space="preserve">)</w:t>
            </w:r>
          </w:p>
        </w:tc>
        <w:tc>
          <w:tcPr/>
          <w:p>
            <w:pPr>
              <w:pStyle w:val="Compact"/>
              <w:jc w:val="left"/>
            </w:pPr>
            <w:r>
              <w:t xml:space="preserve">17 nền (gồm Sri Lanka, Jordan, Nepal, Cambodia, Laos, Uzbekistan…)</w:t>
            </w:r>
          </w:p>
        </w:tc>
        <w:tc>
          <w:tcPr/>
          <w:p>
            <w:pPr>
              <w:pStyle w:val="Compact"/>
              <w:jc w:val="center"/>
            </w:pPr>
            <w:r>
              <w:t xml:space="preserve">17</w:t>
            </w:r>
          </w:p>
        </w:tc>
        <w:tc>
          <w:tcPr/>
          <w:p>
            <w:pPr>
              <w:pStyle w:val="Compact"/>
              <w:jc w:val="center"/>
            </w:pPr>
            <w:r>
              <w:t xml:space="preserve">18.589</w:t>
            </w:r>
          </w:p>
        </w:tc>
      </w:tr>
      <w:tr>
        <w:tc>
          <w:tcPr/>
          <w:p>
            <w:pPr>
              <w:pStyle w:val="Compact"/>
              <w:jc w:val="left"/>
            </w:pPr>
            <w:r>
              <w:t xml:space="preserve">VI, SIDS (</w:t>
            </w:r>
            <w:r>
              <w:rPr>
                <w:rStyle w:val="VerbatimChar"/>
              </w:rPr>
              <w:t xml:space="preserve">SIDS_small</w:t>
            </w:r>
            <w:r>
              <w:t xml:space="preserve">)</w:t>
            </w:r>
          </w:p>
        </w:tc>
        <w:tc>
          <w:tcPr/>
          <w:p>
            <w:pPr>
              <w:pStyle w:val="Compact"/>
              <w:jc w:val="left"/>
            </w:pPr>
            <w:r>
              <w:t xml:space="preserve">Fiji, Kiribati, PNG, Samoa, Solomon, Tonga, Vanuatu, Timor-Leste</w:t>
            </w:r>
          </w:p>
        </w:tc>
        <w:tc>
          <w:tcPr/>
          <w:p>
            <w:pPr>
              <w:pStyle w:val="Compact"/>
              <w:jc w:val="center"/>
            </w:pPr>
            <w:r>
              <w:t xml:space="preserve">8</w:t>
            </w:r>
          </w:p>
        </w:tc>
        <w:tc>
          <w:tcPr/>
          <w:p>
            <w:pPr>
              <w:pStyle w:val="Compact"/>
              <w:jc w:val="center"/>
            </w:pPr>
            <w:r>
              <w:t xml:space="preserve">2.295</w:t>
            </w:r>
          </w:p>
        </w:tc>
      </w:tr>
      <w:tr>
        <w:tc>
          <w:tcPr/>
          <w:p>
            <w:pPr>
              <w:pStyle w:val="Compact"/>
              <w:jc w:val="left"/>
            </w:pPr>
            <w:r>
              <w:rPr>
                <w:bCs/>
                <w:b/>
              </w:rPr>
              <w:t xml:space="preserve">Tổng</w:t>
            </w:r>
          </w:p>
        </w:tc>
        <w:tc>
          <w:tcPr/>
          <w:p>
            <w:pPr>
              <w:pStyle w:val="Compact"/>
            </w:pPr>
          </w:p>
        </w:tc>
        <w:tc>
          <w:tcPr/>
          <w:p>
            <w:pPr>
              <w:pStyle w:val="Compact"/>
              <w:jc w:val="center"/>
            </w:pPr>
            <w:r>
              <w:rPr>
                <w:bCs/>
                <w:b/>
              </w:rPr>
              <w:t xml:space="preserve">50</w:t>
            </w:r>
          </w:p>
        </w:tc>
        <w:tc>
          <w:tcPr/>
          <w:p>
            <w:pPr>
              <w:pStyle w:val="Compact"/>
              <w:jc w:val="center"/>
            </w:pPr>
            <w:r>
              <w:rPr>
                <w:bCs/>
                <w:b/>
              </w:rPr>
              <w:t xml:space="preserve">88.869</w:t>
            </w:r>
            <w:r>
              <w:t xml:space="preserve"> </w:t>
            </w:r>
            <w:r>
              <w:t xml:space="preserve">(mẫu gộp mô tả; N hồi quy M2 = 81.022)</w:t>
            </w:r>
          </w:p>
        </w:tc>
      </w:tr>
    </w:tbl>
    <w:p>
      <w:pPr>
        <w:pStyle w:val="BodyText"/>
      </w:pPr>
      <w:r>
        <w:rPr>
          <w:iCs/>
          <w:i/>
        </w:rPr>
        <w:t xml:space="preserve">Ghi chú: ¹Nhật Bản được WBES khảo sát lần đầu năm 2025 (n=2.168) và là thành viên thứ sáu của Nhóm I trong khung 50 nền; vòng tái ước lượng 50 nền gồm Nhật Bản đã hoàn tất nên mô tả và ước lượng (P7) nay dùng chung MỘT khung 50 nền/88.869 quan sát (hồi quy M2 N=81.022; M5 N=79.080). Nhãn nhóm theo biến phân loại</w:t>
      </w:r>
      <w:r>
        <w:rPr>
          <w:iCs/>
          <w:i/>
        </w:rPr>
        <w:t xml:space="preserve"> </w:t>
      </w:r>
      <w:r>
        <w:rPr>
          <w:rStyle w:val="VerbatimChar"/>
          <w:iCs/>
          <w:i/>
        </w:rPr>
        <w:t xml:space="preserve">icrv_label</w:t>
      </w:r>
      <w:r>
        <w:rPr>
          <w:iCs/>
          <w:i/>
        </w:rPr>
        <w:t xml:space="preserve">, dùng thống nhất trong luận án và Chuyên đề 1, Nhóm IV</w:t>
      </w:r>
      <w:r>
        <w:rPr>
          <w:iCs/>
          <w:i/>
        </w:rPr>
        <w:t xml:space="preserve"> </w:t>
      </w:r>
      <w:r>
        <w:rPr>
          <w:rStyle w:val="VerbatimChar"/>
          <w:iCs/>
          <w:i/>
        </w:rPr>
        <w:t xml:space="preserve">Lower_mid_transition</w:t>
      </w:r>
      <w:r>
        <w:rPr>
          <w:iCs/>
          <w:i/>
        </w:rPr>
        <w:t xml:space="preserve"> </w:t>
      </w:r>
      <w:r>
        <w:rPr>
          <w:iCs/>
          <w:i/>
        </w:rPr>
        <w:t xml:space="preserve">(7 nền đông dân), Nhóm V</w:t>
      </w:r>
      <w:r>
        <w:rPr>
          <w:iCs/>
          <w:i/>
        </w:rPr>
        <w:t xml:space="preserve"> </w:t>
      </w:r>
      <w:r>
        <w:rPr>
          <w:rStyle w:val="VerbatimChar"/>
          <w:iCs/>
          <w:i/>
        </w:rPr>
        <w:t xml:space="preserve">Emerging</w:t>
      </w:r>
      <w:r>
        <w:rPr>
          <w:iCs/>
          <w:i/>
        </w:rPr>
        <w:t xml:space="preserve"> </w:t>
      </w:r>
      <w:r>
        <w:rPr>
          <w:iCs/>
          <w:i/>
        </w:rPr>
        <w:t xml:space="preserve">(17 nền), Nhóm VI</w:t>
      </w:r>
      <w:r>
        <w:rPr>
          <w:iCs/>
          <w:i/>
        </w:rPr>
        <w:t xml:space="preserve"> </w:t>
      </w:r>
      <w:r>
        <w:rPr>
          <w:rStyle w:val="VerbatimChar"/>
          <w:iCs/>
          <w:i/>
        </w:rPr>
        <w:t xml:space="preserve">SIDS_small</w:t>
      </w:r>
      <w:r>
        <w:rPr>
          <w:iCs/>
          <w:i/>
        </w:rPr>
        <w:t xml:space="preserve"> </w:t>
      </w:r>
      <w:r>
        <w:rPr>
          <w:iCs/>
          <w:i/>
        </w:rPr>
        <w:t xml:space="preserve">(8 nền). Nghiên cứu chuyên sâu SIDS (P8) lấy mẫu chính 7 nền Thái Bình Dương và kiểm định bền vững mở rộng 9 nền (thêm Comoros + Timor-Leste). Mẫu gộp phân loại đầy đủ = 96.415 DN/52 nền; loại 2 nền ngoài châu Á (Turkey, Cyprus) sang khung phân tích 50 nền Á–TBD (gồm Nhật Bản) = 88.869 DN.</w:t>
      </w:r>
    </w:p>
    <w:p>
      <w:pPr>
        <w:pStyle w:val="BodyText"/>
      </w:pPr>
      <w:r>
        <w:t xml:space="preserve">Ba thế hệ lược đồ WBES và giao thức hòa hợp: PICS3 (2006–2012): biến FSTS từ d3b/d3c; TCI từ h1/h8/b8; DAI từ c22b only. Standardized (2013–2017): biến tái định dạng nhưng tương thích. BREADY/BEE (2018–2025): lược đồ mở rộng; DAI đầy đủ (c22b + k33 + k38); phân hệ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quốc tế hóa và hiệu quả tại cấp doanh nghiệp (conditional on observables), không phải ước lượng thống kê mô tả đại diện tổng thể. Thứ hai, hai chiều hiệu ứng cố định (quốc gia × năm) đã hấp thụ phần lớn biến thiên liên quan đến thiết kế lấy mẫu phân tầng. Thứ ba, tích hợp trọng số mẫu vào mô hình hiệu ứng cố định không đồng nhất gây phức tạp ước lượng mà không đem lại cải thiện tính hợp lệ nội tại (Solon et al., 2015). Phân tích độ nhạy với trọng số được đề xuất như kiểm định tương lai (xem Mục 2.4.2) để xác nhận tính vững của kết quả so với mẫu không có trọng số.</w:t>
      </w:r>
    </w:p>
    <w:p>
      <w:pPr>
        <w:pStyle w:val="BodyText"/>
      </w:pPr>
      <w:r>
        <w:t xml:space="preserve">Giao thức hòa hợp bao gồm: crosswalk biến giữa ba lược đồ; xử lý giá trị thiếu; loại bỏ ngoại lệ tại phân vị 1/99 trong cụm nền kinh tế × năm; và chuẩn hóa năng suất xuyên tiền tệ (xem dưới).</w:t>
      </w:r>
    </w:p>
    <w:bookmarkEnd w:id="74"/>
    <w:bookmarkStart w:id="75"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báo cáo bằng</w:t>
      </w:r>
      <w:r>
        <w:t xml:space="preserve"> </w:t>
      </w:r>
      <w:r>
        <w:rPr>
          <w:bCs/>
          <w:b/>
        </w:rPr>
        <w:t xml:space="preserve">nội tệ</w:t>
      </w:r>
      <w:r>
        <w:t xml:space="preserve"> </w:t>
      </w:r>
      <w:r>
        <w:t xml:space="preserve">của từng nền kinh tế, nên mức</w:t>
      </w:r>
      <w:r>
        <w:t xml:space="preserve"> </w:t>
      </w:r>
      <m:oMath>
        <m:r>
          <m:rPr>
            <m:sty m:val="p"/>
          </m:rPr>
          <m:t>ln</m:t>
        </m:r>
        <m:d>
          <m:dPr>
            <m:begChr m:val="("/>
            <m:endChr m:val=")"/>
            <m:sepChr m:val=""/>
            <m:grow/>
          </m:dPr>
          <m:e>
            <m:r>
              <m:rPr>
                <m:sty m:val="p"/>
              </m:rPr>
              <m:t>L</m:t>
            </m:r>
            <m:r>
              <m:rPr>
                <m:sty m:val="p"/>
              </m:rPr>
              <m:t>P</m:t>
            </m:r>
          </m:e>
        </m:d>
      </m:oMath>
      <w:r>
        <w:t xml:space="preserve"> </w:t>
      </w:r>
      <w:r>
        <w:t xml:space="preserve">thô không so sánh được trực tiếp xuyên quốc gia. Để trung hòa khác biệt đơn vị tiền tệ và mặt bằng giá, năng suất lao động được</w:t>
      </w:r>
      <w:r>
        <w:t xml:space="preserve"> </w:t>
      </w:r>
      <w:r>
        <w:rPr>
          <w:bCs/>
          <w:b/>
        </w:rPr>
        <w:t xml:space="preserve">chuẩn hóa z trong từng cụm nền kinh tế × năm</w:t>
      </w:r>
      <w:r>
        <w:t xml:space="preserve"> </w:t>
      </w:r>
      <w:r>
        <w:t xml:space="preserve">trước khi đưa vào mô hình, và mọi mô hình đều có</w:t>
      </w:r>
      <w:r>
        <w:t xml:space="preserve"> </w:t>
      </w:r>
      <w:r>
        <w:rPr>
          <w:bCs/>
          <w:b/>
        </w:rPr>
        <w:t xml:space="preserve">hiệu ứng cố định hai chiều (nền kinh tế × năm)</w:t>
      </w:r>
      <w:r>
        <w:t xml:space="preserve"> </w:t>
      </w:r>
      <w:r>
        <w:t xml:space="preserve">hấp thụ toàn bộ thành phần bất biến theo nước (tiền tệ, mặt bằng giá, chế độ kế toán). Cách này bảo đảm hệ số quan hệ quốc tế hóa và hiệu quả được nhận dạng từ biến thiên</w:t>
      </w:r>
      <w:r>
        <w:t xml:space="preserve"> </w:t>
      </w:r>
      <w:r>
        <w:rPr>
          <w:iCs/>
          <w:i/>
        </w:rPr>
        <w:t xml:space="preserve">nội bộ</w:t>
      </w:r>
      <w:r>
        <w:t xml:space="preserve"> </w:t>
      </w:r>
      <w:r>
        <w:t xml:space="preserve">nền kinh tế–năm, nhất quán với Phụ lục A của luận án (Mục A.5) và nghiên cứu đa quốc gia P7. Mọi so sánh</w:t>
      </w:r>
      <w:r>
        <w:t xml:space="preserve"> </w:t>
      </w:r>
      <w:r>
        <w:rPr>
          <w:bCs/>
          <w:b/>
        </w:rPr>
        <w:t xml:space="preserve">mức</w:t>
      </w:r>
      <w:r>
        <w:t xml:space="preserve"> </w:t>
      </w:r>
      <w:r>
        <w:t xml:space="preserve">xuyên quốc gia dùng tỷ suất không thứ nguyên (ROS) hoặc giá trị đã hiệu chỉnh sức mua tương đương (PPP), không dùng mức</w:t>
      </w:r>
      <w:r>
        <w:t xml:space="preserve"> </w:t>
      </w:r>
      <m:oMath>
        <m:r>
          <m:rPr>
            <m:sty m:val="p"/>
          </m:rPr>
          <m:t>ln</m:t>
        </m:r>
        <m:d>
          <m:dPr>
            <m:begChr m:val="("/>
            <m:endChr m:val=")"/>
            <m:sepChr m:val=""/>
            <m:grow/>
          </m:dPr>
          <m:e>
            <m:r>
              <m:rPr>
                <m:sty m:val="p"/>
              </m:rPr>
              <m:t>L</m:t>
            </m:r>
            <m:r>
              <m:rPr>
                <m:sty m:val="p"/>
              </m:rPr>
              <m:t>P</m:t>
            </m:r>
          </m:e>
        </m:d>
      </m:oMath>
      <w:r>
        <w:t xml:space="preserve"> </w:t>
      </w:r>
      <w:r>
        <w:t xml:space="preserve">thô. Giá trị được cắt đuôi (winsorize) tại phân vị 1/99 trong cụm nền kinh tế × năm để giảm ảnh hưởng ngoại lệ. Lựa chọn năng suất lao động làm thước đo hiệu quả phù hợp với dữ liệu WBES (Combs et al., 2005; Cusolito &amp; Maloney, 2018; Richard et al., 2009).</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 + gián tiếp</m:t>
                  </m:r>
                </m:e>
                <m:sub>
                  <m:r>
                    <m:t>i</m:t>
                  </m:r>
                </m:sub>
              </m:sSub>
            </m:num>
            <m:den>
              <m:sSub>
                <m:e>
                  <m:r>
                    <m:rPr>
                      <m:nor/>
                      <m:sty m:val="p"/>
                    </m:rPr>
                    <m:t>tổng doanh thu hằng năm</m:t>
                  </m:r>
                </m:e>
                <m:sub>
                  <m:r>
                    <m:t>i</m:t>
                  </m:r>
                </m:sub>
              </m:sSub>
            </m:den>
          </m:f>
          <m:r>
            <m:rPr>
              <m:sty m:val="p"/>
            </m:rPr>
            <m:t>=</m:t>
          </m:r>
          <m:f>
            <m:fPr>
              <m:type m:val="bar"/>
            </m:fPr>
            <m:num>
              <m:r>
                <m:t>d</m:t>
              </m:r>
              <m:r>
                <m:t>3</m:t>
              </m:r>
              <m:sSub>
                <m:e>
                  <m:r>
                    <m:t>b</m:t>
                  </m:r>
                </m:e>
                <m:sub>
                  <m:r>
                    <m:t>i</m:t>
                  </m:r>
                </m:sub>
              </m:sSub>
              <m:r>
                <m:rPr>
                  <m:sty m:val="p"/>
                </m:rPr>
                <m:t>+</m:t>
              </m:r>
              <m:r>
                <m:t>d</m:t>
              </m:r>
              <m:r>
                <m:t>3</m:t>
              </m:r>
              <m:sSub>
                <m:e>
                  <m:r>
                    <m:t>c</m:t>
                  </m:r>
                </m:e>
                <m:sub>
                  <m:r>
                    <m:t>i</m:t>
                  </m:r>
                </m:sub>
              </m:sSub>
            </m:num>
            <m:den>
              <m:r>
                <m:t>100</m:t>
              </m:r>
            </m:den>
          </m:f>
        </m:oMath>
      </m:oMathPara>
    </w:p>
    <w:p>
      <w:pPr>
        <w:pStyle w:val="FirstParagraph"/>
      </w:pPr>
      <w:r>
        <w:t xml:space="preserve">d3b là tỉ lệ phần trăm doanh thu xuất khẩu gián tiếp (qua trung gian) và d3c là xuất khẩu trực tiếp, theo nhãn biến chính thức WBES; tổng hai thành phần là định nghĩa tham gia xuất khẩu chuẩn của WBES, dùng thống nhất với khung ước lượng đa quốc gia của luận án (P7). FSTS_c = FSTS − mean(FSTS) trong mỗi ô sóng-quốc gia trước khi tính FSTS². Tỷ trọng doanh thu xuất khẩu là thước đo cường độ quốc tế hóa chuẩn của tài liệu quốc tế hóa và hiệu quả (Lu &amp; Beamish, 2001; Sullivan, 1994); hai nghiên cứu thành phần đơn quốc gia (P3 Việt Nam, P5 Trung Quốc) dùng riêng d3c với luận chứng kênh xuất khẩu trực tiếp/gián tiếp (Hessels &amp; Terjesen, 2010; Peng &amp; Ilinitch, 1998).</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≥3/4 items không thiếu (Cronbach α ước tính 0,55–0,65, nhất quán với tổng hợp formative, Coltman et al., 2008). Construct phản ánh chiều sâu năng lực công nghệ nội tại theo truyền thống năng lực hấp thụ và năng lực công nghệ hóa công nghiệp (Cohen &amp; Levinthal, 1990; Lall, 1992).</w:t>
      </w:r>
    </w:p>
    <w:p>
      <w:pPr>
        <w:pStyle w:val="BlockText"/>
      </w:pPr>
      <w:r>
        <w:rPr>
          <w:iCs/>
          <w:i/>
        </w:rPr>
        <w:t xml:space="preserve">Lưu ý phân biệt biến thể TCI:</w:t>
      </w:r>
      <w:r>
        <w:t xml:space="preserve"> </w:t>
      </w:r>
      <w:r>
        <w:t xml:space="preserve">Chuyên đề 2 dùng biến thể</w:t>
      </w:r>
      <w:r>
        <w:t xml:space="preserve"> </w:t>
      </w:r>
      <w:r>
        <w:rPr>
          <w:bCs/>
          <w:b/>
        </w:rPr>
        <w:t xml:space="preserve">đầy đủ 4 mục</w:t>
      </w:r>
      <w:r>
        <w:t xml:space="preserve"> </w:t>
      </w:r>
      <w:r>
        <w:t xml:space="preserve">(≥3/4 của b8, h8, h1, e6) khả dụng trên mẫu gộp mô tả; trong khi nghiên cứu đa quốc gia P7 và Mục 3.4.5.4 của luận án dùng biến thể</w:t>
      </w:r>
      <w:r>
        <w:t xml:space="preserve"> </w:t>
      </w:r>
      <w:r>
        <w:rPr>
          <w:bCs/>
          <w:b/>
        </w:rPr>
        <w:t xml:space="preserve">thin 2 mục</w:t>
      </w:r>
      <w:r>
        <w:t xml:space="preserve"> </w:t>
      </w:r>
      <w:r>
        <w:t xml:space="preserve">(b8 chứng chỉ chất lượng + e6 công nghệ nước ngoài) để tối đa hóa độ phủ trên 50 nền kinh tế. Cả hai cùng đo construct formative</w:t>
      </w:r>
      <w:r>
        <w:t xml:space="preserve"> </w:t>
      </w:r>
      <w:r>
        <w:rPr>
          <w:iCs/>
          <w:i/>
        </w:rPr>
        <w:t xml:space="preserve">năng lực công nghệ</w:t>
      </w:r>
      <w:r>
        <w:t xml:space="preserve">; khác biệt về bộ mục phản ánh ràng buộc khả dụng dữ liệu, không phải định nghĩa mâu thuẫn. Hệ số trong chuyên đề được tính từ chính bộ 4 mục này.</w:t>
      </w:r>
    </w:p>
    <w:p>
      <w:pPr>
        <w:pStyle w:val="FirstParagraph"/>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(Bậc 1+2): z-mean(c22b + k33 + k38), chỉ có trong lược đồ BEE (2019 trở đi).</w:t>
      </w:r>
      <w:r>
        <w:t xml:space="preserve"> </w:t>
      </w:r>
      <w:r>
        <w:t xml:space="preserve">DAI_z_tier1 (Bậc 1 only): z-mean(c22b), có xuyên tất cả lược đồ. Phân tầng đo lường số hóa theo Verhoef et al. (2021); vai trò công cụ số trong quốc tế hóa theo Banalieva &amp; Dhanaraj (2019).</w:t>
      </w:r>
    </w:p>
    <w:p>
      <w:pPr>
        <w:pStyle w:val="BodyText"/>
      </w:pPr>
      <w:r>
        <w:t xml:space="preserve">Chiến lược đo lường DAI: sử dụng DAI_z_full làm biến chính trong mẫu con BEE; DAI_z_tier1 cho so sánh xuyên lược đồ và kiểm định độ vững.</w:t>
      </w:r>
    </w:p>
    <w:bookmarkEnd w:id="75"/>
    <w:bookmarkStart w:id="76" w:name="phân-loại-icrv-6-nhóm"/>
    <w:p>
      <w:pPr>
        <w:pStyle w:val="Heading5"/>
      </w:pPr>
      <w:r>
        <w:t xml:space="preserve">Phân loại ICRV 6 nhóm</w:t>
      </w:r>
    </w:p>
    <w:p>
      <w:pPr>
        <w:pStyle w:val="FirstParagraph"/>
      </w:pPr>
      <w:r>
        <w:t xml:space="preserve">Bảng 2.11. Phân loại 50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 Nhật Bản</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 Oman</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Chuyển đổi TB-thấp (</w:t>
            </w:r>
            <w:r>
              <w:rPr>
                <w:rStyle w:val="VerbatimChar"/>
              </w:rPr>
              <w:t xml:space="preserve">Lower_mid_transition</w:t>
            </w:r>
            <w:r>
              <w:t xml:space="preserve">)</w:t>
            </w:r>
          </w:p>
        </w:tc>
        <w:tc>
          <w:tcPr/>
          <w:p>
            <w:pPr>
              <w:pStyle w:val="Compact"/>
              <w:jc w:val="left"/>
            </w:pPr>
            <w:r>
              <w:t xml:space="preserve">GNI/người 1.500–5.000 PPP; đông dân, GVC đang tăng</w:t>
            </w:r>
          </w:p>
        </w:tc>
        <w:tc>
          <w:tcPr/>
          <w:p>
            <w:pPr>
              <w:pStyle w:val="Compact"/>
              <w:jc w:val="left"/>
            </w:pPr>
            <w:r>
              <w:t xml:space="preserve">Việt Nam, Ấn Độ, Indonesia, Philippines, Mông Cổ, Bangladesh, Pakistan</w:t>
            </w:r>
          </w:p>
        </w:tc>
      </w:tr>
      <w:tr>
        <w:tc>
          <w:tcPr/>
          <w:p>
            <w:pPr>
              <w:pStyle w:val="Compact"/>
              <w:jc w:val="left"/>
            </w:pPr>
            <w:r>
              <w:t xml:space="preserve">V</w:t>
            </w:r>
          </w:p>
        </w:tc>
        <w:tc>
          <w:tcPr/>
          <w:p>
            <w:pPr>
              <w:pStyle w:val="Compact"/>
              <w:jc w:val="left"/>
            </w:pPr>
            <w:r>
              <w:t xml:space="preserve">Đang nổi (</w:t>
            </w:r>
            <w:r>
              <w:rPr>
                <w:rStyle w:val="VerbatimChar"/>
              </w:rPr>
              <w:t xml:space="preserve">Emerging</w:t>
            </w:r>
            <w:r>
              <w:t xml:space="preserve">)</w:t>
            </w:r>
          </w:p>
        </w:tc>
        <w:tc>
          <w:tcPr/>
          <w:p>
            <w:pPr>
              <w:pStyle w:val="Compact"/>
              <w:jc w:val="left"/>
            </w:pPr>
            <w:r>
              <w:t xml:space="preserve">GNI/người &lt;4.000 PPP; khoảng trống thể chế đáng kể</w:t>
            </w:r>
          </w:p>
        </w:tc>
        <w:tc>
          <w:tcPr/>
          <w:p>
            <w:pPr>
              <w:pStyle w:val="Compact"/>
              <w:jc w:val="left"/>
            </w:pPr>
            <w:r>
              <w:t xml:space="preserve">Sri Lanka, Jordan, Lào, Campuchia, Myanmar, Nepal, Bhutan, Maldives, Uzbekistan, Tajikistan, Kyrgyzstan, Turkmenistan, Afghanistan, Azerbaijan, Iraq, Lebanon, Yemen (17 nước)</w:t>
            </w:r>
          </w:p>
        </w:tc>
      </w:tr>
      <w:tr>
        <w:tc>
          <w:tcPr/>
          <w:p>
            <w:pPr>
              <w:pStyle w:val="Compact"/>
              <w:jc w:val="left"/>
            </w:pPr>
            <w:r>
              <w:t xml:space="preserve">VI</w:t>
            </w:r>
          </w:p>
        </w:tc>
        <w:tc>
          <w:tcPr/>
          <w:p>
            <w:pPr>
              <w:pStyle w:val="Compact"/>
              <w:jc w:val="left"/>
            </w:pPr>
            <w:r>
              <w:t xml:space="preserve">SIDS (</w:t>
            </w:r>
            <w:r>
              <w:rPr>
                <w:rStyle w:val="VerbatimChar"/>
              </w:rPr>
              <w:t xml:space="preserve">SIDS_small</w:t>
            </w:r>
            <w:r>
              <w:t xml:space="preserve">)</w:t>
            </w:r>
          </w:p>
        </w:tc>
        <w:tc>
          <w:tcPr/>
          <w:p>
            <w:pPr>
              <w:pStyle w:val="Compact"/>
              <w:jc w:val="left"/>
            </w:pPr>
            <w:r>
              <w:t xml:space="preserve">Đảo nhỏ; phụ thuộc cao; quốc tế hóa bắt buộc</w:t>
            </w:r>
          </w:p>
        </w:tc>
        <w:tc>
          <w:tcPr/>
          <w:p>
            <w:pPr>
              <w:pStyle w:val="Compact"/>
              <w:jc w:val="left"/>
            </w:pPr>
            <w:r>
              <w:t xml:space="preserve">Fiji, Kiribati, Papua New Guinea, Samoa, Solomon Islands, Tonga, Vanuatu, Timor-Leste (8 nền; P8 mẫu chính 7 Pacific)</w:t>
            </w:r>
          </w:p>
        </w:tc>
      </w:tr>
    </w:tbl>
    <w:p>
      <w:pPr>
        <w:pStyle w:val="BodyText"/>
      </w:pPr>
      <w:r>
        <w:t xml:space="preserve">Tổng: 6 + 6 + 6 + 7 + 17 + 8 =</w:t>
      </w:r>
      <w:r>
        <w:t xml:space="preserve"> </w:t>
      </w:r>
      <w:r>
        <w:rPr>
          <w:bCs/>
          <w:b/>
        </w:rPr>
        <w:t xml:space="preserve">50 nền kinh tế châu Á–Thái Bình Dương</w:t>
      </w:r>
      <w:r>
        <w:t xml:space="preserve"> </w:t>
      </w:r>
      <w:r>
        <w:t xml:space="preserve">(gồm Nhật Bản; căn theo nhãn</w:t>
      </w:r>
      <w:r>
        <w:t xml:space="preserve"> </w:t>
      </w:r>
      <w:r>
        <w:rPr>
          <w:rStyle w:val="VerbatimChar"/>
        </w:rPr>
        <w:t xml:space="preserve">icrv_label</w:t>
      </w:r>
      <w:r>
        <w:t xml:space="preserve"> </w:t>
      </w:r>
      <w:r>
        <w:t xml:space="preserve">dữ liệu P7).</w:t>
      </w:r>
      <w:r>
        <w:t xml:space="preserve"> </w:t>
      </w:r>
      <w:r>
        <w:rPr>
          <w:iCs/>
          <w:i/>
        </w:rPr>
        <w:t xml:space="preserve">(Mẫu gộp phân loại đầy đủ 52 nền/96.415 DN gồm thêm Turkey, Cyprus ngoài châu Á, loại khỏi khung 50. P8 mẫu chính 7 nền Pacific; độ vững 9 nền gồm Comoros + Timor-Leste.)</w:t>
      </w:r>
    </w:p>
    <w:p>
      <w:pPr>
        <w:pStyle w:val="BodyText"/>
      </w:pPr>
      <w:r>
        <w:t xml:space="preserve">Phân loại dựa trên GNI/người PPP (trung bình 2020–2024, World Bank), Chỉ số Đổi mới Sáng tạo Toàn cầu (WIPO GII), và tỉ trọng doanh thu tài nguyên (IMF Fiscal Monitor). Tất cả 50 nền kinh tế không thay đổi nhóm ICRV trong giai đoạn 2009–2025 (ngưỡng kiểm tra: chuyển nhóm nếu GNI/người vượt ngưỡng ±15% trong ≥3 năm liên tiếp, không có trường hợp nào).</w:t>
      </w:r>
    </w:p>
    <w:bookmarkEnd w:id="76"/>
    <w:bookmarkStart w:id="77" w:name="chiến-lược-nhận-dạng-nhân-quả"/>
    <w:p>
      <w:pPr>
        <w:pStyle w:val="Heading5"/>
      </w:pPr>
      <w:r>
        <w:t xml:space="preserve">Chiến lược nhận dạng nhân quả</w:t>
      </w:r>
    </w:p>
    <w:p>
      <w:pPr>
        <w:pStyle w:val="FirstParagraph"/>
      </w:pPr>
      <w:r>
        <w:t xml:space="preserve">Tầng 1, OLS với SE robust và hiệu ứng cố định (tất cả mô hình M0–M7): HC1 SE (chuẩn), điều chỉnh không đồng nhất phương sai cấp doanh nghiệp; hiệu ứng cố định hai chiều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 ≥ 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 β₁ &gt; 0 và β₂ &lt; 0; tính TP = −β₁/(2β₂) và 95% CI bằng delta method; kiểm định H₀: độ dốc tại min(FSTS) ≤ 0 HOẶC độ dốc tại max(FSTS) ≥ 0, bác bỏ H₀ sang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 FSTS² giữa Year_bucket cho H6.</w:t>
      </w:r>
    </w:p>
    <w:p>
      <w:pPr>
        <w:pStyle w:val="BodyText"/>
      </w:pPr>
      <w:r>
        <w:t xml:space="preserve">LOWESS phi tham số: smoother cục bộ (bandwidth = 0,4) vẽ ln(LP) ~ FSTS, nếu hình dạng visual nhất quán với chữ U ngược sang bằng chứng xác nhận không phụ thuộc giả định phân phối.</w:t>
      </w:r>
    </w:p>
    <w:p>
      <w:pPr>
        <w:pStyle w:val="BodyText"/>
      </w:pPr>
      <w:r>
        <w:t xml:space="preserve">Tầng 4, Nhân rộng mẫu con: Mẫu gộp đủ lớn (88.869 / 50 nền, gồm Nhật Bản) cho phép chạy M0–M7 riêng cho từng nhóm ICRV (Nhóm I: 6.390; Nhóm IV: 45.003) để kiểm định tính không đồng nhất.</w:t>
      </w:r>
    </w:p>
    <w:bookmarkEnd w:id="77"/>
    <w:bookmarkEnd w:id="78"/>
    <w:bookmarkStart w:id="79"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sang ROS; (b) Biến độc lập sang biến giả xuất khẩu (dummy exporter); (c) TCI 3-item (loại h1); (d) DAI Bậc 1 only (c22b) xuyên tất cả schema</w:t>
            </w:r>
          </w:p>
        </w:tc>
        <w:tc>
          <w:tcPr/>
          <w:p>
            <w:pPr>
              <w:pStyle w:val="Compact"/>
              <w:jc w:val="left"/>
            </w:pPr>
            <w:r>
              <w:t xml:space="preserve">Dấu hệ số giữ nguyên; độ lớn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cho kết quả không tìm thấy phi tuyến; (b) Thay TCI bằng nhiễu cho kết quả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 β₁(FSTS) trong khoảng [0,1; 3,0]; β₂(FSTS²) trong khoảng [−2,5; −0,1]; điểm uốn trong khoảng [20%; 90%]; β(TCI) trong khoảng [0,05; 0,5]; β(FSTS²×DAI) Nhóm I trong khoảng [0,5; 6,0].</w:t>
      </w:r>
    </w:p>
    <w:p>
      <w:pPr>
        <w:pStyle w:val="BodyText"/>
      </w:pPr>
      <w:r>
        <w:t xml:space="preserve">Quy trình báo cáo: nếu ≥4/6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p>
      <w:pPr>
        <w:pStyle w:val="BodyText"/>
      </w:pPr>
      <w:r>
        <w:rPr>
          <w:bCs/>
          <w:b/>
        </w:rPr>
        <w:t xml:space="preserve">Cập nhật kết quả thực hiện (khung 50 nền P7).</w:t>
      </w:r>
      <w:r>
        <w:t xml:space="preserve"> </w:t>
      </w:r>
      <w:r>
        <w:t xml:space="preserve">Bốn nhóm kiểm định cốt lõi của kế hoạch trên đã được thực hiện trên khung ước lượng 50 nền của luận án, tái lập đúng mô hình canonical (M2: điểm uốn 51,5%,</w:t>
      </w:r>
      <w:r>
        <w:t xml:space="preserve"> </w:t>
      </w:r>
      <m:oMath>
        <m:sSub>
          <m:e>
            <m:r>
              <m:t>β</m:t>
            </m:r>
          </m:e>
          <m:sub>
            <m:r>
              <m:t>2</m:t>
            </m:r>
          </m:sub>
        </m:sSub>
        <m:r>
          <m:rPr>
            <m:sty m:val="p"/>
          </m:rPr>
          <m:t>=</m:t>
        </m:r>
        <m:r>
          <m:rPr>
            <m:sty m:val="p"/>
          </m:rPr>
          <m:t>−</m:t>
        </m:r>
        <m:r>
          <m:t>1</m:t>
        </m:r>
        <m:r>
          <m:rPr>
            <m:sty m:val="p"/>
          </m:rPr>
          <m:t>,</m:t>
        </m:r>
        <m:r>
          <m:t>399</m:t>
        </m:r>
      </m:oMath>
      <w:r>
        <w:t xml:space="preserve">,</w:t>
      </w:r>
      <w:r>
        <w:t xml:space="preserve"> </w:t>
      </w:r>
      <m:oMath>
        <m:r>
          <m:t>p</m:t>
        </m:r>
        <m:r>
          <m:rPr>
            <m:sty m:val="p"/>
          </m:rPr>
          <m:t>&lt;</m:t>
        </m:r>
        <m:r>
          <m:rPr>
            <m:sty m:val="p"/>
          </m:rPr>
          <m:t>,</m:t>
        </m:r>
        <m:r>
          <m:t>001</m:t>
        </m:r>
      </m:oMath>
      <w:r>
        <w:t xml:space="preserve">).</w:t>
      </w:r>
      <w:r>
        <w:t xml:space="preserve"> </w:t>
      </w:r>
      <w:r>
        <w:rPr>
          <w:iCs/>
          <w:i/>
        </w:rPr>
        <w:t xml:space="preserve">Về suy luận cụm nhỏ (R3):</w:t>
      </w:r>
      <w:r>
        <w:t xml:space="preserve"> </w:t>
      </w:r>
      <w:r>
        <w:t xml:space="preserve">bootstrap cụm hoang dã (wild-cluster, Cameron–Gelbach–Miller, B = 9.999, cụm theo nền kinh tế) cho thấy độ cong theo từng nhóm ICRV nhạy cảm với số cụm; độ cong vùng chuyển đổi (Nhóm IV) nới từ</w:t>
      </w:r>
      <w:r>
        <w:t xml:space="preserve"> </w:t>
      </w:r>
      <m:oMath>
        <m:r>
          <m:t>p</m:t>
        </m:r>
        <m:r>
          <m:rPr>
            <m:sty m:val="p"/>
          </m:rPr>
          <m:t>=</m:t>
        </m:r>
        <m:r>
          <m:t>0</m:t>
        </m:r>
        <m:r>
          <m:rPr>
            <m:sty m:val="p"/>
          </m:rPr>
          <m:t>,</m:t>
        </m:r>
        <m:r>
          <m:t>001</m:t>
        </m:r>
      </m:oMath>
      <w:r>
        <w:t xml:space="preserve"> </w:t>
      </w:r>
      <w:r>
        <w:t xml:space="preserve">(CRV1) lên</w:t>
      </w:r>
      <w:r>
        <w:t xml:space="preserve"> </w:t>
      </w:r>
      <m:oMath>
        <m:r>
          <m:rPr>
            <m:sty m:val="p"/>
          </m:rPr>
          <m:t>≈</m:t>
        </m:r>
        <m:r>
          <m:t>0</m:t>
        </m:r>
        <m:r>
          <m:rPr>
            <m:sty m:val="p"/>
          </m:rPr>
          <m:t>,</m:t>
        </m:r>
        <m:r>
          <m:t>10</m:t>
        </m:r>
      </m:oMath>
      <w:r>
        <w:t xml:space="preserve">, xác nhận suy luận phi tuyến hình thức được neo ở cấp gộp (49 cụm) và phân tích tổng hợp P6, còn các điểm uốn theo nhóm được đọc như một phổ mô tả chứ không phải kiểm định độc lập đủ công suất.</w:t>
      </w:r>
      <w:r>
        <w:t xml:space="preserve"> </w:t>
      </w:r>
      <w:r>
        <w:rPr>
          <w:iCs/>
          <w:i/>
        </w:rPr>
        <w:t xml:space="preserve">Về tự do lựa chọn của nhà nghiên cứu (R6):</w:t>
      </w:r>
      <w:r>
        <w:t xml:space="preserve"> </w:t>
      </w:r>
      <w:r>
        <w:t xml:space="preserve">hiệu chỉnh đa kiểm định Holm/Bonferroni cho cả họ bốn tương tác TCI/DAI giữ nguyên không có ý nghĩa, nên kết luận năng lực là yếu tố nâng mặt bằng không phải âm tính giả do kiểm định lặp.</w:t>
      </w:r>
      <w:r>
        <w:t xml:space="preserve"> </w:t>
      </w:r>
      <w:r>
        <w:rPr>
          <w:iCs/>
          <w:i/>
        </w:rPr>
        <w:t xml:space="preserve">Về bất biến đo lường (R1):</w:t>
      </w:r>
      <w:r>
        <w:t xml:space="preserve"> </w:t>
      </w:r>
      <w:r>
        <w:t xml:space="preserve">các mục lõi TCI và DAI hiện diện khoảng</w:t>
      </w:r>
      <w:r>
        <w:t xml:space="preserve"> </w:t>
      </w:r>
      <m:oMath>
        <m:r>
          <m:t>99</m:t>
        </m:r>
        <m:r>
          <m:rPr>
            <m:sty m:val="p"/>
          </m:rPr>
          <m:t>%</m:t>
        </m:r>
      </m:oMath>
      <w:r>
        <w:t xml:space="preserve"> </w:t>
      </w:r>
      <w:r>
        <w:t xml:space="preserve">ở cả ba thế hệ lược đồ và trung bình DAI tăng đơn điệu (</w:t>
      </w:r>
      <m:oMath>
        <m:r>
          <m:t>0</m:t>
        </m:r>
        <m:r>
          <m:rPr>
            <m:sty m:val="p"/>
          </m:rPr>
          <m:t>,</m:t>
        </m:r>
        <m:r>
          <m:t>30</m:t>
        </m:r>
        <m:r>
          <m:rPr>
            <m:sty m:val="p"/>
          </m:rPr>
          <m:t>→</m:t>
        </m:r>
        <m:r>
          <m:t>0</m:t>
        </m:r>
        <m:r>
          <m:rPr>
            <m:sty m:val="p"/>
          </m:rPr>
          <m:t>,</m:t>
        </m:r>
        <m:r>
          <m:t>46</m:t>
        </m:r>
        <m:r>
          <m:rPr>
            <m:sty m:val="p"/>
          </m:rPr>
          <m:t>→</m:t>
        </m:r>
        <m:r>
          <m:t>0</m:t>
        </m:r>
        <m:r>
          <m:rPr>
            <m:sty m:val="p"/>
          </m:rPr>
          <m:t>,</m:t>
        </m:r>
        <m:r>
          <m:t>53</m:t>
        </m:r>
      </m:oMath>
      <w:r>
        <w:t xml:space="preserve">) phản ánh khuếch tán số thực chất, nên so sánh chéo đợt là có cơ sở.</w:t>
      </w:r>
      <w:r>
        <w:t xml:space="preserve"> </w:t>
      </w:r>
      <w:r>
        <w:rPr>
          <w:iCs/>
          <w:i/>
        </w:rPr>
        <w:t xml:space="preserve">Về nội sinh chọn lọc (R4):</w:t>
      </w:r>
      <w:r>
        <w:t xml:space="preserve"> </w:t>
      </w:r>
      <w:r>
        <w:t xml:space="preserve">thêm tỷ số Mills nghịch đảo từ probit tham gia xuất khẩu giữ nguyên độ cong chữ U ngược và điểm uốn (</w:t>
      </w:r>
      <m:oMath>
        <m:r>
          <m:t>43</m:t>
        </m:r>
        <m:r>
          <m:rPr>
            <m:sty m:val="p"/>
          </m:rPr>
          <m:t>,</m:t>
        </m:r>
        <m:r>
          <m:t>6</m:t>
        </m:r>
        <m:r>
          <m:rPr>
            <m:sty m:val="p"/>
          </m:rPr>
          <m:t>%</m:t>
        </m:r>
        <m:r>
          <m:rPr>
            <m:sty m:val="p"/>
          </m:rPr>
          <m:t>→</m:t>
        </m:r>
        <m:r>
          <m:t>43</m:t>
        </m:r>
        <m:r>
          <m:rPr>
            <m:sty m:val="p"/>
          </m:rPr>
          <m:t>,</m:t>
        </m:r>
        <m:r>
          <m:t>5</m:t>
        </m:r>
        <m:r>
          <m:rPr>
            <m:sty m:val="p"/>
          </m:rPr>
          <m:t>%</m:t>
        </m:r>
      </m:oMath>
      <w:r>
        <w:t xml:space="preserve">) với tỷ số Mills không có ý nghĩa (</w:t>
      </w:r>
      <m:oMath>
        <m:r>
          <m:t>p</m:t>
        </m:r>
        <m:r>
          <m:rPr>
            <m:sty m:val="p"/>
          </m:rPr>
          <m:t>=</m:t>
        </m:r>
        <m:r>
          <m:rPr>
            <m:sty m:val="p"/>
          </m:rPr>
          <m:t>,</m:t>
        </m:r>
        <m:r>
          <m:t>317</m:t>
        </m:r>
      </m:oMath>
      <w:r>
        <w:t xml:space="preserve">), cho thấy không có thiên lệch tự chọn lọc kiểu Melitz trong độ cong. Chi tiết phương pháp và số liệu ở</w:t>
      </w:r>
      <w:r>
        <w:t xml:space="preserve"> </w:t>
      </w:r>
      <w:r>
        <w:rPr>
          <w:rStyle w:val="VerbatimChar"/>
        </w:rPr>
        <w:t xml:space="preserve">data_wbes/analysis/p7_robustness_suite_2026-06.md</w:t>
      </w:r>
      <w:r>
        <w:t xml:space="preserve">.</w:t>
      </w:r>
    </w:p>
    <w:bookmarkEnd w:id="79"/>
    <w:bookmarkStart w:id="84" w:name="Xa7a3e024942ac139f282b38617464477c22cff4"/>
    <w:p>
      <w:pPr>
        <w:pStyle w:val="Heading4"/>
      </w:pPr>
      <w:r>
        <w:t xml:space="preserve">2.3.8 Thảo luận: đóng góp lý thuyết và thực tiễn</w:t>
      </w:r>
    </w:p>
    <w:bookmarkStart w:id="80" w:name="khung-đánh-giá-đóng-góp"/>
    <w:p>
      <w:pPr>
        <w:pStyle w:val="Heading5"/>
      </w:pPr>
      <w:r>
        <w:t xml:space="preserve">Khung đánh giá đóng góp</w:t>
      </w:r>
    </w:p>
    <w:p>
      <w:pPr>
        <w:pStyle w:val="FirstParagraph"/>
      </w:pPr>
      <w:r>
        <w:t xml:space="preserve">Tám đóng góp dưới đây được định vị theo hai tiêu chí chuẩn để đánh giá đóng góp lý thuyết trong nghiên cứu quản trị và kinh doanh quốc tế:</w:t>
      </w:r>
      <w:r>
        <w:t xml:space="preserve"> </w:t>
      </w:r>
      <w:r>
        <w:rPr>
          <w:bCs/>
          <w:b/>
        </w:rPr>
        <w:t xml:space="preserve">tính nguyên gốc và tính hữu dụng</w:t>
      </w:r>
      <w:r>
        <w:t xml:space="preserve"> </w:t>
      </w:r>
      <w:r>
        <w:t xml:space="preserve">(originality × utility; Corley &amp; Gioia, 2011) và bộ ba</w:t>
      </w:r>
      <w:r>
        <w:t xml:space="preserve"> </w:t>
      </w:r>
      <w:r>
        <w:rPr>
          <w:bCs/>
          <w:b/>
        </w:rPr>
        <w:t xml:space="preserve">“</w:t>
      </w:r>
      <w:r>
        <w:rPr>
          <w:bCs/>
          <w:b/>
        </w:rPr>
        <w:t xml:space="preserve">cái gì – như thế nào – vì sao bây giờ</w:t>
      </w:r>
      <w:r>
        <w:rPr>
          <w:bCs/>
          <w:b/>
        </w:rPr>
        <w:t xml:space="preserve">”</w:t>
      </w:r>
      <w:r>
        <w:t xml:space="preserve"> </w:t>
      </w:r>
      <w:r>
        <w:t xml:space="preserve">(Whetten, 1989). Cần phân biệt rõ giữa</w:t>
      </w:r>
      <w:r>
        <w:t xml:space="preserve"> </w:t>
      </w:r>
      <w:r>
        <w:rPr>
          <w:bCs/>
          <w:b/>
        </w:rPr>
        <w:t xml:space="preserve">đóng góp</w:t>
      </w:r>
      <w:r>
        <w:t xml:space="preserve"> </w:t>
      </w:r>
      <w:r>
        <w:t xml:space="preserve">và</w:t>
      </w:r>
      <w:r>
        <w:t xml:space="preserve"> </w:t>
      </w:r>
      <w:r>
        <w:rPr>
          <w:bCs/>
          <w:b/>
        </w:rPr>
        <w:t xml:space="preserve">nhân rộng</w:t>
      </w:r>
      <w:r>
        <w:t xml:space="preserve"> </w:t>
      </w:r>
      <w:r>
        <w:t xml:space="preserve">(replication): việc tái xác nhận chữ U ngược ở từng bối cảnh đơn lẻ tự nó là nhân rộng có giá trị xác nhận, còn đóng góp nằm ở việc</w:t>
      </w:r>
      <w:r>
        <w:t xml:space="preserve"> </w:t>
      </w:r>
      <w:r>
        <w:rPr>
          <w:iCs/>
          <w:i/>
        </w:rPr>
        <w:t xml:space="preserve">cấu trúc hóa</w:t>
      </w:r>
      <w:r>
        <w:t xml:space="preserve"> </w:t>
      </w:r>
      <w:r>
        <w:t xml:space="preserve">sự biến thiên xuyên bối cảnh của dạng hàm thành một quy luật kiểm định được. Vì chuyên đề này là chuyên đề</w:t>
      </w:r>
      <w:r>
        <w:t xml:space="preserve"> </w:t>
      </w:r>
      <w:r>
        <w:rPr>
          <w:bCs/>
          <w:b/>
        </w:rPr>
        <w:t xml:space="preserve">xây dựng mô hình</w:t>
      </w:r>
      <w:r>
        <w:t xml:space="preserve">, mỗi đóng góp được phát biểu dưới dạng</w:t>
      </w:r>
      <w:r>
        <w:t xml:space="preserve"> </w:t>
      </w:r>
      <w:r>
        <w:rPr>
          <w:bCs/>
          <w:b/>
        </w:rPr>
        <w:t xml:space="preserve">mệnh đề có thể bác bỏ</w:t>
      </w:r>
      <w:r>
        <w:t xml:space="preserve"> </w:t>
      </w:r>
      <w:r>
        <w:t xml:space="preserve">kèm</w:t>
      </w:r>
      <w:r>
        <w:t xml:space="preserve"> </w:t>
      </w:r>
      <w:r>
        <w:rPr>
          <w:bCs/>
          <w:b/>
        </w:rPr>
        <w:t xml:space="preserve">điều kiện phạm vi</w:t>
      </w:r>
      <w:r>
        <w:t xml:space="preserve"> </w:t>
      </w:r>
      <w:r>
        <w:t xml:space="preserve">tường minh, để khung CDCM–ICRV–FIP có thể sai nếu dữ liệu không khớp — đặc điểm phân biệt một mô hình lý thuyết với một mô tả hậu nghiệm.</w:t>
      </w:r>
    </w:p>
    <w:bookmarkEnd w:id="80"/>
    <w:bookmarkStart w:id="81" w:name="đóng-góp-lý-thuyết"/>
    <w:p>
      <w:pPr>
        <w:pStyle w:val="Heading5"/>
      </w:pPr>
      <w:r>
        <w:t xml:space="preserve">Đóng góp lý thuyết</w:t>
      </w:r>
    </w:p>
    <w:p>
      <w:pPr>
        <w:pStyle w:val="FirstParagraph"/>
      </w:pPr>
      <w:r>
        <w:t xml:space="preserve">Đóng góp 1: Khung tích hợp 4 tầng + Khung chấp nhận số nền tảng cho châu Á. Không có khung tương đương trong tài liệu IB cho khu vực 50 nền kinh tế (gồm Nhật Bản) bao gồm cả quốc đảo nhỏ Thái Bình Dương. Khung tích hợp Uppsala + lý thuyết dựa trên nguồn lực + lý thuyết thể chế + lý thuyết thượng tầng quản trị + Khung chấp nhận số nền tảng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tài liệu.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quốc tế hóa và hiệu quả khác nhau do nguồn lực dẫn dắt khác nhau.</w:t>
      </w:r>
    </w:p>
    <w:p>
      <w:pPr>
        <w:pStyle w:val="BodyText"/>
      </w:pPr>
      <w:r>
        <w:t xml:space="preserve">Đóng góp 4: Giả thuyết gánh nặng bắt buộc trong khung quốc tế hóa và hiệu quả. Dạng gánh nặng bắt buộc (forced penalty) ở SIDS (Nhóm VI) được tích hợp vào H5/H1b như trường hợp cực đoan của phổ thể chế, SIDS không có chữ U ngược điển hình do quốc tế hóa bắt buộc (Briguglio, 1995). Phát hiện vững của nghiên cứu chuyên sâu SIDS (P8, trên</w:t>
      </w:r>
      <w:r>
        <w:t xml:space="preserve"> </w:t>
      </w:r>
      <w:r>
        <w:rPr>
          <w:bCs/>
          <w:b/>
        </w:rPr>
        <w:t xml:space="preserve">mẫu đầy đủ bảy cụm Thái Bình Dương</w:t>
      </w:r>
      <w:r>
        <w:t xml:space="preserve">) là</w:t>
      </w:r>
      <w:r>
        <w:t xml:space="preserve"> </w:t>
      </w:r>
      <w:r>
        <w:rPr>
          <w:bCs/>
          <w:b/>
        </w:rPr>
        <w:t xml:space="preserve">việc dạng chữ U ngược mất cấu trúc</w:t>
      </w:r>
      <w:r>
        <w:t xml:space="preserve">: độ dốc tuyến tính (−0,085; p_wild = 0,66) không có ý nghĩa và độ cong (+0,696; p_wild = 0,082) chỉ đạt mức biên. Hệ số âm mạnh đặc trưng cho FIP (β = −1,339) chỉ xuất hiện trên một bản dựng dữ liệu hạn chế ba cụm, mang tính</w:t>
      </w:r>
      <w:r>
        <w:t xml:space="preserve"> </w:t>
      </w:r>
      <w:r>
        <w:rPr>
          <w:bCs/>
          <w:b/>
        </w:rPr>
        <w:t xml:space="preserve">minh họa và nhạy cảm với phiên bản dữ liệu</w:t>
      </w:r>
      <w:r>
        <w:t xml:space="preserve">; do đó FIP được phát biểu chủ yếu như một</w:t>
      </w:r>
      <w:r>
        <w:t xml:space="preserve"> </w:t>
      </w:r>
      <w:r>
        <w:rPr>
          <w:bCs/>
          <w:b/>
        </w:rPr>
        <w:t xml:space="preserve">đóng góp khái niệm</w:t>
      </w:r>
      <w:r>
        <w:t xml:space="preserve"> </w:t>
      </w:r>
      <w:r>
        <w:t xml:space="preserve">(điều kiện biên cực trị) chứ không phải một ước lượng điểm chắc chắn. Tích hợp này mở rộng tài liệu quốc tế hóa và hiệu quả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tài liệu châu Á kiểm định đồng thời I×TCI×DAI điều tiết ba chiều kết hợp với tính không đồng nhất thời gian, cho phép kiểm tra xem TCI và DAI là bổ sung hay thay thế trong điều tiết quốc tế hóa và hiệu quả.</w:t>
      </w:r>
    </w:p>
    <w:p>
      <w:pPr>
        <w:pStyle w:val="BodyText"/>
      </w:pPr>
      <w:r>
        <w:t xml:space="preserve">Đóng góp 6: Mẫu gộp 88.869 doanh nghiệp (50 nền, gồm Nhật Bản), rộng nhất cho nghiên cứu quốc tế hóa và hiệu quả châu Á. Ba thế hệ lược đồ WBES được hòa hợp qua giao thức chi tiết. Mẫu gộp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hiệu ứng cố định hai chiều,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tài liệu quốc tế hóa và hiệu quả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châu Á mới nổi:</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DAI×FSTS² =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Phổ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lý thuyết dựa trên nguồn lực, lý thuyết thể chế, lý thuyết thượng tầng quản trị, Khung chấp nhận số nền tảng, vào tám mô hình thực nghiệm M0–M7 có thể kiểm định trên mẫu gộp 88.869 doanh nghiệp WBES xuyên 50 nền kinh tế (gồm Nhật Bản) và 104 cặp quốc gia-năm. Hệ giả thuyết H1–H6 được phát triển có neo đậu thực nghiệm từ ba bản thảo đồng hành (P3 Việt Nam, P4 Singapore, P5 Trung Quốc), xác nhận tính khả nghiệm của khung đề xuất trước khi áp dụng cho toàn mẫu gộp.</w:t>
      </w:r>
    </w:p>
    <w:p>
      <w:pPr>
        <w:pStyle w:val="BodyText"/>
      </w:pPr>
      <w:r>
        <w:t xml:space="preserve">Kết quả dự kiến từ bằng chứng neo đậu: H1 (phi tuyến) xác nhận chữ U ngược ở hầu hết nhóm ICRV với phổ điểm uốn từ Nhóm I đến Nhóm VI; H2 (TCI nâng mặt bằng) TCI dương bền vững và nhân quả; H3a (DAI Emerging/Frontier) khám phá; H3b (DAI Advanced) β(FSTS²×DAI) dương trong Nhóm I (P4 xác nhận), null/phụ thuộc chọn lựa trong Nhóm IV (P3 IV null); H4a (Kinh nghiệm QL) exp_manager×FSTS dương; H4b (Học vấn QL) educ_manager×FSTS dương; H4c (Giới tính) khám phá; H5 (ICRV phổ thể chế) điểm uốn phổ thể chế từ Nhóm I đến VI, Nhóm VI gánh nặng bắt buộc; H6 (Thời gian) DAI dịch chuyển 2009 xuống 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hạn-chế-nghiên-cứu"/>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dữ liệu bảng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Bậc 1–2 (website và e-payment) do hạn chế lược đồ WBES. Không thể kết luận về vai trò của năng lực số Bậc 3–4, tích hợp ERP, triển khai AI, quản trị dữ liệu xuyên biên giới, đối với mối quan hệ quốc tế hóa và hiệu quả. Kết luận H3 chỉ hợp lệ trong ranh giới đo lường Bậc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lý thuyết thượng tầng quản trị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Bậc 3–4 từ báo cáo thường niên doanh nghiệp niêm yết. Khi lược đồ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quốc tế hóa và hiệu quả: Angrist &amp; Pischke (2009); Oster (2019) về δ-stability bounds; Wolfolds &amp; Siegel (2019) về điều kiện hợp lệ của Heckman. Về tổng hợp bằng chứng xuyên bối cảnh: Sutton &amp; Higgins (2008), dữ liệu bảng cho phân tích tổng hợp; Borenstein et al. (2021), Bayesian hồi quy phân tích tổng hợp với thông tin tiền nghiệm. Về mở rộng bậc số hóa: Verhoef et al. (2021), phân cấp Bậc 1–4. Về mở rộng quốc tế hóa đa chiều: Contractor et al. (2003); Sullivan (1994) về DOI chỉ số hợp thành.</w:t>
      </w:r>
    </w:p>
    <w:p>
      <w:r>
        <w:pict>
          <v:rect style="width:0;height:1.5pt" o:hralign="center" o:hrstd="t" o:hr="t"/>
        </w:pict>
      </w:r>
    </w:p>
    <w:bookmarkEnd w:id="87"/>
    <w:bookmarkStart w:id="88" w:name="hướng-nghiên-cứu-tiếp-theo"/>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P6: Tổng quan định lượng ba tầng (three-level MARA, mục tiêu JWB):</w:t>
      </w:r>
      <w:r>
        <w:t xml:space="preserve"> </w:t>
      </w:r>
      <w:r>
        <w:t xml:space="preserve">Bản thảo P6 đã hoàn thành, mở rộng ICBEF 2025 cơ sở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(i) cDAI, mức độ số hóa cấp quốc gia; (ii) ICRV 5 nhóm; (iii) DPL giai đoạn. Kết quả MARA xác nhận: gộp</w:t>
      </w:r>
      <w:r>
        <w:t xml:space="preserve"> </w:t>
      </w:r>
      <w:r>
        <w:rPr>
          <w:iCs/>
          <w:i/>
        </w:rPr>
        <w:t xml:space="preserve">r</w:t>
      </w:r>
      <w:r>
        <w:t xml:space="preserve">=0,074 (CI [0,060; 0,088]), I²=62,4%; ICRV Q_M=17,35 (p=.002), H1 điều tiết thể chế được hỗ trợ; cDAI và DPL không có ý nghĩa (H2, H3 không được hỗ trợ). Phát hiện chính: lệch lạc công bố xác nhận qua Begg–Mazumdar τ=−0,132 (p=.001), cắt và điền k=57 imputed,</w:t>
      </w:r>
      <w:r>
        <w:t xml:space="preserve"> </w:t>
      </w:r>
      <w:r>
        <w:rPr>
          <w:iCs/>
          <w:i/>
        </w:rPr>
        <w:t xml:space="preserve">r</w:t>
      </w:r>
      <w:r>
        <w:t xml:space="preserve">_adj=0,035, gộp effect thực tế thấp hơn khoảng 50% so với ước lượng thô. Đóng góp của P6 trong khuôn khổ CD2: xác nhận phổ thể chế ICRV tổng thể (Q_M có ý nghĩa) nhưng không đủ k ở mỗi nhóm để xác nhận đường phổ thể chế đơn điệu E1a/E1b.</w:t>
      </w:r>
    </w:p>
    <w:p>
      <w:pPr>
        <w:pStyle w:val="BodyText"/>
      </w:pPr>
      <w:r>
        <w:rPr>
          <w:bCs/>
          <w:b/>
        </w:rPr>
        <w:t xml:space="preserve">Hướng 2, P7: Kiểm định H1–H6 toàn mẫu gộp 50 nền kinh tế (mục tiêu IBR):</w:t>
      </w:r>
      <w:r>
        <w:t xml:space="preserve"> </w:t>
      </w:r>
      <w:r>
        <w:t xml:space="preserve">P7 đã ước lượng trên N=81.022 doanh nghiệp, 50 nền kinh tế châu Á và Thái Bình Dương, 103 cặp nền kinh tế và năm, 6 nhóm ICRV. Kết quả xác nhận: H1 (phi tuyến) điểm uốn M5 = 43,6% (Lind–Mehlum p&lt;,001); H2 TCI hiệu ứng mức +0,141 (p&lt;,001); H3 DAI hiệu ứng mức +0,201 (p&lt;,001), tương tác độ cong cùng chiều nhưng không ý nghĩa; H5 ba vùng thể chế, chữ U ngược</w:t>
      </w:r>
      <w:r>
        <w:t xml:space="preserve"> </w:t>
      </w:r>
      <w:r>
        <w:rPr>
          <w:bCs/>
          <w:b/>
        </w:rPr>
        <w:t xml:space="preserve">rõ</w:t>
      </w:r>
      <w:r>
        <w:t xml:space="preserve"> </w:t>
      </w:r>
      <w:r>
        <w:t xml:space="preserve">từ SIDS/Frontier (~55%) xuống tiên tiến đổi mới (~28%); DAI×ICRV p=.012 (digital shield strongest khi thể chế yếu). P3 (Nhóm IV), P4 (Nhóm I), P5 (Nhóm III) cung cấp neo đậu cross-context đã được xác nhận bởi gộp 50-economy results (gồm Nhật Bản).</w:t>
      </w:r>
    </w:p>
    <w:p>
      <w:pPr>
        <w:pStyle w:val="BodyText"/>
      </w:pPr>
      <w:r>
        <w:rPr>
          <w:bCs/>
          <w:b/>
        </w:rPr>
        <w:t xml:space="preserve">Hướng 3, P8: SIDS Thái Bình Dương, gánh nặng bắt buộc (mục tiêu World Development):</w:t>
      </w:r>
      <w:r>
        <w:t xml:space="preserve"> </w:t>
      </w:r>
      <w:r>
        <w:t xml:space="preserve">P8 đã hoàn thành,</w:t>
      </w:r>
      <w:r>
        <w:t xml:space="preserve"> </w:t>
      </w:r>
      <w:r>
        <w:rPr>
          <w:bCs/>
          <w:b/>
        </w:rPr>
        <w:t xml:space="preserve">mẫu chính 7 nền Pacific SIDS (mẫu gộp N = 1.450; 212 cơ sở có xuất khẩu, 14,6%), β(FSTS_c) = −1,339</w:t>
      </w:r>
      <w:r>
        <w:t xml:space="preserve"> </w:t>
      </w:r>
      <w:r>
        <w:t xml:space="preserve">(bản dựng ba cụm, minh họa); kiểm định độ vững mở rộng 9 nền (thêm Comoros + Timor-Leste, N≈1.469, β≈−0,4), minh họa cho gánh nặng quốc tế hóa cưỡng bức như trường hợp giới hạn lý thuyết (trên mẫu đầy đủ 7 nền, dạng chữ U ngược mất cấu trúc; hệ số âm mạnh chỉ ở bản dựng hạn chế ba cụm), nhất quán với giả thuyết gánh nặng bắt buộc (Briguglio, 1995; Bertram, 2006). Khoảng trống về điều kiện biên FIP (Nhóm VI SIDS) trong CĐ2 đã được lấp đầy bởi P8.</w:t>
      </w:r>
    </w:p>
    <w:p>
      <w:pPr>
        <w:pStyle w:val="BodyText"/>
      </w:pPr>
      <w:r>
        <w:rPr>
          <w:bCs/>
          <w:b/>
        </w:rPr>
        <w:t xml:space="preserve">Hướng 4, CDCM Bậc 3–4 extension (MIS Quarterly hoặc Information Systems Research):</w:t>
      </w:r>
      <w:r>
        <w:t xml:space="preserve"> </w:t>
      </w:r>
      <w:r>
        <w:t xml:space="preserve">Khi lược đồ B-READY (World Bank, 2023–2027) và WBES mới bổ sung thêm mô-đun AI, ERP, và quản trị dữ liệu, CDCM có thể được kiểm định đầy đủ bốn tầng Verhoef et al. (2021). Câu hỏi lý thuyết: liệu DAI Bậc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Dữ liệu bảng dọc (panel longitudinal) WBES core 2023–2027 (JIBS hoặc SMJ):</w:t>
      </w:r>
      <w:r>
        <w:t xml:space="preserve"> </w:t>
      </w:r>
      <w:r>
        <w:t xml:space="preserve">tập dữ liệu bảng lõi (WBES core panel) theo dõi một nhóm doanh nghiệp trong ít nhất hai sóng liên tiếp, cho phép kiểm định nhân quả TCI sang năng suất và DAI sang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91"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Beugelsdijk, S., Kostova, T., Kunst, V. E., Spadafora, E., &amp; van Essen, M. (2018). Cultural distance and firm internationalization: A meta-analytical review and theoretical implications.</w:t>
      </w:r>
      <w:r>
        <w:t xml:space="preserve"> </w:t>
      </w:r>
      <w:r>
        <w:rPr>
          <w:iCs/>
          <w:i/>
        </w:rPr>
        <w:t xml:space="preserve">Journal of Management, 44</w:t>
      </w:r>
      <w:r>
        <w:t xml:space="preserve">(1), 89–130. https://doi.org/10.1177/0149206317729027</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Buckley, P. J., &amp; Casson, M. C. (1976).</w:t>
      </w:r>
      <w:r>
        <w:t xml:space="preserve"> </w:t>
      </w:r>
      <w:r>
        <w:rPr>
          <w:iCs/>
          <w:i/>
        </w:rPr>
        <w:t xml:space="preserve">The future of the multinational enterprise</w:t>
      </w:r>
      <w:r>
        <w:t xml:space="preserve">. Macmillan.</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Caves, R. E. (1971). International corporations: The industrial economics of foreign investment.</w:t>
      </w:r>
      <w:r>
        <w:t xml:space="preserve"> </w:t>
      </w:r>
      <w:r>
        <w:rPr>
          <w:iCs/>
          <w:i/>
        </w:rPr>
        <w:t xml:space="preserve">Economica, 38</w:t>
      </w:r>
      <w:r>
        <w:t xml:space="preserve">(149), 1–27.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Corley, K. G., &amp; Gioia, D. A. (2011). Building theory about theory building: What constitutes a theoretical contribution?</w:t>
      </w:r>
      <w:r>
        <w:t xml:space="preserve"> </w:t>
      </w:r>
      <w:r>
        <w:rPr>
          <w:iCs/>
          <w:i/>
        </w:rPr>
        <w:t xml:space="preserve">Academy of Management Review, 36</w:t>
      </w:r>
      <w:r>
        <w:t xml:space="preserve">(1), 12–32. https://doi.org/10.5465/amr.2009.0486</w:t>
      </w:r>
    </w:p>
    <w:p>
      <w:pPr>
        <w:pStyle w:val="BodyText"/>
      </w:pPr>
      <w:r>
        <w:t xml:space="preserve">Cronbach, L. J. (1951). Coefficient alpha and the internal structure of tests.</w:t>
      </w:r>
      <w:r>
        <w:t xml:space="preserve"> </w:t>
      </w:r>
      <w:r>
        <w:rPr>
          <w:iCs/>
          <w:i/>
        </w:rPr>
        <w:t xml:space="preserve">Psychometrika, 16</w:t>
      </w:r>
      <w:r>
        <w:t xml:space="preserve">(3), 297–334. https://doi.org/10.1007/BF02310555</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https://doi.org/10.1596/978-1-4648-1334-4</w:t>
      </w:r>
    </w:p>
    <w:p>
      <w:pPr>
        <w:pStyle w:val="BodyText"/>
      </w:pPr>
      <w:r>
        <w:t xml:space="preserve">Đỗ, T. H., &amp; Phan, A. T. (2026a).</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[Bản thảo chưa nộp].</w:t>
      </w:r>
      <w:r>
        <w:t xml:space="preserve"> </w:t>
      </w:r>
      <w:r>
        <w:rPr>
          <w:iCs/>
          <w:i/>
        </w:rPr>
        <w:t xml:space="preserve">Journal of Economics and Development</w:t>
      </w:r>
      <w:r>
        <w:t xml:space="preserve">. [P3, Việt Nam]</w:t>
      </w:r>
    </w:p>
    <w:p>
      <w:pPr>
        <w:pStyle w:val="BodyText"/>
      </w:pPr>
      <w:r>
        <w:t xml:space="preserve">Đỗ, T. H., &amp; Phan, A. T. (2026b).</w:t>
      </w:r>
      <w:r>
        <w:t xml:space="preserve"> </w:t>
      </w:r>
      <w:r>
        <w:rPr>
          <w:iCs/>
          <w:i/>
        </w:rPr>
        <w:t xml:space="preserve">Technological capability, digital adoption, and internationalization performance in China: Evidence from two WBES waves</w:t>
      </w:r>
      <w:r>
        <w:t xml:space="preserve"> </w:t>
      </w:r>
      <w:r>
        <w:t xml:space="preserve">[Bản thảo chưa nộp].</w:t>
      </w:r>
      <w:r>
        <w:t xml:space="preserve"> </w:t>
      </w:r>
      <w:r>
        <w:rPr>
          <w:iCs/>
          <w:i/>
        </w:rPr>
        <w:t xml:space="preserve">International Journal of Emerging Markets</w:t>
      </w:r>
      <w:r>
        <w:t xml:space="preserve">. [P5, Trung Quốc]</w:t>
      </w:r>
    </w:p>
    <w:p>
      <w:pPr>
        <w:pStyle w:val="BodyText"/>
      </w:pPr>
      <w:r>
        <w:t xml:space="preserve">Đỗ, T. H., &amp; Phan, A. T. (2026c).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Dubin, R. (1978).</w:t>
      </w:r>
      <w:r>
        <w:t xml:space="preserve"> </w:t>
      </w:r>
      <w:r>
        <w:rPr>
          <w:iCs/>
          <w:i/>
        </w:rPr>
        <w:t xml:space="preserve">Theory building</w:t>
      </w:r>
      <w:r>
        <w:t xml:space="preserve"> </w:t>
      </w:r>
      <w:r>
        <w:t xml:space="preserve">(Rev. ed.). Free Press.</w:t>
      </w:r>
    </w:p>
    <w:p>
      <w:pPr>
        <w:pStyle w:val="BodyText"/>
      </w:pPr>
      <w:r>
        <w:t xml:space="preserve">Dunning, J. H. (1988). The eclectic paradigm of international production: A restatement and some possible extensions.</w:t>
      </w:r>
      <w:r>
        <w:t xml:space="preserve"> </w:t>
      </w:r>
      <w:r>
        <w:rPr>
          <w:iCs/>
          <w:i/>
        </w:rPr>
        <w:t xml:space="preserve">Journal of International Business Studies, 19</w:t>
      </w:r>
      <w:r>
        <w:t xml:space="preserve">(1), 1–31. https://doi.org/10.1057/palgrave.jibs.8490372</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Hymer, S. H. (1976).</w:t>
      </w:r>
      <w:r>
        <w:t xml:space="preserve"> </w:t>
      </w:r>
      <w:r>
        <w:rPr>
          <w:iCs/>
          <w:i/>
        </w:rPr>
        <w:t xml:space="preserve">The international operations of national firms: A study of direct foreign investment</w:t>
      </w:r>
      <w:r>
        <w:t xml:space="preserve">. MIT Press.</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 https://doi.org/10.1002/smj.184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T. T.,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[Bản thảo chưa nộp].</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Mathews, J. A. (2002).</w:t>
      </w:r>
      <w:r>
        <w:t xml:space="preserve"> </w:t>
      </w:r>
      <w:r>
        <w:rPr>
          <w:iCs/>
          <w:i/>
        </w:rPr>
        <w:t xml:space="preserve">Dragon multinationals: Towards a new model of global growth</w:t>
      </w:r>
      <w:r>
        <w:t xml:space="preserve">. Oxford University Press.</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(1966). International investment and international trade in the product cycle.</w:t>
      </w:r>
      <w:r>
        <w:t xml:space="preserve"> </w:t>
      </w:r>
      <w:r>
        <w:rPr>
          <w:iCs/>
          <w:i/>
        </w:rPr>
        <w:t xml:space="preserve">The Quarterly Journal of Economics, 80</w:t>
      </w:r>
      <w:r>
        <w:t xml:space="preserve">(2), 190–207.</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Whetten, D. A. (1989). What constitutes a theoretical contribution?</w:t>
      </w:r>
      <w:r>
        <w:t xml:space="preserve"> </w:t>
      </w:r>
      <w:r>
        <w:rPr>
          <w:iCs/>
          <w:i/>
        </w:rPr>
        <w:t xml:space="preserve">Academy of Management Review, 14</w:t>
      </w:r>
      <w:r>
        <w:t xml:space="preserve">(4), 490–495. https://doi.org/10.5465/amr.1989.4308371</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[sắp xuất bản].</w:t>
      </w:r>
    </w:p>
    <w:p>
      <w:r>
        <w:pict>
          <v:rect style="width:0;height:1.5pt" o:hralign="center" o:hrstd="t" o:hr="t"/>
        </w:pict>
      </w:r>
    </w:p>
    <w:bookmarkEnd w:id="91"/>
    <w:bookmarkStart w:id="96" w:name="phụ-lục"/>
    <w:p>
      <w:pPr>
        <w:pStyle w:val="Heading2"/>
      </w:pPr>
      <w:r>
        <w:t xml:space="preserve">PHỤ LỤC</w:t>
      </w:r>
    </w:p>
    <w:bookmarkStart w:id="92" w:name="X99c2132ff359a6f3a08cce74cdac275000718c2"/>
    <w:p>
      <w:pPr>
        <w:pStyle w:val="Heading3"/>
      </w:pPr>
      <w:r>
        <w:t xml:space="preserve">Phụ lục A: Danh sách 50 nền kinh tế theo nhóm ICRV</w:t>
      </w:r>
    </w:p>
    <w:p>
      <w:pPr>
        <w:pStyle w:val="FirstParagraph"/>
      </w:pPr>
      <w:r>
        <w:t xml:space="preserve">ICRV Nhóm I, Tiên tiến đổi mới sáng tạo dẫn dắt (6 nền kinh tế):</w:t>
      </w:r>
      <w:r>
        <w:t xml:space="preserve"> </w:t>
      </w:r>
      <w:r>
        <w:t xml:space="preserve">Singapore, Hong Kong SAR, Hàn Quốc, Đài Loan, Israel, Nhật Bản (đợt khảo sát WBES đầu tiên năm 2025).</w:t>
      </w:r>
    </w:p>
    <w:p>
      <w:pPr>
        <w:pStyle w:val="BodyText"/>
      </w:pPr>
      <w:r>
        <w:t xml:space="preserve">ICRV Nhóm II, Tiên tiến tài nguyên dẫn dắt (6 nền kinh tế):</w:t>
      </w:r>
      <w:r>
        <w:t xml:space="preserve"> </w:t>
      </w:r>
      <w:r>
        <w:t xml:space="preserve">Saudi Arabia, Qatar, Kuwait, Bahrain, Brunei, Oman.</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Chuyển đổi thu nhập trung bình–thấp (7 nền kinh tế):</w:t>
      </w:r>
      <w:r>
        <w:t xml:space="preserve"> </w:t>
      </w:r>
      <w:r>
        <w:t xml:space="preserve">Việt Nam, Ấn Độ, Indonesia, Philippines, Mông Cổ, Bangladesh, Pakistan.</w:t>
      </w:r>
    </w:p>
    <w:p>
      <w:pPr>
        <w:pStyle w:val="BodyText"/>
      </w:pPr>
      <w:r>
        <w:t xml:space="preserve">ICRV Nhóm V, Đang nổi (17 nền kinh tế):</w:t>
      </w:r>
      <w:r>
        <w:t xml:space="preserve"> </w:t>
      </w:r>
      <w:r>
        <w:t xml:space="preserve">Sri Lanka, Jordan, Lào, Campuchia, Myanmar, Nepal, Bhutan, Maldives, Uzbekistan, Tajikistan, Kyrgyzstan, Turkmenistan, Afghanistan, Azerbaijan, Iraq, Lebanon, Yemen.</w:t>
      </w:r>
    </w:p>
    <w:p>
      <w:pPr>
        <w:pStyle w:val="BodyText"/>
      </w:pPr>
      <w:r>
        <w:t xml:space="preserve">ICRV Nhóm VI, SIDS, trường hợp biên (8 nền kinh tế):</w:t>
      </w:r>
      <w:r>
        <w:t xml:space="preserve"> </w:t>
      </w:r>
      <w:r>
        <w:t xml:space="preserve">Fiji, Kiribati, Papua New Guinea, Samoa, Solomon Islands, Tonga, Vanuatu, Timor-Leste.</w:t>
      </w:r>
      <w:r>
        <w:t xml:space="preserve"> </w:t>
      </w:r>
      <w:r>
        <w:rPr>
          <w:iCs/>
          <w:i/>
        </w:rPr>
        <w:t xml:space="preserve">(Ghi chú: mẫu chính của nghiên cứu chuyên sâu SIDS là 7 nền Thái Bình Dương; kiểm định độ vững mở rộng 9 nền, bổ sung Comoros.)</w:t>
      </w:r>
    </w:p>
    <w:p>
      <w:pPr>
        <w:pStyle w:val="BodyText"/>
      </w:pPr>
      <w:r>
        <w:t xml:space="preserve">Tổng: 6 + 6 + 6 + 7 + 17 + 8 = 50 nền kinh tế.</w:t>
      </w:r>
    </w:p>
    <w:bookmarkEnd w:id="92"/>
    <w:bookmarkStart w:id="93" w:name="phụ-lục-b-tóm-tắt-ba-bản-thảo-đồng-hành"/>
    <w:p>
      <w:pPr>
        <w:pStyle w:val="Heading3"/>
      </w:pPr>
      <w:r>
        <w:t xml:space="preserve">Phụ lục B: Tóm tắt ba bản thảo đồng hành</w:t>
      </w:r>
    </w:p>
    <w:p>
      <w:pPr>
        <w:pStyle w:val="FirstParagraph"/>
      </w:pPr>
      <w:r>
        <w:t xml:space="preserve">P3, Việt Nam (mục tiêu JED): Đỗ, T. H., &amp; Phan, A. T. (2026a).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(mục tiêu MIR): Mar, T. T., Đỗ, T. H., &amp; Phan, A. T. (2026). Phân tích 623 doanh nghiệp WBES 2023. Kết quả chính: đường cong I–P chủ yếu dương; điểm uốn hàm ý ~88,6% (vùng thưa dữ liệu; Lind–Mehlum p = 0,303); DAI×FSTS² = +3,119 (p = 0,005), DAI là nguồn lực mở rộng tình huống; TCI β = 0,153.</w:t>
      </w:r>
    </w:p>
    <w:p>
      <w:pPr>
        <w:pStyle w:val="BodyText"/>
      </w:pPr>
      <w:r>
        <w:t xml:space="preserve">P5, Trung Quốc (mục tiêu IJOEM): Đỗ, T. H., &amp; Phan, A. T. (2026b). Phân tích 4.544 doanh nghiệp WBES hai sóng 2012/2024. Kết quả chính: chữ U ngược bền vững cấu trúc, điểm uốn 49,4% (2012), 47,2% (2024), Paternoster FSTS² p = 0,545 (không có sự khác biệt đáng kể); TCI tăng cường theo thời gian (+0,260 sang +0,426, Paternoster p = 0,011).</w:t>
      </w:r>
    </w:p>
    <w:bookmarkEnd w:id="93"/>
    <w:bookmarkStart w:id="94"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 R² báo cáo cho từng mô hình cộng với ΔR² 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4"/>
    <w:bookmarkStart w:id="95" w:name="X0767bc25b897159fdd5c7aaa38e034a3c88d362"/>
    <w:p>
      <w:pPr>
        <w:pStyle w:val="Heading3"/>
      </w:pPr>
      <w:r>
        <w:t xml:space="preserve">Phụ lục D: Thiết lập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(khám phá, hai phía,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FSTS²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 50 (Cameron &amp; Miller, 2015)</w:t>
      </w:r>
      <w:r>
        <w:br/>
      </w:r>
      <w:r>
        <w:rPr>
          <w:rStyle w:val="NormalTok"/>
        </w:rPr>
        <w:t xml:space="preserve">* Mẫu gộp 50 nền kinh tế × 5 ngành chính ≈ 250 cụm,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p>
      <w:r>
        <w:br w:type="page"/>
      </w:r>
    </w:p>
    <w:bookmarkEnd w:id="95"/>
    <w:bookmarkEnd w:id="96"/>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2026-06-26T08:08:48Z</dcterms:created>
  <dcterms:modified xsi:type="dcterms:W3CDTF">2026-06-26T08:08:48Z</dcterms:modified>
</cp:coreProperties>
</file>

<file path=docProps/custom.xml><?xml version="1.0" encoding="utf-8"?>
<Properties xmlns="http://schemas.openxmlformats.org/officeDocument/2006/custom-properties" xmlns:vt="http://schemas.openxmlformats.org/officeDocument/2006/docPropsVTypes"/>
</file>