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Multinational Business Review (MBR; Emerald, Scopus Q2, ABS-2)</w:t>
      </w:r>
      <w:r>
        <w:t xml:space="preserve"> </w:t>
      </w:r>
      <w:r>
        <w:rPr>
          <w:iCs/>
          <w:i/>
        </w:rPr>
        <w:t xml:space="preserve">Version 1.1,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87.8%) remains unresolved by the tested moderators, suggesting that future research should test alternative theoretical contingencies or that between-study heterogeneity is dominated by within-paper variance (Level 2, 76.1%) rather than between-country differences (Level 3, 11.8%).</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the fail-safe N is expected to substantially exceed Rosenthal's (1991) tolerance criterion of 5</w:t>
      </w:r>
      <w:r>
        <w:rPr>
          <w:iCs/>
          <w:i/>
        </w:rPr>
        <w:t xml:space="preserve">k</w:t>
      </w:r>
      <w:r>
        <w:t xml:space="preserve"> </w:t>
      </w:r>
      <w:r>
        <w:t xml:space="preserve">+ 10 (here 1,200),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76.1%)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11.8%); total</w:t>
      </w:r>
      <w:r>
        <w:t xml:space="preserve"> </w:t>
      </w:r>
      <m:oMath>
        <m:sSup>
          <m:e>
            <m:r>
              <m:t>I</m:t>
            </m:r>
          </m:e>
          <m:sup>
            <m:r>
              <m:t>2</m:t>
            </m:r>
          </m:sup>
        </m:sSup>
      </m:oMath>
      <w:r>
        <w:t xml:space="preserve"> </w:t>
      </w:r>
      <w:r>
        <w:t xml:space="preserve">= 87.8%.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w:t>
      </w:r>
      <w:r>
        <w:t xml:space="preserve"> </w:t>
      </w:r>
      <m:oMath>
        <m:r>
          <m:rPr>
            <m:sty m:val="p"/>
          </m:rPr>
          <m:t>≥</m:t>
        </m:r>
      </m:oMath>
      <w:r>
        <w:t xml:space="preserve">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Median data year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Median data year 2009–2013</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Median data year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5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87.8%)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87.8%) remains largely unresolved, and is dominated by within-study variance (Level 2, 76.1%) rather than between-study differences (Level 3, 11.8%),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all effect-size extraction and moderator coding were performed by a single coder (the first author); without a second independent coder, formal inter-coder reliability (Cohen's</w:t>
      </w:r>
      <w:r>
        <w:t xml:space="preserve"> </w:t>
      </w:r>
      <m:oMath>
        <m:r>
          <m:t>κ</m:t>
        </m:r>
      </m:oMath>
      <w:r>
        <w:t xml:space="preserve">) could not be computed and coding decisions could not be cross-validated. Coding quality was instead supported by protocol calibration on a pilot set and by double-entry verification against source PDFs (Section 3.3.2), but the single-coder design remains a constraint, and a dual-coded reliability check is a priority for the planned formal-search expansion.</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82"/>
    <w:bookmarkStart w:id="8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By median data year: Precede ≤ 2008; Span 2009–2013; Follow ≥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83"/>
    <w:bookmarkStart w:id="8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87.8%</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11.8%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The three-level total</w:t>
      </w:r>
      <w:r>
        <w:t xml:space="preserve"> </w:t>
      </w:r>
      <m:oMath>
        <m:sSup>
          <m:e>
            <m:r>
              <m:t>I</m:t>
            </m:r>
          </m:e>
          <m:sup>
            <m:r>
              <m:t>2</m:t>
            </m:r>
          </m:sup>
        </m:sSup>
      </m:oMath>
      <w:r>
        <w:t xml:space="preserve"> </w:t>
      </w:r>
      <w:r>
        <w:t xml:space="preserve">(87.8%) is essentially identical to the single-level ICBEF 2025 estimate (87.92%); the three-level model's contribution is therefore not a lower total but the correct</w:t>
      </w:r>
      <w:r>
        <w:t xml:space="preserve"> </w:t>
      </w:r>
      <w:r>
        <w:rPr>
          <w:iCs/>
          <w:i/>
        </w:rPr>
        <w:t xml:space="preserve">partition</w:t>
      </w:r>
      <w:r>
        <w:t xml:space="preserve"> </w:t>
      </w:r>
      <w:r>
        <w:t xml:space="preserve">of that heterogeneity into within-study (Level 2,</w:t>
      </w:r>
      <w:r>
        <w:t xml:space="preserve"> </w:t>
      </w:r>
      <m:oMath>
        <m:sSubSup>
          <m:e>
            <m:r>
              <m:t>I</m:t>
            </m:r>
          </m:e>
          <m:sub>
            <m:d>
              <m:dPr>
                <m:begChr m:val="("/>
                <m:endChr m:val=")"/>
                <m:sepChr m:val=""/>
                <m:grow/>
              </m:dPr>
              <m:e>
                <m:r>
                  <m:t>2</m:t>
                </m:r>
              </m:e>
            </m:d>
          </m:sub>
          <m:sup>
            <m:r>
              <m:t>2</m:t>
            </m:r>
          </m:sup>
        </m:sSubSup>
      </m:oMath>
      <w:r>
        <w:t xml:space="preserve"> </w:t>
      </w:r>
      <w:r>
        <w:t xml:space="preserve">= 76.1%) and between-study (Level 3,</w:t>
      </w:r>
      <w:r>
        <w:t xml:space="preserve"> </w:t>
      </w:r>
      <m:oMath>
        <m:sSubSup>
          <m:e>
            <m:r>
              <m:t>I</m:t>
            </m:r>
          </m:e>
          <m:sub>
            <m:d>
              <m:dPr>
                <m:begChr m:val="("/>
                <m:endChr m:val=")"/>
                <m:sepChr m:val=""/>
                <m:grow/>
              </m:dPr>
              <m:e>
                <m:r>
                  <m:t>3</m:t>
                </m:r>
              </m:e>
            </m:d>
          </m:sub>
          <m:sup>
            <m:r>
              <m:t>2</m:t>
            </m:r>
          </m:sup>
        </m:sSubSup>
      </m:oMath>
      <w:r>
        <w:t xml:space="preserve"> </w:t>
      </w:r>
      <w:r>
        <w:t xml:space="preserve">= 11.8%) components, which a single-level model cannot separate.</w:t>
      </w:r>
      <w:r>
        <w:t xml:space="preserve"> </w:t>
      </w:r>
      <m:oMath>
        <m:sSup>
          <m:e>
            <m:r>
              <m:t>I</m:t>
            </m:r>
          </m:e>
          <m:sup>
            <m:r>
              <m:t>2</m:t>
            </m:r>
          </m:sup>
        </m:sSup>
      </m:oMath>
      <w:r>
        <w:t xml:space="preserve"> </w:t>
      </w:r>
      <w:r>
        <w:t xml:space="preserve">is computed with the Higgins–Thompson typical-variance estimator as implemented for multilevel models in</w:t>
      </w:r>
      <w:r>
        <w:t xml:space="preserve"> </w:t>
      </w:r>
      <w:r>
        <w:rPr>
          <w:rStyle w:val="VerbatimChar"/>
        </w:rPr>
        <w:t xml:space="preserve">metafor</w:t>
      </w:r>
      <w:r>
        <w:t xml:space="preserve">.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(main text, excluding tables, references, appendices):</w:t>
      </w:r>
      <w:r>
        <w:rPr>
          <w:iCs/>
          <w:i/>
        </w:rPr>
        <w:t xml:space="preserve"> </w:t>
      </w:r>
      <m:oMath>
        <m:r>
          <m:rPr>
            <m:sty m:val="p"/>
          </m:rPr>
          <m:t>≈</m:t>
        </m:r>
      </m:oMath>
      <w:r>
        <w:rPr>
          <w:iCs/>
          <w:i/>
        </w:rPr>
        <w:t xml:space="preserve"> </w:t>
      </w:r>
      <w:r>
        <w:rPr>
          <w:iCs/>
          <w:i/>
        </w:rPr>
        <w:t xml:space="preserve">6,900 words.</w:t>
      </w:r>
      <w:r>
        <w:t xml:space="preserve"> </w:t>
      </w:r>
      <w:r>
        <w:rPr>
          <w:iCs/>
          <w:i/>
        </w:rPr>
        <w:t xml:space="preserve">Target journal: Multinational Business Review (Emerald; Scopus Q2, ABS-2). MBR accommodates IB-focused meta-analyses up to 8,000 words total (including refs and appendices); main-text streamlining and appendix migration to OSF supplementary materials are planned for the submission build to meet this cap. Analyses use the verified baseline corpus (k = 238 studies, K = 288 effect sizes); the formal WoS/Scopus search expansion is ongoing and will be incorporated at revision. Effect-size coding follows the standardized protocol (Appendix B; full coded database lodged on OSF).</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2026-05-30T12:07:17Z</dcterms:created>
  <dcterms:modified xsi:type="dcterms:W3CDTF">2026-05-30T12:07:17Z</dcterms:modified>
</cp:coreProperties>
</file>

<file path=docProps/custom.xml><?xml version="1.0" encoding="utf-8"?>
<Properties xmlns="http://schemas.openxmlformats.org/officeDocument/2006/custom-properties" xmlns:vt="http://schemas.openxmlformats.org/officeDocument/2006/docPropsVTypes"/>
</file>