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Q3 2026</w:t>
      </w:r>
    </w:p>
    <w:p>
      <w:pPr>
        <w:pStyle w:val="BodyText"/>
      </w:pPr>
      <w:r>
        <w:t xml:space="preserve">Professor William Newburry</w:t>
      </w:r>
      <w:r>
        <w:t xml:space="preserve"> </w:t>
      </w:r>
      <w:r>
        <w:t xml:space="preserve">Editor-in-Chief</w:t>
      </w:r>
      <w:r>
        <w:t xml:space="preserve"> </w:t>
      </w:r>
      <w:r>
        <w:rPr>
          <w:iCs/>
          <w:i/>
        </w:rPr>
        <w:t xml:space="preserve">Multinational Business Review</w:t>
      </w:r>
      <w:r>
        <w:t xml:space="preserve"> </w:t>
      </w:r>
      <w:r>
        <w:t xml:space="preserve">Emerald Publishing</w:t>
      </w:r>
    </w:p>
    <w:p>
      <w:pPr>
        <w:pStyle w:val="BodyText"/>
      </w:pPr>
      <w:r>
        <w:rPr>
          <w:bCs/>
          <w:b/>
        </w:rPr>
        <w:t xml:space="preserve">Submission of Manuscript:</w:t>
      </w:r>
      <w:r>
        <w:t xml:space="preserve"> </w:t>
      </w:r>
      <w:r>
        <w:t xml:space="preserve">"Institutional Context, Digital Adoption, and the Internationalization–Performance Relationship: A Three-Level Meta-Analysis"</w:t>
      </w:r>
    </w:p>
    <w:p>
      <w:pPr>
        <w:pStyle w:val="BodyText"/>
      </w:pPr>
      <w:r>
        <w:t xml:space="preserve">Dear Professor Newburry,</w:t>
      </w:r>
    </w:p>
    <w:p>
      <w:pPr>
        <w:pStyle w:val="BodyText"/>
      </w:pPr>
      <w:r>
        <w:t xml:space="preserve">We are pleased to submit the above manuscript for consideration as a Research Paper in</w:t>
      </w:r>
      <w:r>
        <w:t xml:space="preserve"> </w:t>
      </w:r>
      <w:r>
        <w:rPr>
          <w:iCs/>
          <w:i/>
        </w:rPr>
        <w:t xml:space="preserve">Multinational Business Review</w:t>
      </w:r>
      <w:r>
        <w:t xml:space="preserve">. The paper reports a pre-registered, three-level meta-analytic regression analysis (MARA) of the internationalization–performance (I-P) relationship across a globally representative corpus of</w:t>
      </w:r>
      <w:r>
        <w:t xml:space="preserve"> </w:t>
      </w:r>
      <w:r>
        <w:rPr>
          <w:iCs/>
          <w:i/>
        </w:rPr>
        <w:t xml:space="preserve">k</w:t>
      </w:r>
      <w:r>
        <w:t xml:space="preserve"> </w:t>
      </w:r>
      <w:r>
        <w:t xml:space="preserve">= 238 studies (</w:t>
      </w:r>
      <w:r>
        <w:rPr>
          <w:iCs/>
          <w:i/>
        </w:rPr>
        <w:t xml:space="preserve">K</w:t>
      </w:r>
      <w:r>
        <w:t xml:space="preserve"> </w:t>
      </w:r>
      <w:r>
        <w:t xml:space="preserve">= 288 effect sizes) from 49 economies, and surfaces a field-level finding about the integrity of the accumulated I-P evidence base in multinational business research.</w:t>
      </w:r>
    </w:p>
    <w:p>
      <w:pPr>
        <w:pStyle w:val="BodyText"/>
      </w:pPr>
      <w:r>
        <w:rPr>
          <w:bCs/>
          <w:b/>
        </w:rPr>
        <w:t xml:space="preserve">Fit with Multinational Business Review.</w:t>
      </w:r>
      <w:r>
        <w:t xml:space="preserve"> </w:t>
      </w:r>
      <w:r>
        <w:t xml:space="preserve">MBR's mandate is to advance "innovative theory and practical insights on the multinational firm." The I-P relationship is the most meta-analyzed question in international business, yet pooled positive effects coexist with substantial unresolved heterogeneity. Our contribution is methodological and corrective: we apply a three-level model with full PRISMA 2020 reporting and OSF pre-registration, and we quantify how much of the literature's apparent signal survives a formal publication-bias correction. The findings speak directly to MBR's MNE-management readership about what the four-decade I-P evidence base does and does not warrant as a basis for strategic decisions.</w:t>
      </w:r>
    </w:p>
    <w:p>
      <w:pPr>
        <w:pStyle w:val="BodyText"/>
      </w:pPr>
      <w:r>
        <w:rPr>
          <w:bCs/>
          <w:b/>
        </w:rPr>
        <w:t xml:space="preserve">Key contributions.</w:t>
      </w:r>
    </w:p>
    <w:p>
      <w:pPr>
        <w:pStyle w:val="BodyText"/>
      </w:pPr>
      <w:r>
        <w:t xml:space="preserve">First, this is the first three-level MARA applied to the I-P literature. Decomposing total heterogeneity (</w:t>
      </w:r>
      <w:r>
        <w:rPr>
          <w:iCs/>
          <w:i/>
        </w:rPr>
        <w:t xml:space="preserve">I</w:t>
      </w:r>
      <w:r>
        <w:t xml:space="preserve">² = 87.8%) shows that the dominant share is</w:t>
      </w:r>
      <w:r>
        <w:t xml:space="preserve"> </w:t>
      </w:r>
      <w:r>
        <w:rPr>
          <w:iCs/>
          <w:i/>
        </w:rPr>
        <w:t xml:space="preserve">within</w:t>
      </w:r>
      <w:r>
        <w:t xml:space="preserve">-study (Level-2</w:t>
      </w:r>
      <w:r>
        <w:t xml:space="preserve"> </w:t>
      </w:r>
      <w:r>
        <w:rPr>
          <w:iCs/>
          <w:i/>
        </w:rPr>
        <w:t xml:space="preserve">I</w:t>
      </w:r>
      <w:r>
        <w:t xml:space="preserve">² = 76.1%) rather than</w:t>
      </w:r>
      <w:r>
        <w:t xml:space="preserve"> </w:t>
      </w:r>
      <w:r>
        <w:rPr>
          <w:iCs/>
          <w:i/>
        </w:rPr>
        <w:t xml:space="preserve">between</w:t>
      </w:r>
      <w:r>
        <w:t xml:space="preserve">-study (Level-3</w:t>
      </w:r>
      <w:r>
        <w:t xml:space="preserve"> </w:t>
      </w:r>
      <w:r>
        <w:rPr>
          <w:iCs/>
          <w:i/>
        </w:rPr>
        <w:t xml:space="preserve">I</w:t>
      </w:r>
      <w:r>
        <w:t xml:space="preserve">² = 11.8%) — evidence that effect-size dispersion is driven more by within-paper design variation than by between-country contextual differences, which reframes how the field should interpret I-P heterogeneity in MNE research.</w:t>
      </w:r>
    </w:p>
    <w:p>
      <w:pPr>
        <w:pStyle w:val="BodyText"/>
      </w:pPr>
      <w:r>
        <w:t xml:space="preserve">Second, this is the first pre-registered meta-analytic test of three theoretically grounded but previously untested moderators: institutional context regime (ICRV), country-level digital adoption (cDAI), and Digital Paradox Lifecycle (DPL) phase. The hypothesized contingencies are largely</w:t>
      </w:r>
      <w:r>
        <w:t xml:space="preserve"> </w:t>
      </w:r>
      <w:r>
        <w:rPr>
          <w:iCs/>
          <w:i/>
        </w:rPr>
        <w:t xml:space="preserve">not</w:t>
      </w:r>
      <w:r>
        <w:t xml:space="preserve"> </w:t>
      </w:r>
      <w:r>
        <w:t xml:space="preserve">supported: the ICRV between-regime test is statistically significant (</w:t>
      </w:r>
      <w:r>
        <w:rPr>
          <w:iCs/>
          <w:i/>
        </w:rPr>
        <w:t xml:space="preserve">Q</w:t>
      </w:r>
      <w:r>
        <w:t xml:space="preserve">_M = 17.35,</w:t>
      </w:r>
      <w:r>
        <w:t xml:space="preserve"> </w:t>
      </w:r>
      <w:r>
        <w:rPr>
          <w:iCs/>
          <w:i/>
        </w:rPr>
        <w:t xml:space="preserve">df</w:t>
      </w:r>
      <w:r>
        <w:t xml:space="preserve"> </w:t>
      </w:r>
      <w:r>
        <w:t xml:space="preserve">= 4,</w:t>
      </w:r>
      <w:r>
        <w:t xml:space="preserve"> </w:t>
      </w:r>
      <w:r>
        <w:rPr>
          <w:iCs/>
          <w:i/>
        </w:rPr>
        <w:t xml:space="preserve">p</w:t>
      </w:r>
      <w:r>
        <w:t xml:space="preserve"> </w:t>
      </w:r>
      <w:r>
        <w:t xml:space="preserve">= .002) but is fragile to a drop-Frontier sensitivity analysis (</w:t>
      </w:r>
      <w:r>
        <w:rPr>
          <w:iCs/>
          <w:i/>
        </w:rPr>
        <w:t xml:space="preserve">Q</w:t>
      </w:r>
      <w:r>
        <w:t xml:space="preserve">_M = 1.49,</w:t>
      </w:r>
      <w:r>
        <w:t xml:space="preserve"> </w:t>
      </w:r>
      <w:r>
        <w:rPr>
          <w:iCs/>
          <w:i/>
        </w:rPr>
        <w:t xml:space="preserve">p</w:t>
      </w:r>
      <w:r>
        <w:t xml:space="preserve"> </w:t>
      </w:r>
      <w:r>
        <w:t xml:space="preserve">= .68), while cDAI (</w:t>
      </w:r>
      <w:r>
        <w:rPr>
          <w:iCs/>
          <w:i/>
        </w:rPr>
        <w:t xml:space="preserve">Q</w:t>
      </w:r>
      <w:r>
        <w:t xml:space="preserve">_M = 1.23,</w:t>
      </w:r>
      <w:r>
        <w:t xml:space="preserve"> </w:t>
      </w:r>
      <w:r>
        <w:rPr>
          <w:iCs/>
          <w:i/>
        </w:rPr>
        <w:t xml:space="preserve">p</w:t>
      </w:r>
      <w:r>
        <w:t xml:space="preserve"> </w:t>
      </w:r>
      <w:r>
        <w:t xml:space="preserve">= .541) and DPL phase (</w:t>
      </w:r>
      <w:r>
        <w:rPr>
          <w:iCs/>
          <w:i/>
        </w:rPr>
        <w:t xml:space="preserve">Q</w:t>
      </w:r>
      <w:r>
        <w:t xml:space="preserve">_M = 0.56,</w:t>
      </w:r>
      <w:r>
        <w:t xml:space="preserve"> </w:t>
      </w:r>
      <w:r>
        <w:rPr>
          <w:iCs/>
          <w:i/>
        </w:rPr>
        <w:t xml:space="preserve">p</w:t>
      </w:r>
      <w:r>
        <w:t xml:space="preserve"> </w:t>
      </w:r>
      <w:r>
        <w:t xml:space="preserve">= .755) are non-significant. These transparent null results bound the conditions under which country-level digital and institutional contingencies could plausibly operate at the meta-analytic level.</w:t>
      </w:r>
    </w:p>
    <w:p>
      <w:pPr>
        <w:pStyle w:val="BodyText"/>
      </w:pPr>
      <w:r>
        <w:t xml:space="preserve">Third — and most consequential for MBR's MNE-management readership — the analysis documents substantial publication bias. Trim-and-fill imputes</w:t>
      </w:r>
      <w:r>
        <w:t xml:space="preserve"> </w:t>
      </w:r>
      <w:r>
        <w:rPr>
          <w:iCs/>
          <w:i/>
        </w:rPr>
        <w:t xml:space="preserve">k</w:t>
      </w:r>
      <w:r>
        <w:t xml:space="preserve"> </w:t>
      </w:r>
      <w:r>
        <w:t xml:space="preserve">= 58 missing studies and cuts the pooled effect from</w:t>
      </w:r>
      <w:r>
        <w:t xml:space="preserve"> </w:t>
      </w:r>
      <w:r>
        <w:rPr>
          <w:iCs/>
          <w:i/>
        </w:rPr>
        <w:t xml:space="preserve">r</w:t>
      </w:r>
      <w:r>
        <w:t xml:space="preserve"> </w:t>
      </w:r>
      <w:r>
        <w:t xml:space="preserve">= .074 to</w:t>
      </w:r>
      <w:r>
        <w:t xml:space="preserve"> </w:t>
      </w:r>
      <w:r>
        <w:rPr>
          <w:iCs/>
          <w:i/>
        </w:rPr>
        <w:t xml:space="preserve">r</w:t>
      </w:r>
      <w:r>
        <w:t xml:space="preserve"> </w:t>
      </w:r>
      <w:r>
        <w:t xml:space="preserve">= .035, an implied ~53% attenuation (Begg</w:t>
      </w:r>
      <w:r>
        <w:t xml:space="preserve"> </w:t>
      </w:r>
      <w:r>
        <w:rPr>
          <w:iCs/>
          <w:i/>
        </w:rPr>
        <w:t xml:space="preserve">p</w:t>
      </w:r>
      <w:r>
        <w:t xml:space="preserve"> </w:t>
      </w:r>
      <w:r>
        <w:t xml:space="preserve">&lt; .001; Egger</w:t>
      </w:r>
      <w:r>
        <w:t xml:space="preserve"> </w:t>
      </w:r>
      <w:r>
        <w:rPr>
          <w:iCs/>
          <w:i/>
        </w:rPr>
        <w:t xml:space="preserve">p</w:t>
      </w:r>
      <w:r>
        <w:t xml:space="preserve"> </w:t>
      </w:r>
      <w:r>
        <w:t xml:space="preserve">= .057). This indicates that four decades of I-P evidence may be materially inflated by publication selection. The practical implication for MNE managers and policy makers: the average performance return to internationalization is meaningfully smaller than commonly cited estimates suggest, and firm-level digital capability — not country-level digital infrastructure alone — appears more decisive for translating internationalization into performance.</w:t>
      </w:r>
    </w:p>
    <w:p>
      <w:pPr>
        <w:pStyle w:val="BodyText"/>
      </w:pPr>
      <w:r>
        <w:rPr>
          <w:bCs/>
          <w:b/>
        </w:rPr>
        <w:t xml:space="preserve">Manuscript readiness.</w:t>
      </w:r>
    </w:p>
    <w:p>
      <w:pPr>
        <w:numPr>
          <w:ilvl w:val="0"/>
          <w:numId w:val="1001"/>
        </w:numPr>
        <w:pStyle w:val="Compact"/>
      </w:pPr>
      <w:r>
        <w:t xml:space="preserve">The manuscript adopts MBR's structured-abstract format (Purpose / Design / Findings / Research limitations / Practical implications / Originality).</w:t>
      </w:r>
    </w:p>
    <w:p>
      <w:pPr>
        <w:numPr>
          <w:ilvl w:val="0"/>
          <w:numId w:val="1001"/>
        </w:numPr>
        <w:pStyle w:val="Compact"/>
      </w:pPr>
      <w:r>
        <w:t xml:space="preserve">Word count will be streamlined to MBR's 8,000-word total cap (including references and figures) at the submission build, with extended appendices and the full coded database migrated to OSF supplementary materials.</w:t>
      </w:r>
    </w:p>
    <w:p>
      <w:pPr>
        <w:numPr>
          <w:ilvl w:val="0"/>
          <w:numId w:val="1001"/>
        </w:numPr>
        <w:pStyle w:val="Compact"/>
      </w:pPr>
      <w:r>
        <w:t xml:space="preserve">Single-coder extraction is transparently disclosed in Methods and Limitations; coding quality is supported by protocol calibration on a pilot set and by double-entry verification against source PDFs.</w:t>
      </w:r>
    </w:p>
    <w:p>
      <w:pPr>
        <w:numPr>
          <w:ilvl w:val="0"/>
          <w:numId w:val="1001"/>
        </w:numPr>
        <w:pStyle w:val="Compact"/>
      </w:pPr>
      <w:r>
        <w:t xml:space="preserve">The pre-registration (</w:t>
      </w:r>
      <w:hyperlink r:id="rId20">
        <w:r>
          <w:rPr>
            <w:rStyle w:val="Hyperlink"/>
          </w:rPr>
          <w:t xml:space="preserve">https://osf.io/z37kn;</w:t>
        </w:r>
      </w:hyperlink>
      <w:r>
        <w:t xml:space="preserve"> </w:t>
      </w:r>
      <w:r>
        <w:t xml:space="preserve">DOI: 10.17605/OSF.IO/Z37KN), study database, R replication scripts (</w:t>
      </w:r>
      <w:r>
        <w:rPr>
          <w:iCs/>
          <w:i/>
        </w:rPr>
        <w:t xml:space="preserve">metafor</w:t>
      </w:r>
      <w:r>
        <w:t xml:space="preserve">), and an independent Python cross-check (</w:t>
      </w:r>
      <w:r>
        <w:rPr>
          <w:rStyle w:val="VerbatimChar"/>
        </w:rPr>
        <w:t xml:space="preserve">verify_moderator_qm.py</w:t>
      </w:r>
      <w:r>
        <w:t xml:space="preserve">) are openly available on OSF.</w:t>
      </w:r>
    </w:p>
    <w:p>
      <w:pPr>
        <w:pStyle w:val="FirstParagraph"/>
      </w:pPr>
      <w:r>
        <w:rPr>
          <w:bCs/>
          <w:b/>
        </w:rPr>
        <w:t xml:space="preserve">Originality, ethics, and conflicts of interest.</w:t>
      </w:r>
      <w:r>
        <w:t xml:space="preserve"> </w:t>
      </w:r>
      <w:r>
        <w:t xml:space="preserve">This manuscript is original, has not been published previously, and is not under consideration elsewhere. Both authors approved the submission. The authors declare no conflict of interest. The research received no specific grant from any funding agency in the public, commercial, or not-for-profit sectors. No human or animal subjects were involved.</w:t>
      </w:r>
    </w:p>
    <w:p>
      <w:pPr>
        <w:pStyle w:val="BodyText"/>
      </w:pPr>
      <w:r>
        <w:rPr>
          <w:bCs/>
          <w:b/>
        </w:rPr>
        <w:t xml:space="preserve">Suggested reviewers.</w:t>
      </w:r>
      <w:r>
        <w:t xml:space="preserve"> </w:t>
      </w:r>
      <w:r>
        <w:t xml:space="preserve">We would be pleased to propose suggested reviewers with subject-matter expertise in IB meta-analysis upon request.</w:t>
      </w:r>
    </w:p>
    <w:p>
      <w:pPr>
        <w:pStyle w:val="BodyText"/>
      </w:pPr>
      <w:r>
        <w:rPr>
          <w:bCs/>
          <w:b/>
        </w:rPr>
        <w:t xml:space="preserve">Manuscript classification.</w:t>
      </w:r>
    </w:p>
    <w:p>
      <w:pPr>
        <w:numPr>
          <w:ilvl w:val="0"/>
          <w:numId w:val="1002"/>
        </w:numPr>
        <w:pStyle w:val="Compact"/>
      </w:pPr>
      <w:r>
        <w:t xml:space="preserve">Paper type: Research paper (meta-analysis)</w:t>
      </w:r>
    </w:p>
    <w:p>
      <w:pPr>
        <w:numPr>
          <w:ilvl w:val="0"/>
          <w:numId w:val="1002"/>
        </w:numPr>
        <w:pStyle w:val="Compact"/>
      </w:pPr>
      <w:r>
        <w:t xml:space="preserve">Studies (</w:t>
      </w:r>
      <w:r>
        <w:rPr>
          <w:iCs/>
          <w:i/>
        </w:rPr>
        <w:t xml:space="preserve">k</w:t>
      </w:r>
      <w:r>
        <w:t xml:space="preserve">): 238; effect sizes (</w:t>
      </w:r>
      <w:r>
        <w:rPr>
          <w:iCs/>
          <w:i/>
        </w:rPr>
        <w:t xml:space="preserve">K</w:t>
      </w:r>
      <w:r>
        <w:t xml:space="preserve">): 288; economies: 49</w:t>
      </w:r>
    </w:p>
    <w:p>
      <w:pPr>
        <w:numPr>
          <w:ilvl w:val="0"/>
          <w:numId w:val="1002"/>
        </w:numPr>
        <w:pStyle w:val="Compact"/>
      </w:pPr>
      <w:r>
        <w:t xml:space="preserve">Keywords: internationalization–performance; meta-analysis; three-level model; digital adoption; institutional context; publication bias</w:t>
      </w:r>
    </w:p>
    <w:p>
      <w:pPr>
        <w:pStyle w:val="FirstParagraph"/>
      </w:pPr>
      <w:r>
        <w:t xml:space="preserve">We hope the manuscript will be of interest to MBR's readership and look forward to the review process.</w:t>
      </w:r>
    </w:p>
    <w:p>
      <w:pPr>
        <w:pStyle w:val="BodyText"/>
      </w:pPr>
      <w:r>
        <w:t xml:space="preserve">Yours sincerely,</w:t>
      </w:r>
    </w:p>
    <w:p>
      <w:pPr>
        <w:pStyle w:val="BodyText"/>
      </w:pPr>
      <w:r>
        <w:t xml:space="preserve">Đỗ Thị Thúy Hương (Do Thi Thuy Huong)</w:t>
      </w:r>
      <w:r>
        <w:t xml:space="preserve"> </w:t>
      </w:r>
      <w:r>
        <w:t xml:space="preserve">PhD Candidate, College of Economics, Can Tho University (CTU), Vietnam</w:t>
      </w:r>
      <w:r>
        <w:t xml:space="preserve"> </w:t>
      </w:r>
      <w:r>
        <w:t xml:space="preserve">Email:</w:t>
      </w:r>
      <w:r>
        <w:t xml:space="preserve"> </w:t>
      </w:r>
      <w:hyperlink r:id="rId21">
        <w:r>
          <w:rPr>
            <w:rStyle w:val="Hyperlink"/>
          </w:rPr>
          <w:t xml:space="preserve">huongp1323001@gstudent.ctu.edu.vn</w:t>
        </w:r>
      </w:hyperlink>
      <w:r>
        <w:t xml:space="preserve"> </w:t>
      </w:r>
      <w:r>
        <w:t xml:space="preserve">| ORCID: 0000-0002-7711-2487</w:t>
      </w:r>
    </w:p>
    <w:p>
      <w:pPr>
        <w:pStyle w:val="BodyText"/>
      </w:pPr>
      <w:r>
        <w:t xml:space="preserve">PGS.TS. Phan Anh Tú (Phan Anh Tu)</w:t>
      </w:r>
      <w:r>
        <w:t xml:space="preserve"> </w:t>
      </w:r>
      <w:r>
        <w:t xml:space="preserve">Associate Professor, College of Economics, Can Tho University (CTU), Vietnam — Corresponding author</w:t>
      </w:r>
      <w:r>
        <w:t xml:space="preserve"> </w:t>
      </w:r>
      <w:r>
        <w:t xml:space="preserve">Email:</w:t>
      </w:r>
      <w:r>
        <w:t xml:space="preserve"> </w:t>
      </w:r>
      <w:hyperlink r:id="rId22">
        <w:r>
          <w:rPr>
            <w:rStyle w:val="Hyperlink"/>
          </w:rPr>
          <w:t xml:space="preserve">patu@ctu.edu.vn</w:t>
        </w:r>
      </w:hyperlink>
      <w:r>
        <w:t xml:space="preserve"> </w:t>
      </w:r>
      <w:r>
        <w:t xml:space="preserve">| ORCID: 0000-0003-0667-3137</w:t>
      </w:r>
    </w:p>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osf.io/z37kn;" TargetMode="External" /><Relationship Type="http://schemas.openxmlformats.org/officeDocument/2006/relationships/hyperlink" Id="rId21" Target="mailto:huongp1323001@gstudent.ctu.edu.vn" TargetMode="External" /><Relationship Type="http://schemas.openxmlformats.org/officeDocument/2006/relationships/hyperlink" Id="rId22" Target="mailto:patu@ctu.edu.vn" TargetMode="External" /></Relationships>
</file>

<file path=word/_rels/footnotes.xml.rels><?xml version="1.0" encoding="UTF-8"?><Relationships xmlns="http://schemas.openxmlformats.org/package/2006/relationships"><Relationship Type="http://schemas.openxmlformats.org/officeDocument/2006/relationships/hyperlink" Id="rId20" Target="https://osf.io/z37kn;" TargetMode="External" /><Relationship Type="http://schemas.openxmlformats.org/officeDocument/2006/relationships/hyperlink" Id="rId21" Target="mailto:huongp1323001@gstudent.ctu.edu.vn" TargetMode="External" /><Relationship Type="http://schemas.openxmlformats.org/officeDocument/2006/relationships/hyperlink" Id="rId22" Target="mailto:patu@ct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2026-05-30T12:06:58Z</dcterms:created>
  <dcterms:modified xsi:type="dcterms:W3CDTF">2026-05-30T12:06:58Z</dcterms:modified>
</cp:coreProperties>
</file>

<file path=docProps/custom.xml><?xml version="1.0" encoding="utf-8"?>
<Properties xmlns="http://schemas.openxmlformats.org/officeDocument/2006/custom-properties" xmlns:vt="http://schemas.openxmlformats.org/officeDocument/2006/docPropsVTypes"/>
</file>