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v5.8 — IJoEM blinded manuscript: round-2 revision (H1 dual-mechanism, PSM Panel J, IV/2SLS Panel K, Oster bounds, macro-context §5.3)</w:t>
      </w:r>
    </w:p>
    <w:p>
      <w:pPr>
        <w:pStyle w:val="Date"/>
      </w:pPr>
      <w:r>
        <w:t>2026-05-02</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foreign-technology / standards capability with foundational website-based digital adoption under transitional institutional conditions. It also offers a cleaner measurement strategy by separating these two domains with no shared items, and shows that the wave-specific pattern of digital moderation is consistent with stage contingency, with detectable moderation concentrated in 2023.</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(Wright et al., 2005; Cuervo-Cazurra and Genc, 2008; Wu et al., 2016).</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Coviello et al., 2017;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Vial, 2019;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Hanelt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(Wagner, 2007).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odyText"/>
      </w:pPr>
      <w:r>
        <w:t>A second consideration arises from the structure of direct-export intensity in WBES Vietnam: the FSTS variable is bounded at zero and is heavily zero-inflated (the non-exporter share is 71.6 % in 2009, 79.3 % in 2015 and 81.2 % in 2023; pooled 77.4 %). The internationalisation–performance relationship therefore comprises two analytically distinct margins. The participation margin is the step from FSTS = 0 to FSTS &gt; 0, where firms cross the entry threshold into international markets and absorb fixed entry costs. The intensity margin is the variation of FSTS within the exporter subsample. Theory predicts that productivity gains can accrue at either margin: the participation margin captures learning-by-exporting and exposure to foreign-market demand; the intensity margin captures scale economies on the upside and coordination burdens on the downside (Bernard et al., 2007; Wagner, 2007). In transitional economies with thin export infrastructure, the participation margin is plausibly the dominant productivity-enhancing margin, while the intensity margin may show diminishing or null returns once participation has been crossed.</w:t>
      </w:r>
    </w:p>
    <w:p>
      <w:pPr>
        <w:pStyle w:val="BlockText"/>
      </w:pPr>
      <w:r>
        <w:t>H1. The internationalisation–performance relationship in Vietnam is non-monotonic and operates through two distinct margins. (H1a, participation margin) Crossing from non-exporting (FSTS = 0) to exporting (FSTS &gt; 0) is positively associated with labour productivity, capturing the learning-and-scale jump at entry. (H1b, intensity margin) Within the exporter subsample, additional direct-export intensity exhibits diminishing or non-significant marginal returns, reflecting the binding coordination costs that emerge once participation has been crossed.</w:t>
      </w:r>
    </w:p>
    <w:p>
      <w:pPr>
        <w:pStyle w:val="Heading2"/>
      </w:pPr>
      <w:r>
        <w:t>2.2 Foreign-technology and standards capability and firm performance</w:t>
      </w:r>
    </w:p>
    <w:p>
      <w:pPr>
        <w:pStyle w:val="FirstParagraph"/>
      </w:pPr>
      <w:r>
        <w:t>Following the Lall (1992) tradition for emerging-market firms, this paper uses a measurement-tight reading of technological capability: a foreign-technology and standards capability that captures a firm's exposure to externally validated technological inputs — internationally recognised quality certification and foreign-licensed technology. This is one observable facet of the broader Cohen-Levinthal (1990) absorptive-capacity construct and the dynamic-capability construct of Teece (2007), but the present measure does not claim to identify the full absorptive-capacity stock; it captures the externally facing component of that stock. In international settings, this externally facing capability is particularly important because firms must respond to unfamiliar markets, meet foreign quality standards, and integrate externally licensed technology into organisational routines.</w:t>
      </w:r>
    </w:p>
    <w:p>
      <w:pPr>
        <w:pStyle w:val="BodyText"/>
      </w:pPr>
      <w:r>
        <w:t>A firm with stronger foreign-technology / standards capability is more likely to transform international exposure into productivity gains. It can adjust products and processes to meet foreign requirements more effectively, integrate licensed foreign technology into production, and cope better with the operational demands created by export activity. Even when this capability does not fundamentally alter the curvature of the I–P relationship, it should improve the firm's overall performance level by raising the productivity floor among exposed firms.</w:t>
      </w:r>
    </w:p>
    <w:p>
      <w:pPr>
        <w:pStyle w:val="BodyText"/>
      </w:pPr>
      <w:r>
        <w:t>This implies a positive direct association between foreign-technology / standards capability and firm performance in Vietnam. We treat it here as a construct that should raise the firm's capacity to benefit from internationalisation and should also support productivity more broadly, without assuming that it indexes the full innovation-and-R&amp;D dimension.</w:t>
      </w:r>
    </w:p>
    <w:p>
      <w:pPr>
        <w:pStyle w:val="BodyText"/>
      </w:pPr>
      <w:r>
        <w:t>Operationally, the primary TCI_z is built from two items: internationally recognised quality certification (b8) and foreign-licensed technology (e6). These items measure exposure to foreign-technology and standards channels rather than internal R&amp;D effort or patent activity. A broader innovation-augmented composite (TCI_full, adding product innovation h1 and R&amp;D activity h8) is reported in §4.5 Panel A as a boundary condition: if direct effects attenuate when innovation items are added, this indicates that the primary measure is informative specifically about the foreign-technology / standards channel, not the broader absorptive-capacity stock.</w:t>
      </w:r>
    </w:p>
    <w:p>
      <w:pPr>
        <w:pStyle w:val="BlockText"/>
      </w:pPr>
      <w:r>
        <w:t>H2. Foreign-technology / standards capability (TCI_z) is positively associated with firm performance in Vietnam.</w:t>
      </w:r>
    </w:p>
    <w:p>
      <w:pPr>
        <w:pStyle w:val="Heading2"/>
      </w:pPr>
      <w:r>
        <w:t>2.3 Website-based digital presence and firm performance</w:t>
      </w:r>
    </w:p>
    <w:p>
      <w:pPr>
        <w:pStyle w:val="FirstParagraph"/>
      </w:pPr>
      <w:r>
        <w:t>The primary DAI_z used in this paper is a website-based digital presence measure: a binary indicator of whether the firm has its own website. This is a foundational and cross-wave-comparable marker of digital adoption — it does not measure transaction-level digital integration, electronic payment infrastructure, or digital transformation in the Bharadwaj et al. (2013) / Verhoef et al. (2021) / Vial (2019) sense. We use it here precisely because it is the only digital indicator the WBES instrument carries comparably across the 2009 / 2015 / 2023 waves; transaction-level items such as electronic-payment shares appear only in the 2023 questionnaire.</w:t>
      </w:r>
    </w:p>
    <w:p>
      <w:pPr>
        <w:pStyle w:val="BodyText"/>
      </w:pPr>
      <w:r>
        <w:t>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 supply chains, or decision-making — and the realised payoff depends on whether the firm has the scale and routines to translate online visibility into export business.</w:t>
      </w:r>
    </w:p>
    <w:p>
      <w:pPr>
        <w:pStyle w:val="BodyText"/>
      </w:pPr>
      <w:r>
        <w:t>Website-based digital presence should therefore show a positive average association with performance, but not necessarily one that is uniform across waves and stages. The information value of a website may have shifted across the 2009–2023 window: in 2009 a website was a distinguishing market interface; by 2023 it is closer to a routine marker of basic digital presence. The §5 discussion takes this proxy obsolescence reading seriously as one alternative to a pure stage-contingency story.</w:t>
      </w:r>
    </w:p>
    <w:p>
      <w:pPr>
        <w:pStyle w:val="BodyText"/>
      </w:pPr>
      <w:r>
        <w:t>Following Verhoef et al. (2021), digital capability can be located on a four-tier hierarchy: Tier 1 — digital presence (websites, e-mail); Tier 2 — digital communication and basic e-commerce; Tier 3 — digital process integration (electronic payment, supply-chain digitisation); Tier 4 — dynamic digital capability (data-driven decision-making, AI integration). The primary DAI_z anchors at Tier 1 only. A Tier 3-style extension (DAI_rich) is reported in §4.5 Panel B for the 2023 wave, where electronic-payment items become available. The label "foundational website adoption" therefore tracks what the construct can actually identify across the 2009–2023 window.</w:t>
      </w:r>
    </w:p>
    <w:p>
      <w:pPr>
        <w:pStyle w:val="BlockText"/>
      </w:pPr>
      <w:r>
        <w:t>H3. Website-based digital presence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(exploratory). The performance relevance of website-based digital presence (DAI_z) in Vietnam varies across stages of internationalisation; we treat the within-wave moderation as exploratory and concentrate the test on 2023, where the post-NDTP environment plausibly enables a moderation channel.</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BodyText"/>
      </w:pPr>
      <w:r>
        <w:t>Figure 1. Conceptual model. The independent variable (internationalisation, FSTS_c and FSTS_c²) and the dependent variable (firm performance, ln labour productivity) anchor the IV–DV spine. Technological capability (TCI_z) and digital adoption (DAI_z) operate as moderators of the curvature; controls are firm size (lnEmp), firm age (FirmAge), foreign ownership (ForeignOwned), broad sector fixed effects, and wave fixed effects in the pooled specification. Source: World Bank Enterprise Surveys (https://www.enterprisesurveys.org); authors’ calculations on the 2009, 2015 and 2023 Vietnam waves.</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956 for 2015, and 1,013 for 2023. The pooled full model contains 2,958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is interpreted narrowly as a foreign-technology and standards capability measure — international quality certification and foreign-licensed technology — that proxies a firm's exposure to external technological standards rather than the full Cohen-Levinthal absorptive-capacity stock (Lall, 1992; Cohen and Levinthal, 1990). The Digital Adoption Index (DAI_z) is interpreted narrowly as website-based digital presence — foundational website adoption — and not as a measure of transaction-level digital integration or digital transformation (Bharadwaj et al., 2013; Verhoef et al., 2021; Nambisan et al., 2019). Each composite is z-standardised within wave so that the reported coefficients are comparable in magnitude. This separation is deliberate because the study is interested in whether the two domains exhibit different empirical roles, while keeping the construct labels tight against what the underlying WBES items actually measure.</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956, and 1,013 observations for 2009, 2015, and 2023 respectively; pooled N is 2,958.</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956)</w:t>
            </w:r>
          </w:p>
        </w:tc>
        <w:tc>
          <w:tcPr>
            <w:tcW w:type="dxa" w:w="1872"/>
          </w:tcPr>
          <w:p>
            <w:r>
              <w:t>2023 (N = 1,013)</w:t>
            </w:r>
          </w:p>
        </w:tc>
        <w:tc>
          <w:tcPr>
            <w:tcW w:type="dxa" w:w="1872"/>
          </w:tcPr>
          <w:p>
            <w:r>
              <w:t>Pooled (N = 2,958)</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World Bank Enterprise Surveys (https://www.enterprisesurveys.org); authors’ calculations on the Vietnam 2009, 2015 and 2023 waves. Replication output: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wave-specific associations consistent with stage contingency. Foreign-technology / standards capability is positive across all three waves with a modestly attenuating magnitude (TCI_z = 0.215 → 0.128 → 0.123) but with moderation that survives in the 2009, 2023 and pooled panels. Website-based digital presence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statistically distinguishable. A formal pooled wave × focal interaction test (reported as Panel I in §4.5) confirms that only the DAI direct shifts are cross-wave-distinguishable; the FSTS curvature and the FSTS × DAI moderation differences across waves are not statistically separable in the pooled saturated specification. We therefore read the pattern as wave-specific associations consistent with stage contingency, not as a fully cross-wave-identified structural shift.</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 coming primarily from scale and from foreign-technology / standards capability rather than from foundational digital adoption in this wave.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exploratory support concentrated in the 2023 wave. The DAI joint moderation test is null in 2009 (M4 p = .825), null in 2015 (M4 p = .125) and reaches the edge of significance in 2023 with the individual interaction FSTS_c × DAI_z = −0.912 (p = .043) and the joint test at M4 p = .102, M8 p = .062. The pooled M8 joint test (p = .083) is also at marginal significance, driven by the 2023 wave rather than by a stable cross-period moderation. We do not treat this as a confirmed cross-wave moderation pattern: the formal pooled wave × focal interaction test (Panel I) does not detect cross-wave differences in the FSTS × DAI moderation terms. The substantive reading is that 2023 is the only wave in which the digital moderation is within-sample detectable, and we frame this as exploratory rather than as a confirmed hypothesis test.</w:t>
      </w:r>
    </w:p>
    <w:p>
      <w:pPr>
        <w:pStyle w:val="Heading2"/>
      </w:pPr>
      <w:r>
        <w:t>4.4 Main empirical pattern: participation × intensity</w:t>
      </w:r>
    </w:p>
    <w:p>
      <w:pPr>
        <w:pStyle w:val="FirstParagraph"/>
      </w:pPr>
      <w:r>
        <w:t>Before reading the table that follows, we anchor the reader in the two-margin structure introduced in §2.1. The full-sample inverted-U is informative about the joint participation-and-intensity pattern, but its curvature is identified primarily through the participation margin: only ~1.0 % of pooled firms sit within ±5 percentage-points of the wave-specific turning points (see §4.5 density check), and the bulk of mass lies at FSTS = 0. When we re-fit M2 / M7 / M8 on the exporter-only sub-sample (FSTS &gt; 0; pooled N = 669, §4.5 Panel H), the linear FSTS_c term is negative (β = −0.861, p &lt; .001) but the quadratic term is not significant (FSTS_c² β = −0.200, p = .660, M8 joint p = .462). H1a (participation margin) is therefore the dominant productivity-relevant margin in this dataset; the within-exporter intensity curvature claimed by H1b weakens once participation is netted out. We retain the full-sample inverted-U as the headline empirical regularity, but interpret it explicitly through the dual-mechanism lens: most of the productivity differential lies between non-exporters and exporters, with limited additional curvature within the exporter subsample. Table 1 therefore reads as a description of the combined participation × intensity pattern rather than as a structural statement about within-exporter intensity curvature.</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 Source: World Bank Enterprise Surveys (https://www.enterprisesurveys.org); authors’ calculations.</w:t>
      </w:r>
    </w:p>
    <w:p>
      <w:r>
        <w:drawing>
          <wp:inline>
            <wp:extent cx="5486400" cy="3657600"/>
            <wp:docPr id="2" name="Picture 2"/>
            <wp:cNvGraphicFramePr>
              <a:graphicFrameLocks noChangeAspect="1"/>
            </wp:cNvGraphicFramePr>
            <a:graphic>
              <a:graphicData uri="http://schemas.openxmlformats.org/drawingml/2006/picture">
                <pic:pic>
                  <pic:nvPicPr>
                    <pic:cNvPr id="0" name="figure_2a.png"/>
                    <pic:cNvPicPr/>
                  </pic:nvPicPr>
                  <pic:blipFill>
                    <a:blip r:embed="rId10"/>
                    <a:stretch>
                      <a:fillRect/>
                    </a:stretch>
                  </pic:blipFill>
                  <pic:spPr>
                    <a:xfrm>
                      <a:off x="0" y="0"/>
                      <a:ext cx="5486400" cy="3657600"/>
                    </a:xfrm>
                    <a:prstGeom prst="rect"/>
                  </pic:spPr>
                </pic:pic>
              </a:graphicData>
            </a:graphic>
          </wp:inline>
        </w:drawing>
      </w:r>
    </w:p>
    <w:p>
      <w:pPr>
        <w:pStyle w:val="BodyText"/>
      </w:pPr>
      <w:r>
        <w:t>Figure 2a. Predicted ln(labour productivity) across direct-export intensity, Vietnam 2009 (N = 989).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3" name="Picture 3"/>
            <wp:cNvGraphicFramePr>
              <a:graphicFrameLocks noChangeAspect="1"/>
            </wp:cNvGraphicFramePr>
            <a:graphic>
              <a:graphicData uri="http://schemas.openxmlformats.org/drawingml/2006/picture">
                <pic:pic>
                  <pic:nvPicPr>
                    <pic:cNvPr id="0" name="figure_2b.png"/>
                    <pic:cNvPicPr/>
                  </pic:nvPicPr>
                  <pic:blipFill>
                    <a:blip r:embed="rId11"/>
                    <a:stretch>
                      <a:fillRect/>
                    </a:stretch>
                  </pic:blipFill>
                  <pic:spPr>
                    <a:xfrm>
                      <a:off x="0" y="0"/>
                      <a:ext cx="5486400" cy="3657600"/>
                    </a:xfrm>
                    <a:prstGeom prst="rect"/>
                  </pic:spPr>
                </pic:pic>
              </a:graphicData>
            </a:graphic>
          </wp:inline>
        </w:drawing>
      </w:r>
    </w:p>
    <w:p>
      <w:pPr>
        <w:pStyle w:val="BodyText"/>
      </w:pPr>
      <w:r>
        <w:t>Figure 2b. Predicted ln(labour productivity) across direct-export intensity, Vietnam 2015 (N = 956).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4" name="Picture 4"/>
            <wp:cNvGraphicFramePr>
              <a:graphicFrameLocks noChangeAspect="1"/>
            </wp:cNvGraphicFramePr>
            <a:graphic>
              <a:graphicData uri="http://schemas.openxmlformats.org/drawingml/2006/picture">
                <pic:pic>
                  <pic:nvPicPr>
                    <pic:cNvPr id="0" name="figure_2c.png"/>
                    <pic:cNvPicPr/>
                  </pic:nvPicPr>
                  <pic:blipFill>
                    <a:blip r:embed="rId12"/>
                    <a:stretch>
                      <a:fillRect/>
                    </a:stretch>
                  </pic:blipFill>
                  <pic:spPr>
                    <a:xfrm>
                      <a:off x="0" y="0"/>
                      <a:ext cx="5486400" cy="3657600"/>
                    </a:xfrm>
                    <a:prstGeom prst="rect"/>
                  </pic:spPr>
                </pic:pic>
              </a:graphicData>
            </a:graphic>
          </wp:inline>
        </w:drawing>
      </w:r>
    </w:p>
    <w:p>
      <w:pPr>
        <w:pStyle w:val="BodyText"/>
      </w:pPr>
      <w:r>
        <w:t>Figure 2c. Predicted ln(labour productivity) across direct-export intensity, Vietnam 2023 (N = 1,013).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5" name="Picture 5"/>
            <wp:cNvGraphicFramePr>
              <a:graphicFrameLocks noChangeAspect="1"/>
            </wp:cNvGraphicFramePr>
            <a:graphic>
              <a:graphicData uri="http://schemas.openxmlformats.org/drawingml/2006/picture">
                <pic:pic>
                  <pic:nvPicPr>
                    <pic:cNvPr id="0" name="figure_2d.png"/>
                    <pic:cNvPicPr/>
                  </pic:nvPicPr>
                  <pic:blipFill>
                    <a:blip r:embed="rId13"/>
                    <a:stretch>
                      <a:fillRect/>
                    </a:stretch>
                  </pic:blipFill>
                  <pic:spPr>
                    <a:xfrm>
                      <a:off x="0" y="0"/>
                      <a:ext cx="5486400" cy="3657600"/>
                    </a:xfrm>
                    <a:prstGeom prst="rect"/>
                  </pic:spPr>
                </pic:pic>
              </a:graphicData>
            </a:graphic>
          </wp:inline>
        </w:drawing>
      </w:r>
    </w:p>
    <w:p>
      <w:pPr>
        <w:pStyle w:val="BodyText"/>
      </w:pPr>
      <w:r>
        <w:t>Figure 2d. Predicted ln(labour productivity) across direct-export intensity, Pooled Vietnam 2009/2015/2023 (N = 2,958).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The reconciled M8 joint test for the primary specification on this common-N sample yields F(3, 998) ≈ 2.50, p = .062 — matching the main 2023 M8 result, and confirming that the Panel B DAI_rich attenuation is not an artefact of selective missingness on k33 / k38. This rules out a missingness-driven alternative explanation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detectable selection bias on the exporter sub-sample. We also report a control-function specification estimated on the full sample using the probit-based generalised residual, which yields a significant residual pooled (β = 0.304, p &lt; .001) and in 2009 (β = 0.510, p &lt; .001), a marginal residual in 2023 (β = 0.259, p = .092) and a null residual in 2015 (β = −0.112, p = .357). We do not interpret this gap as evidence of a different selection channel: in a probit, the generalised residual coincides with the inverse Mills ratio for selected observations, so the difference in significance reflects the larger estimation sample (non-exporters are included in the control-function regression) and the slightly different specification, not a substantively distinct selection mechanism. Either way, the focal H1 / H2 / H3 inferences survive both corrections.</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FirstParagraph"/>
      </w:pPr>
      <w:r>
        <w:t>Panel H — Exporter-only sub-sample (FSTS &gt; 0). Because the exporter share is 28.4 %, 20.7 % and 18.8 % across waves, the inverted-U fitted on the full sample is partly identified by the participation margin between FSTS = 0 and FSTS &gt; 0. We re-fit M2 / M7 / M8 on the exporter-only sub-sample (N ≈ 281 in 2009, 198 in 2015, 190 in 2023, and 669 pooled). The pooled exporter-only specification yields a negative linear FSTS_c term (β = −0.861, p &lt; .001) but a non-significant quadratic term (FSTS_c² β = −0.200, p = .660), and the joint M8 test of the curvature plus moderation block is not significant (joint F p = .462). The wave-specific exporter-only estimates are similarly noisier and individually weaker than the full-sample counterparts. We read this as showing that the inverted-U documented in the main specification is meaningfully identified by the participation margin rather than purely by within-exporter intensity variation; this is consistent with the §3.1 descriptive evidence that direct-export intensity is a zero-inflated variable in Vietnamese WBES data, with limited mass between the participation margin and the implied turning point. The substantive H1 claim is therefore best read as a non-monotonic association between participation-and-intensity in exporting and productivity, not as a strict within-exporter intensity-curvature claim.</w:t>
      </w:r>
    </w:p>
    <w:p>
      <w:pPr>
        <w:pStyle w:val="BodyText"/>
      </w:pPr>
      <w:r>
        <w:t>Panel I — Pooled wave × focal interaction test. To formally test whether the wave-specific patterns of curvature and moderation are statistically separable from the pooled estimates, we 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 result: only the DAI direct shifts are cross-wave-distinguishable, while the curvature parameters and the FSTS × DAI moderation terms share a common pooled magnitude across waves.</w:t>
      </w:r>
    </w:p>
    <w:p>
      <w:pPr>
        <w:pStyle w:val="BodyText"/>
      </w:pPr>
      <w:r>
        <w:t>Density-around-turning-point check. We also report the within-sample mass of firms in the curvature zone. Defining a ±5 percentage-point band around the wave-specific turning point (TP), the share of firms with FSTS within the band is 0.6 % (6 of 989) in 2009, 1.2 % (11 of 956) in 2015, 0.9 % (9 of 1,013) in 2023 and 1.0 % (29 of 2,958) pooled. The bulk of mass lies at FSTS = 0; the turning-point estimates are identified primarily through the contrast between non-exporters and exporters and the right tail above the TP, not through dense within-band variation. Readers should bear this density structure in mind when interpreting the precise turning-point magnitude.</w:t>
      </w:r>
    </w:p>
    <w:p>
      <w:pPr>
        <w:pStyle w:val="BodyText"/>
      </w:pPr>
      <w:r>
        <w:t>Panel J — Propensity-score matching (PSM). To probe selection-on-observables in the direct association between capability variables and productivity, we estimate the average treatment effect on the treated (ATT) of two binary treatments on log labour productivity (lnLP). Treatment 1 is website ownership (c22b = 1, the same item that anchors the primary DAI_z); treatment 2 is exposure to either internationally recognised quality certification (b8 = 1) or foreign-licensed technology (e6 = 1), the two items that anchor the primary TCI_z. The propensity score is fitted by Logit on lnEmp, FirmAge, ForeignOwned, sector1 and wave fixed effects on the pooled sample. Two matching algorithms are reported: 1-NN with caliper = 0.05 and Epanechnikov kernel matching with bandwidth = 0.06. The website-treatment ATT is 0.298 (SE 0.061) under 1-NN and 0.321 (SE 0.043) under kernel matching, both p &lt; .001 (matched N ≈ 1,085); the cert/foreign-tech-treatment ATT is 0.637 (SE 0.078) under 1-NN and 0.609 (SE 0.056) under kernel matching, both p &lt; .001 (matched N ≈ 640). Both ATT estimates are positive, sizeable and robust to algorithm choice. Pre-match standardised mean differences (lnEmp 62 % for the website treatment, 105 % for the cert/foreign-tech treatment) are large, which is precisely the imbalance the matching estimator is designed to correct; covariate balance in the matched samples is reported in table_psm_balance.csv. The PSM results corroborate H2 and the average part of H3 from the OLS specifications under a non-parametric estimator that does not rely on the linearity assumption.</w:t>
      </w:r>
    </w:p>
    <w:p>
      <w:pPr>
        <w:pStyle w:val="BodyText"/>
      </w:pPr>
      <w:r>
        <w:t>Panel K — Two-stage least squares (2SLS) with leave-one-out industry × region instruments. To probe the residual concern of reverse causality and unobserved heterogeneity, we instrument DAI_z and TCI_z separately with leave-one-out group means defined over sector1 × a2 × wave cells. Specifically, for each firm i the instrument is the average c22b ownership (or average (b8 + e6) / 2 for the TCI specification) of all other firms in the same sector × region × wave cell, excluding firm i itself. The exclusion restriction is that local industry-region peer adoption shifts a firm's own adoption decision (through imitation, supplier networks and shared training infrastructure) but is not a direct determinant of firm-i productivity beyond the controls. The first-stage F-statistic is 34.6 for the DAI instrument and 22.1 for the TCI instrument, well above the Staiger–Stock weak-instrument threshold of 10. The 2SLS estimates are informative: instrumented DAI_z = 0.018 (SE 0.249, p = .942), while instrumented TCI_z = 1.639 (SE 0.299, p &lt; .001). The TCI direct association is reinforced under instrumentation, while the OLS-detected DAI direct association attenuates to a null under instrumentation. We read this honestly: the PSM evidence supports a positive ATT of basic website ownership on productivity, but once peer-cell adoption is used to identify exogenous variation in the firm's own DAI_z, the direct effect is no longer statistically separable from zero. The most defensible interpretation is that website ownership in our sample correlates with productivity primarily through firm characteristics that are not captured by the IV's exogenous variation; the more robust capability channel runs through foreign-technology / standards exposure (TCI_z), which survives both PSM and 2SLS.</w:t>
      </w:r>
    </w:p>
    <w:p>
      <w:pPr>
        <w:pStyle w:val="BodyText"/>
      </w:pPr>
      <w:r>
        <w:t>Oster (2019) δ-stability bounds. As a final selection-on-unobservables probe, we compute Oster (2019) bounds on the four focal pooled coefficients, comparing each to the analogous uncontrolled regression and assuming R²max = min(1, 1.3 × R²controlled), the canonical default. Under δ = 1 (selection on unobservables equals selection on observables) the implied β is 0.615 for FSTS_c, −1.174 for FSTS_c², 0.194 for TCI_z, and 0.080 for DAI_z. None of the four implied coefficients changes sign and none collapses to zero, indicating that plausible selection on unobservables would have to be substantially larger than selection on observables to overturn the focal qualitative findings. The Oster bound is reported as table_oster_bounds.csv.</w:t>
      </w:r>
    </w:p>
    <w:p>
      <w:pPr>
        <w:pStyle w:val="BodyText"/>
      </w:pPr>
      <w:r>
        <w:t>Multiple-testing caveat. §4.5 reports eleven robustness panels (A–K plus Oster bounds) across two enriched composites, three sub-samples, two selection corrections, cross-wave z-tests and a wave-saturated interaction test, each touching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p>
    <w:p>
      <w:pPr>
        <w:jc w:val="center"/>
      </w:pPr>
      <w:r>
        <w:drawing>
          <wp:inline>
            <wp:extent cx="5943600" cy="2480807"/>
            <wp:docPr id="6" name="Picture 6"/>
            <wp:cNvGraphicFramePr>
              <a:graphicFrameLocks noChangeAspect="1"/>
            </wp:cNvGraphicFramePr>
            <a:graphic>
              <a:graphicData uri="http://schemas.openxmlformats.org/drawingml/2006/picture">
                <pic:pic>
                  <pic:nvPicPr>
                    <pic:cNvPr id="0" name="figure_3_moderator_marginals.png"/>
                    <pic:cNvPicPr/>
                  </pic:nvPicPr>
                  <pic:blipFill>
                    <a:blip r:embed="rId14"/>
                    <a:stretch>
                      <a:fillRect/>
                    </a:stretch>
                  </pic:blipFill>
                  <pic:spPr>
                    <a:xfrm>
                      <a:off x="0" y="0"/>
                      <a:ext cx="5943600" cy="2480807"/>
                    </a:xfrm>
                    <a:prstGeom prst="rect"/>
                  </pic:spPr>
                </pic:pic>
              </a:graphicData>
            </a:graphic>
          </wp:inline>
        </w:drawing>
      </w:r>
    </w:p>
    <w:p>
      <w:pPr>
        <w:pStyle w:val="BodyText"/>
      </w:pPr>
      <w:r>
        <w:t>Figure 3. Predicted log labour productivity along the FSTS export-intensity range, evaluated at the 25th vs 75th percentile of the moderator. Panel 3a shows the FSTS curve at low (p25) vs high (p75) DAI_z; Panel 3b shows the FSTS curve at low (p25) vs high (p75) TCI_z. Curves are obtained from the pooled M8 specification with controls and wave + sector fixed effects fixed at their sample modes / means; predictions are reported on the within-sample FSTS support. Source: World Bank Enterprise Surveys (https://www.enterprisesurveys.org); authors' calculations.</w:t>
      </w:r>
    </w:p>
    <w:p>
      <w:pPr>
        <w:pStyle w:val="FirstParagraph"/>
      </w:pPr>
      <w:r>
        <w:t>Table 3 collates the robustness panels documented in §4.5 in a single overview to ease cross-comparison.</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t>Panel / Sample</w:t>
            </w:r>
          </w:p>
        </w:tc>
        <w:tc>
          <w:tcPr>
            <w:tcW w:type="dxa" w:w="2340"/>
          </w:tcPr>
          <w:p>
            <w:r>
              <w:t>N</w:t>
            </w:r>
          </w:p>
        </w:tc>
        <w:tc>
          <w:tcPr>
            <w:tcW w:type="dxa" w:w="2340"/>
          </w:tcPr>
          <w:p>
            <w:r>
              <w:t>Focal coefficient</w:t>
            </w:r>
          </w:p>
        </w:tc>
        <w:tc>
          <w:tcPr>
            <w:tcW w:type="dxa" w:w="2340"/>
          </w:tcPr>
          <w:p>
            <w:r>
              <w:t>Joint test</w:t>
            </w:r>
          </w:p>
        </w:tc>
      </w:tr>
      <w:tr>
        <w:tc>
          <w:tcPr>
            <w:tcW w:type="dxa" w:w="2340"/>
          </w:tcPr>
          <w:p>
            <w:r>
              <w:t>A. TCI_full direct (2015)</w:t>
            </w:r>
          </w:p>
        </w:tc>
        <w:tc>
          <w:tcPr>
            <w:tcW w:type="dxa" w:w="2340"/>
          </w:tcPr>
          <w:p>
            <w:r>
              <w:t>956</w:t>
            </w:r>
          </w:p>
        </w:tc>
        <w:tc>
          <w:tcPr>
            <w:tcW w:type="dxa" w:w="2340"/>
          </w:tcPr>
          <w:p>
            <w:r>
              <w:t>TCI_full_z = 0.056 (p = .253) n.s.; DAI_z = −0.033 n.s.</w:t>
            </w:r>
          </w:p>
        </w:tc>
        <w:tc>
          <w:tcPr>
            <w:tcW w:type="dxa" w:w="2340"/>
          </w:tcPr>
          <w:p>
            <w:r>
              <w:t>M3 joint p = .492 n.s.</w:t>
            </w:r>
          </w:p>
        </w:tc>
      </w:tr>
      <w:tr>
        <w:tc>
          <w:tcPr>
            <w:tcW w:type="dxa" w:w="2340"/>
          </w:tcPr>
          <w:p>
            <w:r>
              <w:t>A. TCI_full direct (2023)</w:t>
            </w:r>
          </w:p>
        </w:tc>
        <w:tc>
          <w:tcPr>
            <w:tcW w:type="dxa" w:w="2340"/>
          </w:tcPr>
          <w:p>
            <w:r>
              <w:t>1,013</w:t>
            </w:r>
          </w:p>
        </w:tc>
        <w:tc>
          <w:tcPr>
            <w:tcW w:type="dxa" w:w="2340"/>
          </w:tcPr>
          <w:p>
            <w:r>
              <w:t>TCI_full_z = 0.096 (p = .024) *; DAI_z = 0.097 (p = .037) *</w:t>
            </w:r>
          </w:p>
        </w:tc>
        <w:tc>
          <w:tcPr>
            <w:tcW w:type="dxa" w:w="2340"/>
          </w:tcPr>
          <w:p>
            <w:r>
              <w:t>M3 joint p = .152 n.s.</w:t>
            </w:r>
          </w:p>
        </w:tc>
      </w:tr>
      <w:tr>
        <w:tc>
          <w:tcPr>
            <w:tcW w:type="dxa" w:w="2340"/>
          </w:tcPr>
          <w:p>
            <w:r>
              <w:t>B. DAI_rich continuous (2023)</w:t>
            </w:r>
          </w:p>
        </w:tc>
        <w:tc>
          <w:tcPr>
            <w:tcW w:type="dxa" w:w="2340"/>
          </w:tcPr>
          <w:p>
            <w:r>
              <w:t>1,013</w:t>
            </w:r>
          </w:p>
        </w:tc>
        <w:tc>
          <w:tcPr>
            <w:tcW w:type="dxa" w:w="2340"/>
          </w:tcPr>
          <w:p>
            <w:r>
              <w:t>FSTS_c × DAI_rich_cont_z = −0.933 (p = .076) †</w:t>
            </w:r>
          </w:p>
        </w:tc>
        <w:tc>
          <w:tcPr>
            <w:tcW w:type="dxa" w:w="2340"/>
          </w:tcPr>
          <w:p>
            <w:r>
              <w:t>M8 joint p = .099 †</w:t>
            </w:r>
          </w:p>
        </w:tc>
      </w:tr>
      <w:tr>
        <w:tc>
          <w:tcPr>
            <w:tcW w:type="dxa" w:w="2340"/>
          </w:tcPr>
          <w:p>
            <w:r>
              <w:t>B. DAI_rich binary (2023)</w:t>
            </w:r>
          </w:p>
        </w:tc>
        <w:tc>
          <w:tcPr>
            <w:tcW w:type="dxa" w:w="2340"/>
          </w:tcPr>
          <w:p>
            <w:r>
              <w:t>1,013</w:t>
            </w:r>
          </w:p>
        </w:tc>
        <w:tc>
          <w:tcPr>
            <w:tcW w:type="dxa" w:w="2340"/>
          </w:tcPr>
          <w:p>
            <w:r>
              <w:t>FSTS_c × DAI_rich_bin_z = −0.893 (p = .169) n.s.</w:t>
            </w:r>
          </w:p>
        </w:tc>
        <w:tc>
          <w:tcPr>
            <w:tcW w:type="dxa" w:w="2340"/>
          </w:tcPr>
          <w:p>
            <w:r>
              <w:t>M8 joint p = .243 n.s.</w:t>
            </w:r>
          </w:p>
        </w:tc>
      </w:tr>
      <w:tr>
        <w:tc>
          <w:tcPr>
            <w:tcW w:type="dxa" w:w="2340"/>
          </w:tcPr>
          <w:p>
            <w:r>
              <w:t>C. Common-N reconciled (2023)</w:t>
            </w:r>
          </w:p>
        </w:tc>
        <w:tc>
          <w:tcPr>
            <w:tcW w:type="dxa" w:w="2340"/>
          </w:tcPr>
          <w:p>
            <w:r>
              <w:t>1,013</w:t>
            </w:r>
          </w:p>
        </w:tc>
        <w:tc>
          <w:tcPr>
            <w:tcW w:type="dxa" w:w="2340"/>
          </w:tcPr>
          <w:p>
            <w:r>
              <w:t>DAI_z moderation re-estimated on identical 2023 sample</w:t>
            </w:r>
          </w:p>
        </w:tc>
        <w:tc>
          <w:tcPr>
            <w:tcW w:type="dxa" w:w="2340"/>
          </w:tcPr>
          <w:p>
            <w:r>
              <w:t>M8 joint p = .062 † (matches main 2023 M8)</w:t>
            </w:r>
          </w:p>
        </w:tc>
      </w:tr>
      <w:tr>
        <w:tc>
          <w:tcPr>
            <w:tcW w:type="dxa" w:w="2340"/>
          </w:tcPr>
          <w:p>
            <w:r>
              <w:t>D. Micro-firm exclusion (l1 ≥ 10)</w:t>
            </w:r>
          </w:p>
        </w:tc>
        <w:tc>
          <w:tcPr>
            <w:tcW w:type="dxa" w:w="2340"/>
          </w:tcPr>
          <w:p>
            <w:r>
              <w:t>2,473</w:t>
            </w:r>
          </w:p>
        </w:tc>
        <w:tc>
          <w:tcPr>
            <w:tcW w:type="dxa" w:w="2340"/>
          </w:tcPr>
          <w:p>
            <w:r>
              <w:t>TCI_z = 0.188 ***; DAI_z = 0.054 n.s.</w:t>
            </w:r>
          </w:p>
        </w:tc>
        <w:tc>
          <w:tcPr>
            <w:tcW w:type="dxa" w:w="2340"/>
          </w:tcPr>
          <w:p>
            <w:r>
              <w:t>M8 joint p = .167 n.s.</w:t>
            </w:r>
          </w:p>
        </w:tc>
      </w:tr>
      <w:tr>
        <w:tc>
          <w:tcPr>
            <w:tcW w:type="dxa" w:w="2340"/>
          </w:tcPr>
          <w:p>
            <w:r>
              <w:t>G. Manufacturing (sector1 ∈ {1,2,3})</w:t>
            </w:r>
          </w:p>
        </w:tc>
        <w:tc>
          <w:tcPr>
            <w:tcW w:type="dxa" w:w="2340"/>
          </w:tcPr>
          <w:p>
            <w:r>
              <w:t>1,854</w:t>
            </w:r>
          </w:p>
        </w:tc>
        <w:tc>
          <w:tcPr>
            <w:tcW w:type="dxa" w:w="2340"/>
          </w:tcPr>
          <w:p>
            <w:r>
              <w:t>TCI_z = 0.223 ***; DAI_z = 0.087 **; FSTS_c × DAI_z = −0.543 †</w:t>
            </w:r>
          </w:p>
        </w:tc>
        <w:tc>
          <w:tcPr>
            <w:tcW w:type="dxa" w:w="2340"/>
          </w:tcPr>
          <w:p>
            <w:r>
              <w:t>M8 joint p = .103 †</w:t>
            </w:r>
          </w:p>
        </w:tc>
      </w:tr>
      <w:tr>
        <w:tc>
          <w:tcPr>
            <w:tcW w:type="dxa" w:w="2340"/>
          </w:tcPr>
          <w:p>
            <w:r>
              <w:t>H. Exporter-only (FSTS &gt; 0, pooled)</w:t>
            </w:r>
          </w:p>
        </w:tc>
        <w:tc>
          <w:tcPr>
            <w:tcW w:type="dxa" w:w="2340"/>
          </w:tcPr>
          <w:p>
            <w:r>
              <w:t>669</w:t>
            </w:r>
          </w:p>
        </w:tc>
        <w:tc>
          <w:tcPr>
            <w:tcW w:type="dxa" w:w="2340"/>
          </w:tcPr>
          <w:p>
            <w:r>
              <w:t>FSTS_c = −0.861 ***; FSTS_c² = −0.200 n.s.</w:t>
            </w:r>
          </w:p>
        </w:tc>
        <w:tc>
          <w:tcPr>
            <w:tcW w:type="dxa" w:w="2340"/>
          </w:tcPr>
          <w:p>
            <w:r>
              <w:t>M8 joint p = .462 n.s.</w:t>
            </w:r>
          </w:p>
        </w:tc>
      </w:tr>
      <w:tr>
        <w:tc>
          <w:tcPr>
            <w:tcW w:type="dxa" w:w="2340"/>
          </w:tcPr>
          <w:p>
            <w:r>
              <w:t>I. Wave × focal interaction (pooled)</w:t>
            </w:r>
          </w:p>
        </w:tc>
        <w:tc>
          <w:tcPr>
            <w:tcW w:type="dxa" w:w="2340"/>
          </w:tcPr>
          <w:p>
            <w:r>
              <w:t>2,958</w:t>
            </w:r>
          </w:p>
        </w:tc>
        <w:tc>
          <w:tcPr>
            <w:tcW w:type="dxa" w:w="2340"/>
          </w:tcPr>
          <w:p>
            <w:r>
              <w:t>DAI_z × wave detectable (p = .016); FSTS_c, FSTS_c², TCI_z × wave n.s.</w:t>
            </w:r>
          </w:p>
        </w:tc>
        <w:tc>
          <w:tcPr>
            <w:tcW w:type="dxa" w:w="2340"/>
          </w:tcPr>
          <w:p>
            <w:r>
              <w:t>Only DAI direct shifts cross-wave-separable</w:t>
            </w:r>
          </w:p>
        </w:tc>
      </w:tr>
      <w:tr>
        <w:tc>
          <w:tcPr>
            <w:tcW w:type="dxa" w:w="2340"/>
          </w:tcPr>
          <w:p>
            <w:r>
              <w:t>Density around TP (±5 pp band)</w:t>
            </w:r>
          </w:p>
        </w:tc>
        <w:tc>
          <w:tcPr>
            <w:tcW w:type="dxa" w:w="2340"/>
          </w:tcPr>
          <w:p>
            <w:r>
              <w:t>29 of 2,958</w:t>
            </w:r>
          </w:p>
        </w:tc>
        <w:tc>
          <w:tcPr>
            <w:tcW w:type="dxa" w:w="2340"/>
          </w:tcPr>
          <w:p>
            <w:r>
              <w:t>1.0 % of firms within band; bulk of mass at FSTS = 0</w:t>
            </w:r>
          </w:p>
        </w:tc>
        <w:tc>
          <w:tcPr>
            <w:tcW w:type="dxa" w:w="2340"/>
          </w:tcPr>
          <w:p>
            <w:r>
              <w:t>Curvature identified by participation margin</w:t>
            </w:r>
          </w:p>
        </w:tc>
      </w:tr>
      <w:tr>
        <w:tc>
          <w:tcPr>
            <w:tcW w:type="dxa" w:w="2340"/>
          </w:tcPr>
          <w:p>
            <w:r>
              <w:t>J. PSM ATT — website (1-NN, caliper 0.05)</w:t>
            </w:r>
          </w:p>
        </w:tc>
        <w:tc>
          <w:tcPr>
            <w:tcW w:type="dxa" w:w="2340"/>
          </w:tcPr>
          <w:p>
            <w:r>
              <w:t>1,085</w:t>
            </w:r>
          </w:p>
        </w:tc>
        <w:tc>
          <w:tcPr>
            <w:tcW w:type="dxa" w:w="2340"/>
          </w:tcPr>
          <w:p>
            <w:r>
              <w:t>ATT_DAI = 0.298 *** (SE 0.061)</w:t>
            </w:r>
          </w:p>
        </w:tc>
        <w:tc>
          <w:tcPr>
            <w:tcW w:type="dxa" w:w="2340"/>
          </w:tcPr>
          <w:p>
            <w:r>
              <w:t>Positive and large under matching</w:t>
            </w:r>
          </w:p>
        </w:tc>
      </w:tr>
      <w:tr>
        <w:tc>
          <w:tcPr>
            <w:tcW w:type="dxa" w:w="2340"/>
          </w:tcPr>
          <w:p>
            <w:r>
              <w:t>J. PSM ATT — website (kernel BW 0.06)</w:t>
            </w:r>
          </w:p>
        </w:tc>
        <w:tc>
          <w:tcPr>
            <w:tcW w:type="dxa" w:w="2340"/>
          </w:tcPr>
          <w:p>
            <w:r>
              <w:t>1,085</w:t>
            </w:r>
          </w:p>
        </w:tc>
        <w:tc>
          <w:tcPr>
            <w:tcW w:type="dxa" w:w="2340"/>
          </w:tcPr>
          <w:p>
            <w:r>
              <w:t>ATT_DAI = 0.321 *** (SE 0.043)</w:t>
            </w:r>
          </w:p>
        </w:tc>
        <w:tc>
          <w:tcPr>
            <w:tcW w:type="dxa" w:w="2340"/>
          </w:tcPr>
          <w:p>
            <w:r>
              <w:t>Robust to algorithm</w:t>
            </w:r>
          </w:p>
        </w:tc>
      </w:tr>
      <w:tr>
        <w:tc>
          <w:tcPr>
            <w:tcW w:type="dxa" w:w="2340"/>
          </w:tcPr>
          <w:p>
            <w:r>
              <w:t>J. PSM ATT — cert / foreign-tech (1-NN)</w:t>
            </w:r>
          </w:p>
        </w:tc>
        <w:tc>
          <w:tcPr>
            <w:tcW w:type="dxa" w:w="2340"/>
          </w:tcPr>
          <w:p>
            <w:r>
              <w:t>640</w:t>
            </w:r>
          </w:p>
        </w:tc>
        <w:tc>
          <w:tcPr>
            <w:tcW w:type="dxa" w:w="2340"/>
          </w:tcPr>
          <w:p>
            <w:r>
              <w:t>ATT_TCI = 0.637 *** (SE 0.078)</w:t>
            </w:r>
          </w:p>
        </w:tc>
        <w:tc>
          <w:tcPr>
            <w:tcW w:type="dxa" w:w="2340"/>
          </w:tcPr>
          <w:p>
            <w:r>
              <w:t>Positive and large under matching</w:t>
            </w:r>
          </w:p>
        </w:tc>
      </w:tr>
      <w:tr>
        <w:tc>
          <w:tcPr>
            <w:tcW w:type="dxa" w:w="2340"/>
          </w:tcPr>
          <w:p>
            <w:r>
              <w:t>K. IV / 2SLS — DAI_z (industry × region IV)</w:t>
            </w:r>
          </w:p>
        </w:tc>
        <w:tc>
          <w:tcPr>
            <w:tcW w:type="dxa" w:w="2340"/>
          </w:tcPr>
          <w:p>
            <w:r>
              <w:t>2,298</w:t>
            </w:r>
          </w:p>
        </w:tc>
        <w:tc>
          <w:tcPr>
            <w:tcW w:type="dxa" w:w="2340"/>
          </w:tcPr>
          <w:p>
            <w:r>
              <w:t>DAI_z = 0.018 (p = .942) n.s.</w:t>
            </w:r>
          </w:p>
        </w:tc>
        <w:tc>
          <w:tcPr>
            <w:tcW w:type="dxa" w:w="2340"/>
          </w:tcPr>
          <w:p>
            <w:r>
              <w:t>First-stage F = 34.6 (strong); positive OLS DAI direct effect attenuates under IV</w:t>
            </w:r>
          </w:p>
        </w:tc>
      </w:tr>
      <w:tr>
        <w:tc>
          <w:tcPr>
            <w:tcW w:type="dxa" w:w="2340"/>
          </w:tcPr>
          <w:p>
            <w:r>
              <w:t>K. IV / 2SLS — TCI_z (industry × region IV)</w:t>
            </w:r>
          </w:p>
        </w:tc>
        <w:tc>
          <w:tcPr>
            <w:tcW w:type="dxa" w:w="2340"/>
          </w:tcPr>
          <w:p>
            <w:r>
              <w:t>2,298</w:t>
            </w:r>
          </w:p>
        </w:tc>
        <w:tc>
          <w:tcPr>
            <w:tcW w:type="dxa" w:w="2340"/>
          </w:tcPr>
          <w:p>
            <w:r>
              <w:t>TCI_z = 1.639 *** (SE 0.299)</w:t>
            </w:r>
          </w:p>
        </w:tc>
        <w:tc>
          <w:tcPr>
            <w:tcW w:type="dxa" w:w="2340"/>
          </w:tcPr>
          <w:p>
            <w:r>
              <w:t>First-stage F = 22.1 (strong); TCI direct effect reinforced under IV</w:t>
            </w:r>
          </w:p>
        </w:tc>
      </w:tr>
      <w:tr>
        <w:tc>
          <w:tcPr>
            <w:tcW w:type="dxa" w:w="2340"/>
          </w:tcPr>
          <w:p>
            <w:r>
              <w:t>Oster (2019) δ = 1 bounds</w:t>
            </w:r>
          </w:p>
        </w:tc>
        <w:tc>
          <w:tcPr>
            <w:tcW w:type="dxa" w:w="2340"/>
          </w:tcPr>
          <w:p>
            <w:r>
              <w:t>2,958</w:t>
            </w:r>
          </w:p>
        </w:tc>
        <w:tc>
          <w:tcPr>
            <w:tcW w:type="dxa" w:w="2340"/>
          </w:tcPr>
          <w:p>
            <w:r>
              <w:t>FSTSc 0.92 → 0.61; FSTSc² −2.21 → −1.17; TCI 0.14 → 0.19; DAI 0.07 → 0.08</w:t>
            </w:r>
          </w:p>
        </w:tc>
        <w:tc>
          <w:tcPr>
            <w:tcW w:type="dxa" w:w="2340"/>
          </w:tcPr>
          <w:p>
            <w:r>
              <w:t>No sign change; focal qualitative findings stable</w:t>
            </w:r>
          </w:p>
        </w:tc>
      </w:tr>
    </w:tbl>
    <w:p>
      <w:pPr>
        <w:pStyle w:val="BodyText"/>
      </w:pPr>
      <w:r>
        <w:t>Notes. Each row summarises one robustness panel from §4.5 estimated by OLS with HC1 robust standard errors. Significance markers: *** p &lt; .001, ** p &lt; .01, * p &lt; .05, † p &lt; .10, n.s. = not significant. Panel E (Heckman / control function) and Panel F (Paternoster cross-wave z-tests) are reported in the prose because their natural presentation is per-sample rather than per-row. Source: World Bank Enterprise Surveys (https://www.enterprisesurveys.org); authors’ calculations. Full coefficient output: p4_vietnam/output/tables/table_3_robustness.csv.</w:t>
      </w:r>
    </w:p>
    <w:p>
      <w:pPr>
        <w:pStyle w:val="FirstParagraph"/>
      </w:pPr>
      <w:r>
        <w:t>Table LM reports the implied turning points of the inverted-U specification (M2) and the Lind–Mehlum p-values for each wave and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Sample</w:t>
            </w:r>
          </w:p>
        </w:tc>
        <w:tc>
          <w:tcPr>
            <w:tcW w:type="dxa" w:w="1872"/>
          </w:tcPr>
          <w:p>
            <w:r>
              <w:t>N</w:t>
            </w:r>
          </w:p>
        </w:tc>
        <w:tc>
          <w:tcPr>
            <w:tcW w:type="dxa" w:w="1872"/>
          </w:tcPr>
          <w:p>
            <w:r>
              <w:t>Turning point (raw FSTS)</w:t>
            </w:r>
          </w:p>
        </w:tc>
        <w:tc>
          <w:tcPr>
            <w:tcW w:type="dxa" w:w="1872"/>
          </w:tcPr>
          <w:p>
            <w:r>
              <w:t>95 % delta-method CI</w:t>
            </w:r>
          </w:p>
        </w:tc>
        <w:tc>
          <w:tcPr>
            <w:tcW w:type="dxa" w:w="1872"/>
          </w:tcPr>
          <w:p>
            <w:r>
              <w:t>Lind–Mehlum p</w:t>
            </w:r>
          </w:p>
        </w:tc>
      </w:tr>
      <w:tr>
        <w:tc>
          <w:tcPr>
            <w:tcW w:type="dxa" w:w="1872"/>
          </w:tcPr>
          <w:p>
            <w:r>
              <w:t>VNM 2009</w:t>
            </w:r>
          </w:p>
        </w:tc>
        <w:tc>
          <w:tcPr>
            <w:tcW w:type="dxa" w:w="1872"/>
          </w:tcPr>
          <w:p>
            <w:r>
              <w:t>989</w:t>
            </w:r>
          </w:p>
        </w:tc>
        <w:tc>
          <w:tcPr>
            <w:tcW w:type="dxa" w:w="1872"/>
          </w:tcPr>
          <w:p>
            <w:r>
              <w:t>46.2 %</w:t>
            </w:r>
          </w:p>
        </w:tc>
        <w:tc>
          <w:tcPr>
            <w:tcW w:type="dxa" w:w="1872"/>
          </w:tcPr>
          <w:p>
            <w:r>
              <w:t>[37.4 %, 55.1 %]</w:t>
            </w:r>
          </w:p>
        </w:tc>
        <w:tc>
          <w:tcPr>
            <w:tcW w:type="dxa" w:w="1872"/>
          </w:tcPr>
          <w:p>
            <w:r>
              <w:t>.006</w:t>
            </w:r>
          </w:p>
        </w:tc>
      </w:tr>
      <w:tr>
        <w:tc>
          <w:tcPr>
            <w:tcW w:type="dxa" w:w="1872"/>
          </w:tcPr>
          <w:p>
            <w:r>
              <w:t>VNM 2015</w:t>
            </w:r>
          </w:p>
        </w:tc>
        <w:tc>
          <w:tcPr>
            <w:tcW w:type="dxa" w:w="1872"/>
          </w:tcPr>
          <w:p>
            <w:r>
              <w:t>956</w:t>
            </w:r>
          </w:p>
        </w:tc>
        <w:tc>
          <w:tcPr>
            <w:tcW w:type="dxa" w:w="1872"/>
          </w:tcPr>
          <w:p>
            <w:r>
              <w:t>39.3 %</w:t>
            </w:r>
          </w:p>
        </w:tc>
        <w:tc>
          <w:tcPr>
            <w:tcW w:type="dxa" w:w="1872"/>
          </w:tcPr>
          <w:p>
            <w:r>
              <w:t>[30.3 %, 48.4 %]</w:t>
            </w:r>
          </w:p>
        </w:tc>
        <w:tc>
          <w:tcPr>
            <w:tcW w:type="dxa" w:w="1872"/>
          </w:tcPr>
          <w:p>
            <w:r>
              <w:t>.009</w:t>
            </w:r>
          </w:p>
        </w:tc>
      </w:tr>
      <w:tr>
        <w:tc>
          <w:tcPr>
            <w:tcW w:type="dxa" w:w="1872"/>
          </w:tcPr>
          <w:p>
            <w:r>
              <w:t>VNM 2023</w:t>
            </w:r>
          </w:p>
        </w:tc>
        <w:tc>
          <w:tcPr>
            <w:tcW w:type="dxa" w:w="1872"/>
          </w:tcPr>
          <w:p>
            <w:r>
              <w:t>1,013</w:t>
            </w:r>
          </w:p>
        </w:tc>
        <w:tc>
          <w:tcPr>
            <w:tcW w:type="dxa" w:w="1872"/>
          </w:tcPr>
          <w:p>
            <w:r>
              <w:t>41.6 %</w:t>
            </w:r>
          </w:p>
        </w:tc>
        <w:tc>
          <w:tcPr>
            <w:tcW w:type="dxa" w:w="1872"/>
          </w:tcPr>
          <w:p>
            <w:r>
              <w:t>[31.7 %, 51.5 %]</w:t>
            </w:r>
          </w:p>
        </w:tc>
        <w:tc>
          <w:tcPr>
            <w:tcW w:type="dxa" w:w="1872"/>
          </w:tcPr>
          <w:p>
            <w:r>
              <w:t>.013</w:t>
            </w:r>
          </w:p>
        </w:tc>
      </w:tr>
      <w:tr>
        <w:tc>
          <w:tcPr>
            <w:tcW w:type="dxa" w:w="1872"/>
          </w:tcPr>
          <w:p>
            <w:r>
              <w:t>VNM pooled</w:t>
            </w:r>
          </w:p>
        </w:tc>
        <w:tc>
          <w:tcPr>
            <w:tcW w:type="dxa" w:w="1872"/>
          </w:tcPr>
          <w:p>
            <w:r>
              <w:t>2,958</w:t>
            </w:r>
          </w:p>
        </w:tc>
        <w:tc>
          <w:tcPr>
            <w:tcW w:type="dxa" w:w="1872"/>
          </w:tcPr>
          <w:p>
            <w:r>
              <w:t>39.7 %</w:t>
            </w:r>
          </w:p>
        </w:tc>
        <w:tc>
          <w:tcPr>
            <w:tcW w:type="dxa" w:w="1872"/>
          </w:tcPr>
          <w:p>
            <w:r>
              <w:t>[34.0 %, 45.5 %]</w:t>
            </w:r>
          </w:p>
        </w:tc>
        <w:tc>
          <w:tcPr>
            <w:tcW w:type="dxa" w:w="1872"/>
          </w:tcPr>
          <w:p>
            <w:r>
              <w:t>&lt; .001</w:t>
            </w:r>
          </w:p>
        </w:tc>
      </w:tr>
    </w:tbl>
    <w:p>
      <w:pPr>
        <w:pStyle w:val="BodyText"/>
      </w:pPr>
      <w:r>
        <w:t>Notes. Turning points are derived from the M2 inverted-U specification (lnLP = β₀ + β₁ FSTS_c + β₂ FSTS_c² + controls + sector FE [+ wave FE in pooled]) and back-transformed to the raw FSTS scale. 95 % confidence intervals use the delta method on the within-sample FSTSc range. Lind–Mehlum p-values follow the Sasabuchi-style endpoint test for an inverted-U over the observed FSTS range. Source: World Bank Enterprise Surveys (https://www.enterprisesurveys.org); authors’ calculations.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strengthen the theoretical case for separating foreign-technology / standards capability from website-based digital presence. The PSM and IV evidence in §4.5 (Panels J and K) makes the distinction sharper. TCI is robust under both matching and instrumentation: the 2SLS estimate of TCI_z is 1.64 (p &lt; .001) under a strong instrument (first-stage F = 22.1), and the matching ATT for the cert / foreign-tech treatment is 0.61–0.64 (p &lt; .001) on a matched sample of approximately 640 firms. By contrast, the OLS-detected DAI direct association is reproduced under PSM (matching ATT = 0.30–0.32, p &lt; .001) but attenuates to a null under 2SLS (β = 0.02, p = .94). The two constructs therefore identify structurally different productivity channels: foreign-technology / standards exposure survives both selection-on-observables and selection-on-unobservables corrections, while website-based digital presence is more sensitive to the IV-implied exogenous variation, suggesting that part of the DAI–productivity association reflects firm characteristics that the IV construction breaks rather than a stable causal channel.</w:t>
      </w:r>
    </w:p>
    <w:p>
      <w:pPr>
        <w:pStyle w:val="BodyText"/>
      </w:pPr>
      <w:r>
        <w:t>The DAI_rich extension reported in §4.5 Panel B reinforces the construct interpretation rather than weakening it. Although the primary DAI_z anchored on c22b (website presence) is by 2023 close to a Tier-1 baseline indicator, the DAI_rich extension available only in 2023 — combining c22b with electronic-payment shares (k33, k38) — produces a similarly directioned and marginally significant moderation pattern (FSTS_c × DAI_rich_cont_z = −0.93, M8 joint p = .099). Whether digital adoption is measured by the thin Tier-1 website indicator or by the deeper Tier-2 / 3 transaction items, the 2023 moderation pattern goes in the same direction. This common-direction evidence guards against the proxy-obsolescence reading of the DAI pattern in isolation: even under a richer measurement that is harder to dismiss as a routine marker, the within-2023 moderation is consistent with the headline finding.</w:t>
      </w:r>
    </w:p>
    <w:p>
      <w:pPr>
        <w:pStyle w:val="BodyText"/>
      </w:pPr>
      <w:r>
        <w:t>The difference between TCI and DAI matters because the two constructs do not behave identically across periods or under different identification strategies. TCI_z behaves like a robust foreign-technology / standards capability whose productivity association survives both PSM and 2SLS. DAI_z behaves like a context-sensitive marker whose productivity association is documented under matched comparison but not under exogenous instrumental variation. This supports a more careful approach to digitalisation in international-business research, one that distinguishes between basic digital enablement (easily contaminated by selection on observables) and broader technological depth (more identification-robust), rather than collapsing them into a single label.</w:t>
      </w:r>
    </w:p>
    <w:p>
      <w:pPr>
        <w:pStyle w:val="Heading2"/>
      </w:pPr>
      <w:r>
        <w:t>5.2.1 An alternative reading: proxy obsolescence</w:t>
      </w:r>
    </w:p>
    <w:p>
      <w:pPr>
        <w:pStyle w:val="FirstParagraph"/>
      </w:pPr>
      <w:r>
        <w:t>A purely stage-contingency interpretation is not the only reading of the wave-specific DAI pattern. An alternative — and to a degree complementary — explanation is proxy obsolescence: the c22b indicator of website ownership measures something different in 2009, 2015 and 2023 even though the question text is identical across waves. In 2009, having a corporate website was a relatively distinguishing market interface that signalled basic digital legitimacy in international transactions; by 2023, a website is closer to a routine marker of basic digital presence shared across exporting and non-exporting firms alike. Under this reading, the falling DAI direct association across waves partly reflects the shrinking informational content of c22b rather than a structural change in the productivity payoff to foundational digital adoption itself. We do not view proxy obsolescence and stage contingency as mutually exclusive: both can be operating jointly. We flag the proxy-obsolescence reading because it is not testable within the cross-wave-comparable WBES instrument and future work using waves with richer Tier 2–3 digital items will be needed to disentangle the two channels.</w:t>
      </w:r>
    </w:p>
    <w:p>
      <w:pPr>
        <w:pStyle w:val="Heading2"/>
      </w:pPr>
      <w:r>
        <w:t>5.3 The significance of the 2015 dip</w:t>
      </w:r>
    </w:p>
    <w:p>
      <w:pPr>
        <w:pStyle w:val="FirstParagraph"/>
      </w:pPr>
      <w:r>
        <w:t>The 2015 pattern is especially revealing. It shows that even when the nonlinear I–P structure becomes clearer, the direct payoff from website-based digital presence can compress to a null. This suggests that firms may pass through a transitional stage in which export expansion remains important but the productivity contribution of basic digital adoption becomes more difficult to realise or detect within-sample.</w:t>
      </w:r>
    </w:p>
    <w:p>
      <w:pPr>
        <w:pStyle w:val="BodyText"/>
      </w:pPr>
      <w:r>
        <w:t>We treat the 2015 compression honestly as a wave-specific association consistent with stage contingency rather than as a fully cross-wave-identified structural shift. As reported in §4.5 Panel I, the formal pooled wave × focal interaction test detects only the DAI direct shifts as cross-wave-distinguishable; the FSTS curvature and the FSTS × DAI moderation cross-wave differences are not statistically separable. The macro context of the period is consistent with a digital-infrastructure trough in 2015 relative to the 2009 and 2023 anchors. Public secondary indicators support this reading. World Bank World Development Indicators (WDI) record Vietnam's individuals-using-the-Internet share at approximately 26 % in 2009, 45 % in 2015 and over 78 % by 2023; ITU's fixed-broadband subscriptions per 100 people grew from approximately 3 in 2009 to 8 in 2015 and to over 20 by 2023. Vietnam's National Digital Transformation Programme (NDTP) was issued in 2020, and cross-border e-payment platforms (VNPAY, MoMo, ZaloPay) and B2B exporter marketplaces (Alibaba.com, Amazon Global Selling) reached scale in Vietnam only after 2018–2019. The 2015 wave therefore observes Vietnamese exporters during a transitional infrastructure phase in which a website could not yet plug into a transaction-supporting digital ecosystem; the 2023 wave observes them after the post-NDTP scaffolding had matured. We do not treat these macro indicators as identifying variation — they are not entered into the regression — but they make the wave-specific reading institutionally plausible rather than purely post-hoc.</w:t>
      </w:r>
    </w:p>
    <w:p>
      <w:pPr>
        <w:pStyle w:val="BodyText"/>
      </w:pPr>
      <w:r>
        <w:t>Rather than treating this wave as an anomaly, it is more useful to interpret it as evidence of wave-specific heterogeneity that is consistent with stage contingency. The dip demonstrates why pooled averages alone are insufficient. Without the wave-specific analysis, one would miss the possibility that capability payoffs compress or fade temporarily before re-emerging in a later phase, even when the curvature parameters of the I–P relationship themselves remain statistically indistinguishable across waves.</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Supplementary materials</w:t>
      </w:r>
    </w:p>
    <w:p>
      <w:pPr>
        <w:pStyle w:val="FirstParagraph"/>
      </w:pPr>
      <w:r>
        <w:t>All figures and tables in the manuscript are embedded inline. The underlying coefficient outputs are also distributed as plain CSV files in the replication package for downstream re-analysis: tables/table_1_descriptives.csv (Table 1), tables/coefs_main_models.csv (M0–M8 long-format coefficient table), tables/joint_tests_main_models.csv (H2 and P1 joint F-tests), tables/table_lind_mehlum.csv (Table LM source), tables/table_3_robustness.csv (Table 3 panels A–D + G), tables/selection_checks.csv (Heckman / control function), and tables/table_paternoster.csv (cross-wave z-tests).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Banalieva, E.R. and Dhanaraj, C. (2019), "Internalization theory for the digital economy", Journal of International Business Studies, Vol. 50 No. 8, pp. 1372-1387.</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Coviello, N., Kano, L. and Liesch, P.W. (2017), "Adapting the Uppsala model to a modern world: Macro-context and microfoundations", Journal of International Business Studies, Vol. 48 No. 9, pp. 1151-1164.</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Hanelt, A., Bohnsack, R., Marz, D. and Antunes Marante, C. (2021), "A systematic review of the literature on digital transformation: Insights and implications for strategy and organizational change", Journal of Management Studies, Vol. 58 No. 5, pp. 1159-1197.</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Nambisan, S., Wright, M. and Feldman, M. (2019), "The digital transformation of innovation and entrepreneurship: Progress, challenges and key themes", Research Policy, Vol. 48 No. 8, article 103773.</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Vial, G. (2019), "Understanding digital transformation: A review and a research agenda", Journal of Strategic Information Systems, Vol. 28 No. 2, pp. 118-144.</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p>
      <w:pPr>
        <w:pStyle w:val="BodyText"/>
      </w:pPr>
      <w:r>
        <w:t>Wu, J., Wang, C., Hong, J., Piperopoulos, P. and Zhuo, S. (2016), "Internationalization and innovation performance of emerging market enterprises: The role of host-country institutional development", Journal of World Business, Vol. 51 No. 2, pp. 251-263.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