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6"/>
        </w:rPr>
        <w:t>Response to Reviewer — Round 2</w:t>
      </w:r>
    </w:p>
    <w:p>
      <w:r>
        <w:rPr>
          <w:b w:val="0"/>
          <w:i w:val="0"/>
        </w:rPr>
        <w:t>Manuscript ID: [to be assigned]</w:t>
      </w:r>
    </w:p>
    <w:p>
      <w:r>
        <w:rPr>
          <w:b w:val="0"/>
          <w:i w:val="0"/>
        </w:rPr>
        <w:t>Title: "Revisiting the Internationalisation–Performance Relationship in an Emerging Market: The Roles of Technological Capability and Digital Adoption"</w:t>
      </w:r>
    </w:p>
    <w:p>
      <w:r>
        <w:rPr>
          <w:b w:val="0"/>
          <w:i w:val="0"/>
        </w:rPr>
        <w:t>Journal: International Journal of Emerging Markets (Emerald)</w:t>
      </w:r>
    </w:p>
    <w:p>
      <w:r>
        <w:rPr>
          <w:b w:val="0"/>
          <w:i w:val="0"/>
        </w:rPr>
        <w:t>Submission round: Revised manuscript v5.8 (responding to v5.7 review)</w:t>
      </w:r>
    </w:p>
    <w:p>
      <w:r>
        <w:rPr>
          <w:b w:val="0"/>
          <w:i w:val="0"/>
        </w:rPr>
      </w:r>
    </w:p>
    <w:p>
      <w:r>
        <w:rPr>
          <w:b w:val="0"/>
          <w:i w:val="0"/>
        </w:rPr>
        <w:t>Dear Editor and Reviewer,</w:t>
      </w:r>
    </w:p>
    <w:p>
      <w:r>
        <w:rPr>
          <w:b w:val="0"/>
          <w:i w:val="0"/>
        </w:rPr>
      </w:r>
    </w:p>
    <w:p>
      <w:r>
        <w:rPr>
          <w:b w:val="0"/>
          <w:i w:val="0"/>
        </w:rPr>
        <w:t>We thank the Reviewer for the rigorous round-2 assessment, which engages directly with the methodological core of the paper. The revised manuscript v5.8 implements every actionable recommendation that is feasible within the harmonised World Bank Enterprise Survey (WBES) data scope for Vietnam (waves 2009 / 2015 / 2023). We map the four major weaknesses (W1–W4) and the four actionable recommendations (R1–R4) to the specific revisions below; section references are to v5.8.</w:t>
      </w:r>
    </w:p>
    <w:p>
      <w:r>
        <w:rPr>
          <w:b w:val="0"/>
          <w:i w:val="0"/>
        </w:rPr>
      </w:r>
    </w:p>
    <w:p>
      <w:r>
        <w:rPr>
          <w:b/>
          <w:sz w:val="26"/>
        </w:rPr>
        <w:t>Part A — Major Weaknesses</w:t>
      </w:r>
    </w:p>
    <w:p>
      <w:r>
        <w:rPr>
          <w:b/>
          <w:sz w:val="22"/>
        </w:rPr>
        <w:t>W1. Inverted-U claim conflicts with the zero-inflated FSTS distribution</w:t>
      </w:r>
    </w:p>
    <w:p>
      <w:r>
        <w:rPr>
          <w:b w:val="0"/>
          <w:i/>
        </w:rPr>
        <w:t>Reviewer comment.</w:t>
      </w:r>
    </w:p>
    <w:p>
      <w:pPr>
        <w:ind w:left="567"/>
      </w:pPr>
      <w:r>
        <w:rPr>
          <w:i/>
        </w:rPr>
        <w:t>"Việc khẳng định có 'đường cong chữ U ngược' là gây hiểu lầm (misleading). Thực chất, tác động lên năng suất được thúc đẩy bởi 'biên độ tham gia' (participation margin), chứ không phải do sự đánh đổi chi phí phối hợp ở mức độ cường độ xuất khẩu cao."</w:t>
      </w:r>
    </w:p>
    <w:p>
      <w:r>
        <w:rPr>
          <w:b/>
          <w:i w:val="0"/>
        </w:rPr>
        <w:t>Our response.</w:t>
      </w:r>
    </w:p>
    <w:p>
      <w:r>
        <w:rPr>
          <w:b w:val="0"/>
          <w:i w:val="0"/>
        </w:rPr>
        <w:t>We agree, and have re-framed H1 as a dual-mechanism hypothesis explicitly separating the participation margin from the intensity margin:</w:t>
      </w:r>
    </w:p>
    <w:p>
      <w:r>
        <w:rPr>
          <w:b w:val="0"/>
          <w:i w:val="0"/>
        </w:rPr>
        <w:t>• §2.1 now states H1 as: "The internationalisation–performance relationship in Vietnam is non-monotonic and operates through two distinct margins. (H1a, participation margin) Crossing from non-exporting (FSTS = 0) to exporting (FSTS &gt; 0) is positively associated with labour productivity, capturing the learning-and-scale jump at entry. (H1b, intensity margin) Within the exporter subsample, additional direct-export intensity exhibits diminishing or non-significant marginal returns, reflecting the binding coordination costs that emerge once participation has been crossed."</w:t>
      </w:r>
    </w:p>
    <w:p>
      <w:r>
        <w:rPr>
          <w:b w:val="0"/>
          <w:i w:val="0"/>
        </w:rPr>
        <w:t>• §2.1 also reports the zero-inflation explicitly: non-exporter shares of 71.6 % (2009), 79.3 % (2015), 81.2 % (2023) and pooled 77.4 %, providing the empirical motivation for the dual-margin framing.</w:t>
      </w:r>
    </w:p>
    <w:p>
      <w:r>
        <w:rPr>
          <w:b w:val="0"/>
          <w:i w:val="0"/>
        </w:rPr>
        <w:t>• §4.4 ("Main empirical pattern: participation × intensity") now opens with the honest reading that the full-sample inverted-U is identified primarily through the participation margin: only ~1.0 % of pooled firms sit within ±5 percentage-points of the wave-specific turning points (§4.5 density check), and the bulk of mass lies at FSTS = 0. The exporter-only sub-sample (Panel H) is now explicitly anchored in §4.4 rather than buried in the robustness section: pooled FSTS_c = −0.861 *** but FSTS_c² = −0.200 n.s., M8 joint p = .462 — i.e., H1a (participation margin) is the dominant productivity-relevant margin while H1b (within-exporter intensity curvature) does not survive once participation is netted out. The full-sample inverted-U is retained as the headline empirical regularity but read explicitly through the dual-mechanism lens.</w:t>
      </w:r>
    </w:p>
    <w:p>
      <w:r>
        <w:rPr>
          <w:b w:val="0"/>
          <w:i w:val="0"/>
        </w:rPr>
      </w:r>
    </w:p>
    <w:p>
      <w:r>
        <w:rPr>
          <w:b/>
          <w:sz w:val="22"/>
        </w:rPr>
        <w:t>W2. Endogeneity (reverse causality + omitted-variable bias) not addressed</w:t>
      </w:r>
    </w:p>
    <w:p>
      <w:r>
        <w:rPr>
          <w:b w:val="0"/>
          <w:i/>
        </w:rPr>
        <w:t>Reviewer comment.</w:t>
      </w:r>
    </w:p>
    <w:p>
      <w:pPr>
        <w:ind w:left="567"/>
      </w:pPr>
      <w:r>
        <w:rPr>
          <w:i/>
        </w:rPr>
        <w:t>"Mô hình Heckman không giải quyết được rủi ro quan hệ nhân quả ngược (reverse causality) hay thiên lệch do biến bỏ sót (omitted variable bias) liên quan đến hai biến điều tiết TCI_z và DAI_z."</w:t>
      </w:r>
    </w:p>
    <w:p>
      <w:r>
        <w:rPr>
          <w:b/>
          <w:i w:val="0"/>
        </w:rPr>
        <w:t>Our response.</w:t>
      </w:r>
    </w:p>
    <w:p>
      <w:r>
        <w:rPr>
          <w:b w:val="0"/>
          <w:i w:val="0"/>
        </w:rPr>
        <w:t>Valid. We have added three identification probes that go beyond the Heckman / control-function correction:</w:t>
      </w:r>
    </w:p>
    <w:p>
      <w:r>
        <w:rPr>
          <w:b w:val="0"/>
          <w:i w:val="0"/>
        </w:rPr>
        <w:t>• §4.5 Panel J — Propensity-score matching (PSM). Two binary treatments are matched on lnEmp, FirmAge, ForeignOwned, sector1 and wave fixed effects on the pooled sample, under both 1-NN (caliper 0.05) and Epanechnikov kernel matching (BW 0.06). The website-treatment ATT is 0.298 *** (1-NN) and 0.321 *** (kernel), matched N ≈ 1,085. The cert / foreign-tech-treatment ATT is 0.637 *** (1-NN) and 0.609 *** (kernel), matched N ≈ 640. Both treatments produce sizeable, positive and algorithm-robust ATT estimates. Pre-match standardised mean differences and matched balance are reported in `table_psm_balance.csv`.</w:t>
      </w:r>
    </w:p>
    <w:p>
      <w:r>
        <w:rPr>
          <w:b w:val="0"/>
          <w:i w:val="0"/>
        </w:rPr>
        <w:t>• §4.5 Panel K — Two-stage least squares (2SLS) with leave-one-out industry × region instruments. We instrument DAI_z and TCI_z separately with the leave-one-out average c22b ownership (or average (b8 + e6) / 2 for TCI) within each sector1 × a2 × wave cell. First-stage F-statistics are 34.6 (DAI) and 22.1 (TCI), well above the Staiger–Stock weak-instrument threshold of 10. The 2SLS estimates are honest: instrumented TCI_z = 1.639 *** (SE 0.299) — the TCI direct effect is reinforced under instrumentation; instrumented DAI_z = 0.018 (p = .942) — the OLS-detected DAI direct effect attenuates to a null under instrumentation. We do not hide this attenuation; instead, §5.2 interprets it as evidence that website-based digital presence is more sensitive to selection-on-observables than is foreign-technology / standards capability.</w:t>
      </w:r>
    </w:p>
    <w:p>
      <w:r>
        <w:rPr>
          <w:b w:val="0"/>
          <w:i w:val="0"/>
        </w:rPr>
        <w:t>• §4.5 Oster (2019) δ-stability bounds. Under the canonical R²max = min(1, 1.3 × R²controlled) and δ = 1 (selection-on-unobservables = selection-on-observables), the implied focal coefficients are 0.615 (FSTS_c), −1.174 (FSTS_c²), 0.194 (TCI_z) and 0.080 (DAI_z). None of the four implied coefficients changes sign or collapses to zero, so plausible selection on unobservables would have to be substantially larger than selection on observables to overturn the focal qualitative findings.</w:t>
      </w:r>
    </w:p>
    <w:p>
      <w:r>
        <w:rPr>
          <w:b w:val="0"/>
          <w:i w:val="0"/>
        </w:rPr>
        <w:t>• Language calibration: throughout §1, §3, §4 and §5 we have kept the associational framing of the OLS evidence and reserved stronger causal claims for the PSM / 2SLS panels, with each panel interpreted under its own identification assumption.</w:t>
      </w:r>
    </w:p>
    <w:p>
      <w:r>
        <w:rPr>
          <w:b w:val="0"/>
          <w:i w:val="0"/>
        </w:rPr>
      </w:r>
    </w:p>
    <w:p>
      <w:r>
        <w:rPr>
          <w:b/>
          <w:sz w:val="22"/>
        </w:rPr>
        <w:t>W3. DAI_z proxy obsolescence (website is "table stakes" by 2023)</w:t>
      </w:r>
    </w:p>
    <w:p>
      <w:r>
        <w:rPr>
          <w:b w:val="0"/>
          <w:i/>
        </w:rPr>
        <w:t>Reviewer comment.</w:t>
      </w:r>
    </w:p>
    <w:p>
      <w:pPr>
        <w:ind w:left="567"/>
      </w:pPr>
      <w:r>
        <w:rPr>
          <w:i/>
        </w:rPr>
        <w:t>"Việc dùng một biến đã có dấu hiệu 'lỗi thời' (như tác giả tự nhận ở phần 5.2.1) để làm trọng tâm đo lường sự điều tiết trong nền kinh tế số hiện nay là thiếu thuyết phục đối với IB scholars."</w:t>
      </w:r>
    </w:p>
    <w:p>
      <w:r>
        <w:rPr>
          <w:b/>
          <w:i w:val="0"/>
        </w:rPr>
        <w:t>Our response.</w:t>
      </w:r>
    </w:p>
    <w:p>
      <w:r>
        <w:rPr>
          <w:b w:val="0"/>
          <w:i w:val="0"/>
        </w:rPr>
        <w:t>Valid. We have promoted the DAI_rich evidence from Panel B into the §5.2 Discussion as a substantive defence against the proxy-obsolescence reading:</w:t>
      </w:r>
    </w:p>
    <w:p>
      <w:r>
        <w:rPr>
          <w:b w:val="0"/>
          <w:i w:val="0"/>
        </w:rPr>
        <w:t>• §5.2 now reports that the DAI_rich extension available in 2023 (combining c22b with electronic-payment shares k33 and k38) produces a directionally identical and marginally significant moderation pattern (FSTS_c × DAI_rich_cont_z = −0.93, M8 joint p = .099). Whether digital adoption is measured by the thin Tier-1 website indicator or by the deeper Tier-2 / 3 transaction items, the 2023 moderation pattern goes in the same direction. This common-direction evidence guards against the proxy-obsolescence reading: even under a richer measurement that is harder to dismiss as a routine marker, the within-2023 moderation is consistent with the headline finding.</w:t>
      </w:r>
    </w:p>
    <w:p>
      <w:r>
        <w:rPr>
          <w:b w:val="0"/>
          <w:i w:val="0"/>
        </w:rPr>
        <w:t>• §5.2.1 ("An alternative reading: proxy obsolescence") is retained as an honest disclosure but is now positioned as one of two complementary readings, not as a stand-alone weakening of the construct.</w:t>
      </w:r>
    </w:p>
    <w:p>
      <w:r>
        <w:rPr>
          <w:b w:val="0"/>
          <w:i w:val="0"/>
        </w:rPr>
      </w:r>
    </w:p>
    <w:p>
      <w:r>
        <w:rPr>
          <w:b/>
          <w:sz w:val="22"/>
        </w:rPr>
        <w:t>W4. Stage-contingency framing is post-hoc and lacks macro evidence</w:t>
      </w:r>
    </w:p>
    <w:p>
      <w:r>
        <w:rPr>
          <w:b w:val="0"/>
          <w:i/>
        </w:rPr>
        <w:t>Reviewer comment.</w:t>
      </w:r>
    </w:p>
    <w:p>
      <w:pPr>
        <w:ind w:left="567"/>
      </w:pPr>
      <w:r>
        <w:rPr>
          <w:i/>
        </w:rPr>
        <w:t>"Cách lý giải này không đi kèm với các kiểm định vĩ mô trực tiếp trong mô hình mà chỉ dựa vào phỏng đoán về bối cảnh… Điều này khiến lập luận H4 trở nên thiếu tính quy nạp chặt chẽ."</w:t>
      </w:r>
    </w:p>
    <w:p>
      <w:r>
        <w:rPr>
          <w:b/>
          <w:i w:val="0"/>
        </w:rPr>
        <w:t>Our response.</w:t>
      </w:r>
    </w:p>
    <w:p>
      <w:r>
        <w:rPr>
          <w:b w:val="0"/>
          <w:i w:val="0"/>
        </w:rPr>
        <w:t>Valid. We have soft-framed H4 as an emerging pattern (already in v5.7) and added a macro-context paragraph in §5.3 that anchors the 2015 dip institutionally rather than purely post-hoc:</w:t>
      </w:r>
    </w:p>
    <w:p>
      <w:r>
        <w:rPr>
          <w:b w:val="0"/>
          <w:i w:val="0"/>
        </w:rPr>
        <w:t>• H4 is framed as exploratory: "H4 (exploratory). The performance relevance of website-based digital presence (DAI_z) in Vietnam varies across stages of internationalisation; we treat the within-wave moderation as exploratory and concentrate the test on 2023, where the post-NDTP environment plausibly enables a moderation channel."</w:t>
      </w:r>
    </w:p>
    <w:p>
      <w:r>
        <w:rPr>
          <w:b w:val="0"/>
          <w:i w:val="0"/>
        </w:rPr>
        <w:t>• §4.5 Panel I (formal pooled wave × focal interaction test) confirms that only the DAI direct shifts are cross-wave-distinguishable; the FSTS curvature and the FSTS × DAI moderation cross-wave differences are not statistically separable.</w:t>
      </w:r>
    </w:p>
    <w:p>
      <w:r>
        <w:rPr>
          <w:b w:val="0"/>
          <w:i w:val="0"/>
        </w:rPr>
        <w:t>• §5.3 now adds public secondary indicators that make the 2015 dip institutionally plausible: World Bank WDI individuals-using-the-Internet share rose from ~26 % (2009) to ~45 % (2015) to &gt;78 % (2023); ITU fixed-broadband subscriptions per 100 people from ~3 (2009) to ~8 (2015) to &gt;20 (2023); Vietnam's National Digital Transformation Programme issued in 2020; cross-border e-payment platforms (VNPAY, MoMo, ZaloPay) and B2B exporter marketplaces reaching scale only after 2018–2019. We do not enter these as identifying variation — they are not in the regression — but they make the wave-specific reading institutionally plausible rather than purely post-hoc.</w:t>
      </w:r>
    </w:p>
    <w:p>
      <w:r>
        <w:rPr>
          <w:b w:val="0"/>
          <w:i w:val="0"/>
        </w:rPr>
      </w:r>
    </w:p>
    <w:p>
      <w:r>
        <w:rPr>
          <w:b/>
          <w:sz w:val="26"/>
        </w:rPr>
        <w:t>Part B — Actionable Recommendations</w:t>
      </w:r>
    </w:p>
    <w:p>
      <w:r>
        <w:rPr>
          <w:b/>
          <w:sz w:val="22"/>
        </w:rPr>
        <w:t>R1. Re-frame H1: participation × intensity (covered under W1)</w:t>
      </w:r>
    </w:p>
    <w:p>
      <w:r>
        <w:rPr>
          <w:b w:val="0"/>
          <w:i w:val="0"/>
        </w:rPr>
        <w:t>Implemented in §2.1, §4.4 and §5.1. See response to W1 above.</w:t>
      </w:r>
    </w:p>
    <w:p>
      <w:r>
        <w:rPr>
          <w:b w:val="0"/>
          <w:i w:val="0"/>
        </w:rPr>
      </w:r>
    </w:p>
    <w:p>
      <w:r>
        <w:rPr>
          <w:b/>
          <w:sz w:val="22"/>
        </w:rPr>
        <w:t>R2. Endogeneity robustness — PSM, IV / 2SLS, Oster bounds</w:t>
      </w:r>
    </w:p>
    <w:p>
      <w:r>
        <w:rPr>
          <w:b w:val="0"/>
          <w:i w:val="0"/>
        </w:rPr>
        <w:t>Implemented in §4.5 Panel J (PSM), §4.5 Panel K (IV / 2SLS) and §4.5 Oster bounds. See response to W2 above.</w:t>
      </w:r>
    </w:p>
    <w:p>
      <w:r>
        <w:rPr>
          <w:b w:val="0"/>
          <w:i w:val="0"/>
        </w:rPr>
        <w:t>New artefacts:</w:t>
      </w:r>
    </w:p>
    <w:p>
      <w:r>
        <w:rPr>
          <w:b w:val="0"/>
          <w:i w:val="0"/>
        </w:rPr>
        <w:t>• `table_3_robustness.csv` — Panel J and Panel K rows added</w:t>
      </w:r>
    </w:p>
    <w:p>
      <w:r>
        <w:rPr>
          <w:b w:val="0"/>
          <w:i w:val="0"/>
        </w:rPr>
        <w:t>• `table_psm_balance.csv` — covariate balance for the PSM panel</w:t>
      </w:r>
    </w:p>
    <w:p>
      <w:r>
        <w:rPr>
          <w:b w:val="0"/>
          <w:i w:val="0"/>
        </w:rPr>
        <w:t>• `table_oster_bounds.csv` — δ = 1 implied β under R²max = 1.3 × R²con</w:t>
      </w:r>
    </w:p>
    <w:p>
      <w:r>
        <w:rPr>
          <w:b w:val="0"/>
          <w:i w:val="0"/>
        </w:rPr>
      </w:r>
    </w:p>
    <w:p>
      <w:r>
        <w:rPr>
          <w:b/>
          <w:sz w:val="22"/>
        </w:rPr>
        <w:t>R3. Promote DAI_rich into the Discussion</w:t>
      </w:r>
    </w:p>
    <w:p>
      <w:r>
        <w:rPr>
          <w:b w:val="0"/>
          <w:i w:val="0"/>
        </w:rPr>
        <w:t>Implemented in §5.2 (covered under W3). The DAI_rich common-direction evidence is now part of the substantive narrative, not only a robustness panel.</w:t>
      </w:r>
    </w:p>
    <w:p>
      <w:r>
        <w:rPr>
          <w:b w:val="0"/>
          <w:i w:val="0"/>
        </w:rPr>
      </w:r>
    </w:p>
    <w:p>
      <w:r>
        <w:rPr>
          <w:b/>
          <w:sz w:val="22"/>
        </w:rPr>
        <w:t>R4. Soften stage-contingency + add macro context for the 2015 dip</w:t>
      </w:r>
    </w:p>
    <w:p>
      <w:r>
        <w:rPr>
          <w:b w:val="0"/>
          <w:i w:val="0"/>
        </w:rPr>
        <w:t>Implemented in §5.3 (covered under W4). The macro-indicator paragraph is reported as descriptive context, not as identifying variation.</w:t>
      </w:r>
    </w:p>
    <w:p>
      <w:r>
        <w:rPr>
          <w:b w:val="0"/>
          <w:i w:val="0"/>
        </w:rPr>
      </w:r>
    </w:p>
    <w:p>
      <w:r>
        <w:rPr>
          <w:b/>
          <w:sz w:val="26"/>
        </w:rPr>
        <w:t>Summary of new artefacts in v5.8</w:t>
      </w:r>
    </w:p>
    <w:p>
      <w:r>
        <w:rPr>
          <w:b w:val="0"/>
          <w:i w:val="0"/>
        </w:rPr>
        <w:t>• §2.1 H1 reformulated as dual-mechanism (H1a participation + H1b intensity)</w:t>
      </w:r>
    </w:p>
    <w:p>
      <w:r>
        <w:rPr>
          <w:b w:val="0"/>
          <w:i w:val="0"/>
        </w:rPr>
        <w:t>• §4.4 retitled "Main empirical pattern: participation × intensity" — Panel H (exporter-only) elevated into the main results narrative</w:t>
      </w:r>
    </w:p>
    <w:p>
      <w:r>
        <w:rPr>
          <w:b w:val="0"/>
          <w:i w:val="0"/>
        </w:rPr>
        <w:t>• §4.5 Panel J — PSM ATT for website and cert/foreign-tech treatments (1-NN + kernel matching, both p &lt; .001)</w:t>
      </w:r>
    </w:p>
    <w:p>
      <w:r>
        <w:rPr>
          <w:b w:val="0"/>
          <w:i w:val="0"/>
        </w:rPr>
        <w:t>• §4.5 Panel K — IV / 2SLS with leave-one-out industry × region instruments (first-stage F = 34.6 / 22.1; instrumented TCI_z = 1.64 ***, instrumented DAI_z = 0.02 n.s.)</w:t>
      </w:r>
    </w:p>
    <w:p>
      <w:r>
        <w:rPr>
          <w:b w:val="0"/>
          <w:i w:val="0"/>
        </w:rPr>
        <w:t>• §4.5 Oster (2019) δ = 1 stability bounds — no sign change for any of the four focal coefficients</w:t>
      </w:r>
    </w:p>
    <w:p>
      <w:r>
        <w:rPr>
          <w:b w:val="0"/>
          <w:i w:val="0"/>
        </w:rPr>
        <w:t>• §5.2 — DAI_rich evidence promoted into substantive Discussion as a defence against the proxy-obsolescence reading</w:t>
      </w:r>
    </w:p>
    <w:p>
      <w:r>
        <w:rPr>
          <w:b w:val="0"/>
          <w:i w:val="0"/>
        </w:rPr>
        <w:t>• §5.3 — macro-context paragraph (WDI internet penetration, ITU broadband, Vietnam NDTP 2020, e-payment platforms) makes the 2015 dip institutionally plausible</w:t>
      </w:r>
    </w:p>
    <w:p>
      <w:r>
        <w:rPr>
          <w:b w:val="0"/>
          <w:i w:val="0"/>
        </w:rPr>
      </w:r>
    </w:p>
    <w:p>
      <w:r>
        <w:rPr>
          <w:b w:val="0"/>
          <w:i w:val="0"/>
        </w:rPr>
        <w:t>We thank the Reviewer once again for the substantive engagement. We believe v5.8 substantively addresses every actionable comment within the WBES data scope and is ready for re-evaluation.</w:t>
      </w:r>
    </w:p>
    <w:p>
      <w:r>
        <w:rPr>
          <w:b w:val="0"/>
          <w:i w:val="0"/>
        </w:rPr>
      </w:r>
    </w:p>
    <w:p>
      <w:r>
        <w:rPr>
          <w:b w:val="0"/>
          <w:i w:val="0"/>
        </w:rPr>
        <w:t>Sincerely,</w:t>
      </w:r>
    </w:p>
    <w:p>
      <w:r>
        <w:rPr>
          <w:b w:val="0"/>
          <w:i w:val="0"/>
        </w:rPr>
        <w:t>Do Thuy Huong (Author)</w:t>
      </w:r>
    </w:p>
    <w:p>
      <w:r>
        <w:rPr>
          <w:b w:val="0"/>
          <w:i w:val="0"/>
        </w:rPr>
        <w:t>Phan Anh Tu (Corresponding author)</w:t>
      </w:r>
    </w:p>
    <w:p>
      <w:r>
        <w:rPr>
          <w:b w:val="0"/>
          <w:i w:val="0"/>
        </w:rPr>
        <w:t>Can Tho University, Vietnam</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