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X59214c1059dc6e4cdb8535989c20119096aff4a"/>
    <w:p>
      <w:pPr>
        <w:pStyle w:val="Heading1"/>
      </w:pPr>
      <w:r>
        <w:t xml:space="preserve">The Pre-AI Digital Divide and Firm Productivity across Asia's Institutional Regimes: Firm-Level Evidence from 50 Economies</w:t>
      </w:r>
    </w:p>
    <w:p>
      <w:pPr>
        <w:pStyle w:val="FirstParagraph"/>
      </w:pPr>
      <w:r>
        <w:rPr>
          <w:bCs/>
          <w:b/>
        </w:rPr>
        <w:t xml:space="preserve">Đỗ Thùy Hương</w:t>
      </w:r>
      <w:r>
        <w:t xml:space="preserve">¹ ²</w:t>
      </w:r>
      <w:r>
        <w:br/>
      </w:r>
      <w:r>
        <w:rPr>
          <w:bCs/>
          <w:b/>
        </w:rPr>
        <w:t xml:space="preserve">Phan Anh Tú</w:t>
      </w:r>
      <w:r>
        <w:t xml:space="preserve">²</w:t>
      </w:r>
    </w:p>
    <w:p>
      <w:pPr>
        <w:pStyle w:val="BodyText"/>
      </w:pPr>
      <w:r>
        <w:t xml:space="preserve">¹ Vinh Long University of Technology Education (VLUTE), Vinh Long, Viet Nam</w:t>
      </w:r>
      <w:r>
        <w:t xml:space="preserve"> </w:t>
      </w:r>
      <w:r>
        <w:t xml:space="preserve">² School of Economics, Can Tho University (CTU), Can Tho, Viet Nam</w:t>
      </w:r>
    </w:p>
    <w:p>
      <w:pPr>
        <w:pStyle w:val="BodyText"/>
      </w:pPr>
      <w:r>
        <w:rPr>
          <w:bCs/>
          <w:b/>
        </w:rPr>
        <w:t xml:space="preserve">Corresponding author:</w:t>
      </w:r>
      <w:r>
        <w:t xml:space="preserve"> </w:t>
      </w:r>
      <w:r>
        <w:t xml:space="preserve">Đỗ Thùy Hương —</w:t>
      </w:r>
      <w:r>
        <w:t xml:space="preserve"> </w:t>
      </w:r>
      <w:hyperlink r:id="rId20">
        <w:r>
          <w:rPr>
            <w:rStyle w:val="Hyperlink"/>
          </w:rPr>
          <w:t xml:space="preserve">huongdt@vlute.edu.vn</w:t>
        </w:r>
      </w:hyperlink>
      <w:r>
        <w:t xml:space="preserve"> </w:t>
      </w:r>
      <w:r>
        <w:t xml:space="preserve">— ORCID 0000-0002-7711-2487</w:t>
      </w:r>
      <w:r>
        <w:t xml:space="preserve"> </w:t>
      </w:r>
      <w:r>
        <w:rPr>
          <w:bCs/>
          <w:b/>
        </w:rPr>
        <w:t xml:space="preserve">Co-author:</w:t>
      </w:r>
      <w:r>
        <w:t xml:space="preserve"> </w:t>
      </w:r>
      <w:r>
        <w:t xml:space="preserve">Phan Anh Tú —</w:t>
      </w:r>
      <w:r>
        <w:t xml:space="preserve"> </w:t>
      </w:r>
      <w:hyperlink r:id="rId21">
        <w:r>
          <w:rPr>
            <w:rStyle w:val="Hyperlink"/>
          </w:rPr>
          <w:t xml:space="preserve">patu@ctu.edu.vn</w:t>
        </w:r>
      </w:hyperlink>
      <w:r>
        <w:t xml:space="preserve"> </w:t>
      </w:r>
      <w:r>
        <w:t xml:space="preserve">— ORCID 0000-0003-0667-3137</w:t>
      </w:r>
    </w:p>
    <w:p>
      <w:pPr>
        <w:pStyle w:val="BodyText"/>
      </w:pPr>
      <w:r>
        <w:rPr>
          <w:bCs/>
          <w:b/>
        </w:rPr>
        <w:t xml:space="preserve">Target:</w:t>
      </w:r>
      <w:r>
        <w:t xml:space="preserve"> </w:t>
      </w:r>
      <w:r>
        <w:rPr>
          <w:iCs/>
          <w:i/>
        </w:rPr>
        <w:t xml:space="preserve">Journal of Economics and Development</w:t>
      </w:r>
      <w:r>
        <w:t xml:space="preserve"> </w:t>
      </w:r>
      <w:r>
        <w:t xml:space="preserve">— Special Issue "Sustainable Growth and Welfare in the Age of Artificial Intelligence" (Emerald; Scopus/ESCI/DOAJ/ABDC; diamond open access, no APC; submission window 1 June – 31 October 2026).</w:t>
      </w:r>
    </w:p>
    <w:p>
      <w:pPr>
        <w:pStyle w:val="BodyText"/>
      </w:pPr>
      <w:r>
        <w:rPr>
          <w:bCs/>
          <w:b/>
        </w:rPr>
        <w:t xml:space="preserve">Acknowledgements:</w:t>
      </w:r>
      <w:r>
        <w:t xml:space="preserve"> </w:t>
      </w:r>
      <w:r>
        <w:t xml:space="preserve">This study draws on the corresponding author's doctoral dissertation programme at Can Tho University. World Bank Enterprise Survey micro-data are used under the programme's research licence.</w:t>
      </w:r>
    </w:p>
    <w:p>
      <w:pPr>
        <w:pStyle w:val="BodyText"/>
      </w:pPr>
      <w:r>
        <w:rPr>
          <w:bCs/>
          <w:b/>
        </w:rPr>
        <w:t xml:space="preserve">Funding:</w:t>
      </w:r>
      <w:r>
        <w:t xml:space="preserve"> </w:t>
      </w:r>
      <w:r>
        <w:t xml:space="preserve">No external funding.</w:t>
      </w:r>
      <w:r>
        <w:t xml:space="preserve"> </w:t>
      </w:r>
      <w:r>
        <w:rPr>
          <w:bCs/>
          <w:b/>
        </w:rPr>
        <w:t xml:space="preserve">Conflicts of interest:</w:t>
      </w:r>
      <w:r>
        <w:t xml:space="preserve"> </w:t>
      </w:r>
      <w:r>
        <w:t xml:space="preserve">none declared.</w:t>
      </w:r>
      <w:r>
        <w:t xml:space="preserve"> </w:t>
      </w:r>
      <w:r>
        <w:rPr>
          <w:bCs/>
          <w:b/>
        </w:rPr>
        <w:t xml:space="preserve">Data and code availability:</w:t>
      </w:r>
      <w:r>
        <w:t xml:space="preserve"> </w:t>
      </w:r>
      <w:r>
        <w:t xml:space="preserve">WBES micro-data are available from the World Bank Enterprise Surveys portal upon registration; the full replication scripts (digital-divide estimation, robustness battery, and the GNI income-axis merge) accompany the submission under</w:t>
      </w:r>
      <w:r>
        <w:t xml:space="preserve"> </w:t>
      </w:r>
      <w:r>
        <w:rPr>
          <w:rStyle w:val="VerbatimChar"/>
        </w:rPr>
        <w:t xml:space="preserve">jed_ai_digital/replication/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AI-use disclosure:</w:t>
      </w:r>
      <w:r>
        <w:t xml:space="preserve"> </w:t>
      </w:r>
      <w:r>
        <w:t xml:space="preserve">Generative-AI tools were used to assist with drafting, code refactoring, and language editing. All research design, variable construction, model specification, estimation, interpretation, and final scientific decisions are the authors'; the authors take full responsibility for the content. All reported quantitative results are reproducible from the accompanying scripts.</w:t>
      </w:r>
    </w:p>
    <w:bookmarkEnd w:id="22"/>
    <w:sectPr>
      <w:pgSz w:h="16838" w:w="11906"/>
      <w:pgMar w:bottom="1417" w:left="1417" w:right="1417" w:top="141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276" w:lineRule="auto"/>
      <w:jc w:val="both"/>
    </w:pPr>
    <w:rPr>
      <w:rFonts w:ascii="Times New Roman" w:eastAsia="Times New Roman" w:hAnsi="Times New Roman"/>
      <w:color w:val="000000"/>
      <w:sz w:val="24"/>
    </w:rPr>
  </w:style>
  <w:style w:styleId="BodyText" w:type="paragraph">
    <w:name w:val="Body Text"/>
    <w:basedOn w:val="Normal"/>
    <w:link w:val="BodyTextChar"/>
    <w:pPr>
      <w:spacing w:after="180" w:before="180" w:line="276" w:lineRule="auto"/>
      <w:jc w:val="both"/>
    </w:pPr>
    <w:qFormat/>
    <w:rPr>
      <w:rFonts w:ascii="Times New Roman" w:eastAsia="Times New Roman" w:hAnsi="Times New Roman"/>
      <w:color w:val="000000"/>
      <w:sz w:val="24"/>
    </w:rPr>
  </w:style>
  <w:style w:customStyle="1" w:styleId="FirstParagraph" w:type="paragraph">
    <w:name w:val="First Paragraph"/>
    <w:basedOn w:val="BodyText"/>
    <w:next w:val="BodyText"/>
    <w:qFormat/>
    <w:pPr>
      <w:spacing w:line="276" w:lineRule="auto"/>
      <w:jc w:val="both"/>
    </w:pPr>
    <w:rPr>
      <w:rFonts w:ascii="Times New Roman" w:eastAsia="Times New Roman" w:hAnsi="Times New Roman"/>
      <w:color w:val="000000"/>
      <w:sz w:val="24"/>
    </w:rPr>
  </w:style>
  <w:style w:customStyle="1" w:styleId="Compact" w:type="paragraph">
    <w:name w:val="Compact"/>
    <w:basedOn w:val="BodyText"/>
    <w:qFormat/>
    <w:pPr>
      <w:spacing w:after="36" w:before="36" w:line="276" w:lineRule="auto"/>
      <w:jc w:val="both"/>
    </w:pPr>
    <w:rPr>
      <w:rFonts w:ascii="Times New Roman" w:eastAsia="Times New Roman" w:hAnsi="Times New Roman"/>
      <w:color w:val="000000"/>
      <w:sz w:val="24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 w:line="276" w:lineRule="auto"/>
      <w:jc w:val="both"/>
    </w:pPr>
    <w:rPr>
      <w:rFonts w:ascii="Times New Roman" w:asciiTheme="majorHAnsi" w:cstheme="majorBidi" w:eastAsia="Times New Roman" w:eastAsiaTheme="majorEastAsia" w:hAnsi="Times New Roman" w:hAnsiTheme="majorHAnsi"/>
      <w:b/>
      <w:bCs/>
      <w:color w:val="000000"/>
      <w:sz w:val="24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 w:line="276" w:lineRule="auto"/>
      <w:jc w:val="both"/>
    </w:pPr>
    <w:rPr>
      <w:rFonts w:ascii="Times New Roman" w:eastAsia="Times New Roman" w:hAnsi="Times New Roman"/>
      <w:color w:val="000000"/>
      <w:sz w:val="24"/>
      <w:szCs w:val="30"/>
    </w:rPr>
  </w:style>
  <w:style w:customStyle="1" w:styleId="Author" w:type="paragraph">
    <w:name w:val="Author"/>
    <w:next w:val="BodyText"/>
    <w:qFormat/>
    <w:pPr>
      <w:keepNext/>
      <w:keepLines/>
      <w:spacing w:line="276" w:lineRule="auto"/>
      <w:jc w:val="both"/>
    </w:pPr>
    <w:rPr>
      <w:rFonts w:ascii="Times New Roman" w:eastAsia="Times New Roman" w:hAnsi="Times New Roman"/>
      <w:color w:val="000000"/>
      <w:sz w:val="24"/>
    </w:rPr>
  </w:style>
  <w:style w:styleId="Date" w:type="paragraph">
    <w:name w:val="Date"/>
    <w:next w:val="BodyText"/>
    <w:qFormat/>
    <w:pPr>
      <w:keepNext/>
      <w:keepLines/>
      <w:spacing w:line="276" w:lineRule="auto"/>
      <w:jc w:val="both"/>
    </w:pPr>
    <w:rPr>
      <w:rFonts w:ascii="Times New Roman" w:eastAsia="Times New Roman" w:hAnsi="Times New Roman"/>
      <w:color w:val="000000"/>
      <w:sz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both"/>
      <w:spacing w:after="0" w:before="300" w:line="276" w:lineRule="auto"/>
    </w:pPr>
    <w:rPr>
      <w:color w:val="000000"/>
      <w:sz w:val="24"/>
      <w:szCs w:val="20"/>
      <w:rFonts w:ascii="Times New Roman" w:eastAsia="Times New Roman" w:hAnsi="Times New Roman"/>
      <w:b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 w:line="276" w:lineRule="auto"/>
      <w:jc w:val="both"/>
    </w:pPr>
    <w:rPr>
      <w:rFonts w:ascii="Times New Roman" w:eastAsia="Times New Roman" w:hAnsi="Times New Roman"/>
      <w:color w:val="000000"/>
      <w:sz w:val="24"/>
      <w:szCs w:val="20"/>
    </w:rPr>
  </w:style>
  <w:style w:styleId="Bibliography" w:type="paragraph">
    <w:name w:val="Bibliography"/>
    <w:basedOn w:val="Normal"/>
    <w:next w:val="Bibliography"/>
    <w:qFormat/>
    <w:pPr>
      <w:spacing w:line="276" w:lineRule="auto"/>
      <w:jc w:val="both"/>
    </w:pPr>
    <w:rPr>
      <w:rFonts w:ascii="Times New Roman" w:eastAsia="Times New Roman" w:hAnsi="Times New Roman"/>
      <w:color w:val="000000"/>
      <w:sz w:val="24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 w:line="276" w:lineRule="auto"/>
      <w:jc w:val="both"/>
      <w:outlineLvl w:val="0"/>
    </w:pPr>
    <w:rPr>
      <w:rFonts w:ascii="Times New Roman" w:asciiTheme="majorHAnsi" w:cstheme="majorBidi" w:eastAsia="Times New Roman" w:eastAsiaTheme="majorEastAsia" w:hAnsi="Times New Roman" w:hAnsiTheme="majorHAnsi"/>
      <w:b/>
      <w:bCs/>
      <w:color w:val="000000"/>
      <w:sz w:val="24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 w:line="276" w:lineRule="auto"/>
      <w:jc w:val="both"/>
      <w:outlineLvl w:val="1"/>
    </w:pPr>
    <w:rPr>
      <w:rFonts w:ascii="Times New Roman" w:asciiTheme="majorHAnsi" w:cstheme="majorBidi" w:eastAsia="Times New Roman" w:eastAsiaTheme="majorEastAsia" w:hAnsi="Times New Roman" w:hAnsiTheme="majorHAnsi"/>
      <w:b/>
      <w:bCs/>
      <w:color w:val="000000"/>
      <w:sz w:val="24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 w:line="276" w:lineRule="auto"/>
      <w:jc w:val="both"/>
      <w:outlineLvl w:val="2"/>
    </w:pPr>
    <w:rPr>
      <w:rFonts w:ascii="Times New Roman" w:asciiTheme="majorHAnsi" w:cstheme="majorBidi" w:eastAsia="Times New Roman" w:eastAsiaTheme="majorEastAsia" w:hAnsi="Times New Roman" w:hAnsiTheme="majorHAnsi"/>
      <w:b/>
      <w:bCs/>
      <w:color w:val="000000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 w:line="276" w:lineRule="auto"/>
      <w:jc w:val="both"/>
      <w:outlineLvl w:val="3"/>
    </w:pPr>
    <w:rPr>
      <w:rFonts w:ascii="Times New Roman" w:asciiTheme="majorHAnsi" w:cstheme="majorBidi" w:eastAsia="Times New Roman" w:eastAsiaTheme="majorEastAsia" w:hAnsi="Times New Roman" w:hAnsiTheme="majorHAnsi"/>
      <w:i/>
      <w:bCs/>
      <w:color w:val="000000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 w:line="276" w:lineRule="auto"/>
      <w:jc w:val="both"/>
      <w:outlineLvl w:val="4"/>
    </w:pPr>
    <w:rPr>
      <w:rFonts w:ascii="Times New Roman" w:asciiTheme="majorHAnsi" w:cstheme="majorBidi" w:eastAsia="Times New Roman" w:eastAsiaTheme="majorEastAsia" w:hAnsi="Times New Roman" w:hAnsiTheme="majorHAnsi"/>
      <w:iCs/>
      <w:color w:val="000000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 w:line="276" w:lineRule="auto"/>
      <w:jc w:val="both"/>
      <w:outlineLvl w:val="5"/>
    </w:pPr>
    <w:rPr>
      <w:rFonts w:ascii="Times New Roman" w:asciiTheme="majorHAnsi" w:cstheme="majorBidi" w:eastAsia="Times New Roman" w:eastAsiaTheme="majorEastAsia" w:hAnsi="Times New Roman" w:hAnsiTheme="majorHAnsi"/>
      <w:color w:val="000000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 w:line="276" w:lineRule="auto"/>
      <w:jc w:val="both"/>
      <w:outlineLvl w:val="6"/>
    </w:pPr>
    <w:rPr>
      <w:rFonts w:ascii="Times New Roman" w:asciiTheme="majorHAnsi" w:cstheme="majorBidi" w:eastAsia="Times New Roman" w:eastAsiaTheme="majorEastAsia" w:hAnsi="Times New Roman" w:hAnsiTheme="majorHAnsi"/>
      <w:color w:val="000000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 w:line="276" w:lineRule="auto"/>
      <w:jc w:val="both"/>
      <w:outlineLvl w:val="7"/>
    </w:pPr>
    <w:rPr>
      <w:rFonts w:ascii="Times New Roman" w:asciiTheme="majorHAnsi" w:cstheme="majorBidi" w:eastAsia="Times New Roman" w:eastAsiaTheme="majorEastAsia" w:hAnsi="Times New Roman" w:hAnsiTheme="majorHAnsi"/>
      <w:color w:val="000000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 w:line="276" w:lineRule="auto"/>
      <w:jc w:val="both"/>
      <w:outlineLvl w:val="8"/>
    </w:pPr>
    <w:rPr>
      <w:rFonts w:ascii="Times New Roman" w:asciiTheme="majorHAnsi" w:cstheme="majorBidi" w:eastAsia="Times New Roman" w:eastAsiaTheme="majorEastAsia" w:hAnsi="Times New Roman" w:hAnsiTheme="majorHAnsi"/>
      <w:color w:val="000000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 w:line="276" w:lineRule="auto"/>
      <w:ind w:firstLine="0" w:left="480" w:right="480"/>
      <w:jc w:val="both"/>
    </w:pPr>
    <w:rPr>
      <w:rFonts w:ascii="Times New Roman" w:eastAsia="Times New Roman" w:hAnsi="Times New Roman"/>
      <w:color w:val="000000"/>
      <w:sz w:val="24"/>
    </w:rPr>
  </w:style>
  <w:style w:styleId="FootnoteText" w:type="paragraph">
    <w:name w:val="Footnote Text"/>
    <w:basedOn w:val="Normal"/>
    <w:next w:val="FootnoteText"/>
    <w:uiPriority w:val="9"/>
    <w:unhideWhenUsed/>
    <w:qFormat/>
    <w:pPr>
      <w:spacing w:line="276" w:lineRule="auto"/>
      <w:jc w:val="both"/>
    </w:pPr>
    <w:rPr>
      <w:rFonts w:ascii="Times New Roman" w:eastAsia="Times New Roman" w:hAnsi="Times New Roman"/>
      <w:color w:val="000000"/>
      <w:sz w:val="24"/>
    </w:rPr>
  </w:style>
  <w:style w:default="1" w:styleId="DefaultParagraphFont" w:type="character">
    <w:name w:val="Default Paragraph Font"/>
    <w:semiHidden/>
    <w:unhideWhenUsed/>
    <w:rPr>
      <w:rFonts w:ascii="Times New Roman" w:eastAsia="Times New Roman" w:hAnsi="Times New Roman"/>
      <w:color w:val="000000"/>
      <w:sz w:val="24"/>
    </w:rPr>
  </w:style>
  <w:style w:default="1" w:styleId="Table" w:type="table">
    <w:name w:val="Table"/>
    <w:basedOn w:val="TableNormal"/>
    <w:semiHidden/>
    <w:unhideWhenUsed/>
    <w:qFormat/>
    <w:pPr>
      <w:spacing w:line="276" w:lineRule="auto"/>
      <w:jc w:val="both"/>
    </w:pPr>
    <w:rPr>
      <w:rFonts w:ascii="Times New Roman" w:eastAsia="Times New Roman" w:hAnsi="Times New Roman"/>
      <w:color w:val="000000"/>
      <w:sz w:val="24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 w:line="276" w:lineRule="auto"/>
      <w:jc w:val="both"/>
    </w:pPr>
    <w:rPr>
      <w:rFonts w:ascii="Times New Roman" w:eastAsia="Times New Roman" w:hAnsi="Times New Roman"/>
      <w:b/>
      <w:color w:val="000000"/>
      <w:sz w:val="24"/>
    </w:rPr>
  </w:style>
  <w:style w:customStyle="1" w:styleId="Definition" w:type="paragraph">
    <w:name w:val="Definition"/>
    <w:basedOn w:val="Normal"/>
    <w:pPr>
      <w:spacing w:line="276" w:lineRule="auto"/>
      <w:jc w:val="both"/>
    </w:pPr>
    <w:rPr>
      <w:rFonts w:ascii="Times New Roman" w:eastAsia="Times New Roman" w:hAnsi="Times New Roman"/>
      <w:color w:val="000000"/>
      <w:sz w:val="24"/>
    </w:rPr>
  </w:style>
  <w:style w:styleId="Caption" w:type="paragraph">
    <w:name w:val="Caption"/>
    <w:basedOn w:val="Normal"/>
    <w:link w:val="BodyTextChar"/>
    <w:pPr>
      <w:spacing w:after="120" w:before="0" w:line="276" w:lineRule="auto"/>
      <w:jc w:val="both"/>
    </w:pPr>
    <w:rPr>
      <w:rFonts w:ascii="Times New Roman" w:eastAsia="Times New Roman" w:hAnsi="Times New Roman"/>
      <w:i/>
      <w:color w:val="000000"/>
      <w:sz w:val="24"/>
    </w:rPr>
  </w:style>
  <w:style w:customStyle="1" w:styleId="TableCaption" w:type="paragraph">
    <w:name w:val="Table Caption"/>
    <w:basedOn w:val="Caption"/>
    <w:pPr>
      <w:keepNext/>
      <w:spacing w:line="276" w:lineRule="auto"/>
      <w:jc w:val="both"/>
    </w:pPr>
    <w:rPr>
      <w:rFonts w:ascii="Times New Roman" w:eastAsia="Times New Roman" w:hAnsi="Times New Roman"/>
      <w:color w:val="000000"/>
      <w:sz w:val="24"/>
    </w:rPr>
  </w:style>
  <w:style w:customStyle="1" w:styleId="ImageCaption" w:type="paragraph">
    <w:name w:val="Image Caption"/>
    <w:basedOn w:val="Caption"/>
    <w:pPr>
      <w:spacing w:line="276" w:lineRule="auto"/>
      <w:jc w:val="both"/>
    </w:pPr>
    <w:rPr>
      <w:rFonts w:ascii="Times New Roman" w:eastAsia="Times New Roman" w:hAnsi="Times New Roman"/>
      <w:color w:val="000000"/>
      <w:sz w:val="24"/>
    </w:rPr>
  </w:style>
  <w:style w:customStyle="1" w:styleId="Figure" w:type="paragraph">
    <w:name w:val="Figure"/>
    <w:basedOn w:val="Normal"/>
    <w:pPr>
      <w:spacing w:line="276" w:lineRule="auto"/>
      <w:jc w:val="both"/>
    </w:pPr>
    <w:rPr>
      <w:rFonts w:ascii="Times New Roman" w:eastAsia="Times New Roman" w:hAnsi="Times New Roman"/>
      <w:color w:val="000000"/>
      <w:sz w:val="24"/>
    </w:rPr>
  </w:style>
  <w:style w:customStyle="1" w:styleId="CaptionedFigure" w:type="paragraph">
    <w:name w:val="Captioned Figure"/>
    <w:basedOn w:val="Figure"/>
    <w:pPr>
      <w:keepNext/>
      <w:spacing w:line="276" w:lineRule="auto"/>
      <w:jc w:val="both"/>
    </w:pPr>
    <w:rPr>
      <w:rFonts w:ascii="Times New Roman" w:eastAsia="Times New Roman" w:hAnsi="Times New Roman"/>
      <w:color w:val="000000"/>
      <w:sz w:val="24"/>
    </w:rPr>
  </w:style>
  <w:style w:customStyle="1" w:styleId="BodyTextChar" w:type="character">
    <w:name w:val="Body Text Char"/>
    <w:basedOn w:val="DefaultParagraphFont"/>
    <w:link w:val="BodyText"/>
    <w:rPr>
      <w:rFonts w:ascii="Times New Roman" w:eastAsia="Times New Roman" w:hAnsi="Times New Roman"/>
      <w:color w:val="000000"/>
      <w:sz w:val="24"/>
    </w:rPr>
  </w:style>
  <w:style w:customStyle="1" w:styleId="VerbatimChar" w:type="character">
    <w:name w:val="Verbatim Char"/>
    <w:basedOn w:val="BodyTextChar"/>
    <w:rPr>
      <w:rFonts w:ascii="Times New Roman" w:eastAsia="Times New Roman" w:hAnsi="Times New Roman"/>
      <w:color w:val="000000"/>
      <w:sz w:val="24"/>
    </w:rPr>
  </w:style>
  <w:style w:customStyle="1" w:styleId="SectionNumber" w:type="character">
    <w:name w:val="Section Number"/>
    <w:basedOn w:val="BodyTextChar"/>
    <w:rPr>
      <w:rFonts w:ascii="Times New Roman" w:eastAsia="Times New Roman" w:hAnsi="Times New Roman"/>
      <w:color w:val="000000"/>
      <w:sz w:val="24"/>
    </w:rPr>
  </w:style>
  <w:style w:styleId="FootnoteReference" w:type="character">
    <w:name w:val="Footnote Reference"/>
    <w:basedOn w:val="BodyTextChar"/>
    <w:rPr>
      <w:rFonts w:ascii="Times New Roman" w:eastAsia="Times New Roman" w:hAnsi="Times New Roman"/>
      <w:color w:val="000000"/>
      <w:sz w:val="24"/>
      <w:vertAlign w:val="superscript"/>
    </w:rPr>
  </w:style>
  <w:style w:styleId="Hyperlink" w:type="character">
    <w:name w:val="Hyperlink"/>
    <w:basedOn w:val="BodyTextChar"/>
    <w:rPr>
      <w:rFonts w:ascii="Times New Roman" w:eastAsia="Times New Roman" w:hAnsi="Times New Roman"/>
      <w:color w:val="000000"/>
      <w:sz w:val="2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76" w:lineRule="auto"/>
      <w:jc w:val="both"/>
      <w:outlineLvl w:val="9"/>
    </w:pPr>
    <w:rPr>
      <w:rFonts w:ascii="Times New Roman" w:asciiTheme="majorHAnsi" w:cstheme="majorBidi" w:eastAsia="Times New Roman" w:eastAsiaTheme="majorEastAsia" w:hAnsi="Times New Roman" w:hAnsiTheme="majorHAnsi"/>
      <w:b w:val="0"/>
      <w:bCs w:val="0"/>
      <w:color w:val="000000"/>
      <w:sz w:val="24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mailto:huongdt@vlute.edu.vn" TargetMode="External" /><Relationship Type="http://schemas.openxmlformats.org/officeDocument/2006/relationships/hyperlink" Id="rId21" Target="mailto:patu@ctu.edu.v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mailto:huongdt@vlute.edu.vn" TargetMode="External" /><Relationship Type="http://schemas.openxmlformats.org/officeDocument/2006/relationships/hyperlink" Id="rId21" Target="mailto:patu@ctu.edu.v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2026-06-13T23:48:09Z</dcterms:created>
  <dcterms:modified xsi:type="dcterms:W3CDTF">2026-06-13T23:48:09Z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