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 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 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 910–29, 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Firm-level evidence on manufacturing exporters shows that</w:t>
      </w:r>
      <w:r>
        <w:t xml:space="preserve"> </w:t>
      </w:r>
      <w:r>
        <w:t xml:space="preserve">manager experience and gender can moderate the</w:t>
      </w:r>
      <w:r>
        <w:t xml:space="preserve"> </w:t>
      </w:r>
      <w:r>
        <w:t xml:space="preserve">internationalization–performance relationship (Phan et al., 2020), and</w:t>
      </w:r>
      <w:r>
        <w:t xml:space="preserve"> </w:t>
      </w:r>
      <w:r>
        <w:t xml:space="preserve">top-management-team internationalization shapes performance through</w:t>
      </w:r>
      <w:r>
        <w:t xml:space="preserve"> </w:t>
      </w:r>
      <w:r>
        <w:t xml:space="preserve">foreign-market entry (Nielsen, 2010).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 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 910.</w:t>
      </w:r>
      <w:r>
        <w:t xml:space="preserve"> </w:t>
      </w:r>
      <w:r>
        <w:t xml:space="preserve">Adding controls reduces the sample to N = 38, 342 (M3); country-year FE</w:t>
      </w:r>
      <w:r>
        <w:t xml:space="preserve"> </w:t>
      </w:r>
      <w:r>
        <w:t xml:space="preserve">model M5 uses the same sample. TCI-moderation models (M6, M7) use N ≈</w:t>
      </w:r>
      <w:r>
        <w:t xml:space="preserve"> </w:t>
      </w:r>
      <w:r>
        <w:t xml:space="preserve">38, 051; adding DAI (M8) N ≈ 37, 940; manager models (M9) N ≈ 35, 568;</w:t>
      </w:r>
      <w:r>
        <w:t xml:space="preserve"> </w:t>
      </w:r>
      <w:r>
        <w:t xml:space="preserve">ICRV-moderation (M10) N ≈ 31, 928; full three-way (M11) N ≈ 29, 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7"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4">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9">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Nielsen, S. (2010). Top management team internationalization and firm</w:t>
      </w:r>
      <w:r>
        <w:t xml:space="preserve"> </w:t>
      </w:r>
      <w:r>
        <w:t xml:space="preserve">performance: The mediating role of foreign market entry.</w:t>
      </w:r>
      <w:r>
        <w:t xml:space="preserve"> </w:t>
      </w:r>
      <w:r>
        <w:rPr>
          <w:iCs/>
          <w:i/>
        </w:rPr>
        <w:t xml:space="preserve">Management</w:t>
      </w:r>
      <w:r>
        <w:rPr>
          <w:iCs/>
          <w:i/>
        </w:rPr>
        <w:t xml:space="preserve"> </w:t>
      </w:r>
      <w:r>
        <w:rPr>
          <w:iCs/>
          <w:i/>
        </w:rPr>
        <w:t xml:space="preserve">International Review, 50</w:t>
      </w:r>
      <w:r>
        <w:t xml:space="preserve">(2), 185–206.</w:t>
      </w:r>
      <w:r>
        <w:t xml:space="preserve"> </w:t>
      </w:r>
      <w:hyperlink r:id="rId70">
        <w:r>
          <w:rPr>
            <w:rStyle w:val="Hyperlink"/>
          </w:rPr>
          <w:t xml:space="preserve">https://doi.org/10.1007/s11575-010-0029-0</w:t>
        </w:r>
      </w:hyperlink>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1">
        <w:r>
          <w:rPr>
            <w:rStyle w:val="Hyperlink"/>
          </w:rPr>
          <w:t xml:space="preserve">https://doi.org/10.1016/j.jwb.2007.11.009</w:t>
        </w:r>
      </w:hyperlink>
    </w:p>
    <w:p>
      <w:pPr>
        <w:pStyle w:val="BodyText"/>
      </w:pPr>
      <w:r>
        <w:t xml:space="preserve">Phan, A. T., Do, T. H., &amp; Phan, M. T. (2020). The moderating effects of</w:t>
      </w:r>
      <w:r>
        <w:t xml:space="preserve"> </w:t>
      </w:r>
      <w:r>
        <w:t xml:space="preserve">managers' experience and gender on internationalization and firm</w:t>
      </w:r>
      <w:r>
        <w:t xml:space="preserve"> </w:t>
      </w:r>
      <w:r>
        <w:t xml:space="preserve">performance of manufacturing enterprises in Turkey.</w:t>
      </w:r>
      <w:r>
        <w:t xml:space="preserve"> </w:t>
      </w:r>
      <w:r>
        <w:rPr>
          <w:iCs/>
          <w:i/>
        </w:rPr>
        <w:t xml:space="preserve">Accounting, 6</w:t>
      </w:r>
      <w:r>
        <w:t xml:space="preserve">(7),</w:t>
      </w:r>
      <w:r>
        <w:t xml:space="preserve"> </w:t>
      </w:r>
      <w:r>
        <w:t xml:space="preserve">1209–1216.</w:t>
      </w:r>
      <w:r>
        <w:t xml:space="preserve"> </w:t>
      </w:r>
      <w:hyperlink r:id="rId72">
        <w:r>
          <w:rPr>
            <w:rStyle w:val="Hyperlink"/>
          </w:rPr>
          <w:t xml:space="preserve">https://doi.org/10.5267/j.ac.2020.9.006</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3">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4">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5">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6">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6">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7"/>
    <w:bookmarkStart w:id="78"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84, 910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38, 342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38, 342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38, 051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38, 051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37, 940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35, 568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31, 928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29, 840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84, 910</w:t>
            </w:r>
          </w:p>
        </w:tc>
        <w:tc>
          <w:tcPr/>
          <w:p>
            <w:pPr>
              <w:pStyle w:val="Compact"/>
              <w:jc w:val="left"/>
            </w:pPr>
            <w:r>
              <w:t xml:space="preserve">38, 051</w:t>
            </w:r>
          </w:p>
        </w:tc>
        <w:tc>
          <w:tcPr/>
          <w:p>
            <w:pPr>
              <w:pStyle w:val="Compact"/>
              <w:jc w:val="left"/>
            </w:pPr>
            <w:r>
              <w:t xml:space="preserve">37, 940</w:t>
            </w:r>
          </w:p>
        </w:tc>
        <w:tc>
          <w:tcPr/>
          <w:p>
            <w:pPr>
              <w:pStyle w:val="Compact"/>
              <w:jc w:val="left"/>
            </w:pPr>
            <w:r>
              <w:t xml:space="preserve">35, 568</w:t>
            </w:r>
          </w:p>
        </w:tc>
        <w:tc>
          <w:tcPr/>
          <w:p>
            <w:pPr>
              <w:pStyle w:val="Compact"/>
              <w:jc w:val="left"/>
            </w:pPr>
            <w:r>
              <w:t xml:space="preserve">31, 928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 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8"/>
    <w:bookmarkStart w:id="79"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4"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0" Target="https://doi.org/10.1007/s11575-010-0029-0" TargetMode="External" /><Relationship Type="http://schemas.openxmlformats.org/officeDocument/2006/relationships/hyperlink" Id="rId73"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1"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2" Target="https://doi.org/10.5267/j.ac.2020.9.006"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5" Target="https://www.enterprisesurveys.org" TargetMode="External" /><Relationship Type="http://schemas.openxmlformats.org/officeDocument/2006/relationships/hyperlink" Id="rId76"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4"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0" Target="https://doi.org/10.1007/s11575-010-0029-0" TargetMode="External" /><Relationship Type="http://schemas.openxmlformats.org/officeDocument/2006/relationships/hyperlink" Id="rId73"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1"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72" Target="https://doi.org/10.5267/j.ac.2020.9.006"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5" Target="https://www.enterprisesurveys.org" TargetMode="External" /><Relationship Type="http://schemas.openxmlformats.org/officeDocument/2006/relationships/hyperlink" Id="rId76"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2026-06-08T09:39:01Z</dcterms:created>
  <dcterms:modified xsi:type="dcterms:W3CDTF">2026-06-08T09:39:01Z</dcterms:modified>
</cp:coreProperties>
</file>

<file path=docProps/custom.xml><?xml version="1.0" encoding="utf-8"?>
<Properties xmlns="http://schemas.openxmlformats.org/officeDocument/2006/custom-properties" xmlns:vt="http://schemas.openxmlformats.org/officeDocument/2006/docPropsVTypes"/>
</file>