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do bộ công cụ WBES thay đổi qua ba thế hệ bảng hỏi (PICS3, Standardized, BREADY), TCI được vận hành hóa theo hai biến thể tùy tính khả dụng của các mục theo từng sóng: một biến thể</w:t>
      </w:r>
      <w:r>
        <w:t xml:space="preserve"> </w:t>
      </w:r>
      <w:r>
        <w:rPr>
          <w:bCs/>
          <w:b/>
        </w:rPr>
        <w:t xml:space="preserve">“</w:t>
      </w:r>
      <w:r>
        <w:rPr>
          <w:bCs/>
          <w:b/>
        </w:rPr>
        <w:t xml:space="preserve">thin</w:t>
      </w:r>
      <w:r>
        <w:rPr>
          <w:bCs/>
          <w:b/>
        </w:rPr>
        <w:t xml:space="preserve">”</w:t>
      </w:r>
      <w:r>
        <w:t xml:space="preserve"> </w:t>
      </w:r>
      <w:r>
        <w:t xml:space="preserve">gồm hai mục cốt lõi (chứng chỉ chất lượng b8 và một mục năng lực bổ sung) và một biến thể</w:t>
      </w:r>
      <w:r>
        <w:t xml:space="preserve"> </w:t>
      </w:r>
      <w:r>
        <w:rPr>
          <w:bCs/>
          <w:b/>
        </w:rPr>
        <w:t xml:space="preserve">“</w:t>
      </w:r>
      <w:r>
        <w:rPr>
          <w:bCs/>
          <w:b/>
        </w:rPr>
        <w:t xml:space="preserve">full</w:t>
      </w:r>
      <w:r>
        <w:rPr>
          <w:bCs/>
          <w:b/>
        </w:rPr>
        <w:t xml:space="preserve">”</w:t>
      </w:r>
      <w:r>
        <w:t xml:space="preserve"> </w:t>
      </w:r>
      <w:r>
        <w:t xml:space="preserve">gồm ba đến bốn mục (bổ sung đổi mới sản phẩm h1 và/hoặc chi R&amp;D h8). Bộ mục chính xác của mỗi nghiên cứu thành phần được nêu rõ trong bảng định nghĩa biến của nghiên cứu đó (§3.4.5) và trong Phụ lục A; khác biệt về bộ mục giữa các nghiên cứu phản ánh ràng buộc đo lường khách quan của bộ dữ liệu, không phải lựa chọn tùy ý. Vì các mục là chỉ báo nhị phân của cùng một construct formative (năng lực công nghệ), hai biến thể có tương quan cao và cho kết luận điều tiết nhất quán về dấu; phần độ vững (§3.5.1) kiểm tra độ nhạy của kết quả với lựa chọn biến thể.</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1"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9"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rPr>
          <w:bCs/>
          <w:b/>
        </w:rPr>
        <w:t xml:space="preserve">CDDXK_c²_it</w:t>
      </w:r>
      <w:r>
        <w:t xml:space="preserve">: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sang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Start w:id="4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8"/>
    <w:bookmarkEnd w:id="49"/>
    <w:bookmarkStart w:id="5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50"/>
    <w:bookmarkEnd w:id="51"/>
    <w:bookmarkStart w:id="58"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biến điều tiết: thay DAI_thin bằng DAI_rich (cho subset 2024+).</w:t>
      </w:r>
    </w:p>
    <w:bookmarkEnd w:id="52"/>
    <w:bookmarkStart w:id="5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3"/>
    <w:bookmarkStart w:id="5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4"/>
    <w:bookmarkStart w:id="55"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5"/>
    <w:bookmarkStart w:id="56"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6"/>
    <w:bookmarkStart w:id="5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(§3.5.1); tuy vậy luận án chưa thực hiện kiểm định bất biến đo lường chính thức, nên mọi so sánh xuyên-schema cần được đọc một cách thận trọng.</w:t>
      </w:r>
    </w:p>
    <w:bookmarkEnd w:id="57"/>
    <w:bookmarkEnd w:id="58"/>
    <w:bookmarkStart w:id="5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9"/>
    <w:bookmarkStart w:id="6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6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2026-06-15T13:26:36Z</dcterms:created>
  <dcterms:modified xsi:type="dcterms:W3CDTF">2026-06-15T13:26:36Z</dcterms:modified>
</cp:coreProperties>
</file>

<file path=docProps/custom.xml><?xml version="1.0" encoding="utf-8"?>
<Properties xmlns="http://schemas.openxmlformats.org/officeDocument/2006/custom-properties" xmlns:vt="http://schemas.openxmlformats.org/officeDocument/2006/docPropsVTypes"/>
</file>