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International Journal of Emerging Markets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2014–2025 institutional and digital transformation decade,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(2014, 2022, 2025; analytic N = 28,717) are estimated by OLS with HC1 errors, quadratic FSTS terms and capability interactions; Lind–Mehlum U-tests and Paternoster cross-wave z-tests assess curvature and coefficient equality, exploiting the 2016 UPI rollout as a quasi-experiment.</w:t>
      </w:r>
    </w:p>
    <w:p>
      <w:pPr>
        <w:pStyle w:val="BodyText"/>
      </w:pPr>
      <w:r>
        <w:rPr>
          <w:bCs/>
          <w:b/>
        </w:rPr>
        <w:t xml:space="preserve">Findings.</w:t>
      </w:r>
      <w:r>
        <w:t xml:space="preserve"> </w:t>
      </w:r>
      <w:r>
        <w:t xml:space="preserve">The inverted-U collapses: the turning point migrates from 61.8% FSTS (2014) to 40.7% (2022), and by 2025 curvature is insignificant (β₂ = −0.16, p = 0.42). Paternoster z-tests reject coefficient equality (linear z = −7.94; quadratic z = +4.17; both p &lt; 0.0001). The UPI Tier-2 e-payment interaction is negative (FSTS × DAI_epay = −4.02, p = 0.004).</w:t>
      </w:r>
    </w:p>
    <w:p>
      <w:pPr>
        <w:pStyle w:val="BodyText"/>
      </w:pPr>
      <w:r>
        <w:rPr>
          <w:bCs/>
          <w:b/>
        </w:rPr>
        <w:t xml:space="preserve">Research limitations/implications.</w:t>
      </w:r>
      <w:r>
        <w:t xml:space="preserve"> </w:t>
      </w:r>
      <w:r>
        <w:t xml:space="preserve">The waves are independent cross-sections, supporting cross-wave comparison but not within-firm causal inference; Tier-2 adoption is observed only in 2025.</w:t>
      </w:r>
    </w:p>
    <w:p>
      <w:pPr>
        <w:pStyle w:val="BodyText"/>
      </w:pPr>
      <w:r>
        <w:rPr>
          <w:bCs/>
          <w:b/>
        </w:rPr>
        <w:t xml:space="preserve">Practical implications.</w:t>
      </w:r>
      <w:r>
        <w:t xml:space="preserve"> </w:t>
      </w:r>
      <w:r>
        <w:t xml:space="preserve">Fixed export-intensity targets are no longer empirically defensible for 2025; the binding constraint on exporter productivity is cross-border-specific digital infrastructure, not domestic UPI rails.</w:t>
      </w:r>
    </w:p>
    <w:p>
      <w:pPr>
        <w:pStyle w:val="BodyText"/>
      </w:pPr>
      <w:r>
        <w:rPr>
          <w:bCs/>
          <w:b/>
        </w:rPr>
        <w:t xml:space="preserve">Social implications.</w:t>
      </w:r>
      <w:r>
        <w:t xml:space="preserve"> </w:t>
      </w:r>
      <w:r>
        <w:t xml:space="preserve">Inclusive South Asian SME participation in global value chains requires both domestic (UPI, Aadhaar, ONDC) and cross-border digital infrastructure, which are complements rather than substitutes.</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the threshold is conditional on institutional stability.</w:t>
      </w:r>
    </w:p>
    <w:p>
      <w:pPr>
        <w:pStyle w:val="BodyText"/>
      </w:pPr>
      <w:r>
        <w:rPr>
          <w:bCs/>
          <w:b/>
        </w:rPr>
        <w:t xml:space="preserve">Keywords:</w:t>
      </w:r>
      <w:r>
        <w:t xml:space="preserve"> </w:t>
      </w:r>
      <w:r>
        <w:t xml:space="preserve">internationalisation–performance; export intensity; threshold stability; India; UPI; technological capability; institutional transformation;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X8bf20a63f0decf7b16e99d564b9958ec4fbbb23"/>
    <w:p>
      <w:pPr>
        <w:pStyle w:val="Heading2"/>
      </w:pPr>
      <w:r>
        <w:t xml:space="preserve">2. Theory and Hypotheses</w:t>
      </w:r>
    </w:p>
    <w:bookmarkStart w:id="23" w:name="Xcec8abb30929305ffaf22433e6006159dcafc70"/>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318c1fea634a10967c98191445c5d08ccb10924"/>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X060d31242d4306baafc5e03914e6254ae49e087"/>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0ff06f102d45fcb8fa4478a82f55fd8f58f23cc"/>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Xd220370935321604b8cdfc5a5895802593c0b72"/>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BodyText"/>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r>
        <w:t xml:space="preserve">{width=6.5in}</w:t>
      </w:r>
    </w:p>
    <w:bookmarkEnd w:id="30"/>
    <w:bookmarkEnd w:id="31"/>
    <w:bookmarkStart w:id="37" w:name="X5eb800a903106e48a684e9ea9de39ed619b9df8"/>
    <w:p>
      <w:pPr>
        <w:pStyle w:val="Heading2"/>
      </w:pPr>
      <w:r>
        <w:t xml:space="preserve">3. Data and Methods</w:t>
      </w:r>
    </w:p>
    <w:bookmarkStart w:id="33" w:name="Xe44c7198c5f456f0b96f26ab6247749e5a25829"/>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w:t>
      </w:r>
      <w:r>
        <w:t xml:space="preserve"> </w:t>
      </w:r>
      <w:hyperlink r:id="rId32">
        <w:r>
          <w:rPr>
            <w:rStyle w:val="Hyperlink"/>
          </w:rPr>
          <w:t xml:space="preserve">https://www.enterprisesurveys.org</w:t>
        </w:r>
      </w:hyperlink>
      <w:r>
        <w:t xml:space="preserve"> </w:t>
      </w:r>
      <w:r>
        <w:t xml:space="preserve">subject to World Bank registration.</w:t>
      </w:r>
    </w:p>
    <w:bookmarkEnd w:id="33"/>
    <w:bookmarkStart w:id="34" w:name="Xbcf9f12e79107fa2c089aaf13fc6c4fb773f1c2"/>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4"/>
    <w:bookmarkStart w:id="35" w:name="X4b795af974b5b07f42f16cec52da76c45fb8d2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5"/>
    <w:bookmarkStart w:id="36" w:name="Xfcfef551bab64293bca084b9d423d059a51f3c8"/>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 "monotone or U" 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8"/>
    <w:bookmarkStart w:id="42" w:name="X3623da6fd251cdd708736906f4e561251a5ae18"/>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 * p &lt; 0.05, ** p &lt; 0.01, *** p &lt; 0.001. Turning point computed as TP = −β̂₁ / (2β̂₂); reported only for waves with inverted-U supported in Lind–Mehlum test.</w:t>
      </w:r>
    </w:p>
    <w:p>
      <w:pPr>
        <w:pStyle w:val="BodyText"/>
      </w:pPr>
      <w:r>
        <w:drawing>
          <wp:inline>
            <wp:extent cx="5334000" cy="3130882"/>
            <wp:effectExtent b="0" l="0" r="0" t="0"/>
            <wp:docPr descr="Figure 2. Wave-specific predicted I-P relationship: India 2014, 2022, 2025." title="" id="40" name="Picture"/>
            <a:graphic>
              <a:graphicData uri="http://schemas.openxmlformats.org/drawingml/2006/picture">
                <pic:pic>
                  <pic:nvPicPr>
                    <pic:cNvPr descr="/home/user/MY_THESIS_PHD_CANDIDATE_26/p9_india/replication/figures/figure_2_predicted_curves.png" id="41" name="Picture"/>
                    <pic:cNvPicPr>
                      <a:picLocks noChangeArrowheads="1" noChangeAspect="1"/>
                    </pic:cNvPicPr>
                  </pic:nvPicPr>
                  <pic:blipFill>
                    <a:blip r:embed="rId39"/>
                    <a:stretch>
                      <a:fillRect/>
                    </a:stretch>
                  </pic:blipFill>
                  <pic:spPr bwMode="auto">
                    <a:xfrm>
                      <a:off x="0" y="0"/>
                      <a:ext cx="5334000" cy="3130882"/>
                    </a:xfrm>
                    <a:prstGeom prst="rect">
                      <a:avLst/>
                    </a:prstGeom>
                    <a:noFill/>
                    <a:ln w="9525">
                      <a:noFill/>
                      <a:headEnd/>
                      <a:tailEnd/>
                    </a:ln>
                  </pic:spPr>
                </pic:pic>
              </a:graphicData>
            </a:graphic>
          </wp:inline>
        </w:drawing>
      </w:r>
      <w:r>
        <w:t xml:space="preserve">{width=6.5in}</w:t>
      </w:r>
    </w:p>
    <w:bookmarkEnd w:id="42"/>
    <w:bookmarkStart w:id="46" w:name="Xa2a3c373760265790b1a8e7b307529c391ea560"/>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BodyText"/>
      </w:pPr>
      <w:r>
        <w:drawing>
          <wp:inline>
            <wp:extent cx="5334000" cy="3485437"/>
            <wp:effectExtent b="0" l="0" r="0" t="0"/>
            <wp:docPr descr="Figure 3. Turning-point estimates and 2025 threshold collapse." title="" id="44" name="Picture"/>
            <a:graphic>
              <a:graphicData uri="http://schemas.openxmlformats.org/drawingml/2006/picture">
                <pic:pic>
                  <pic:nvPicPr>
                    <pic:cNvPr descr="/home/user/MY_THESIS_PHD_CANDIDATE_26/p9_india/replication/figures/figure_3_turning_points.png" id="45" name="Picture"/>
                    <pic:cNvPicPr>
                      <a:picLocks noChangeArrowheads="1" noChangeAspect="1"/>
                    </pic:cNvPicPr>
                  </pic:nvPicPr>
                  <pic:blipFill>
                    <a:blip r:embed="rId43"/>
                    <a:stretch>
                      <a:fillRect/>
                    </a:stretch>
                  </pic:blipFill>
                  <pic:spPr bwMode="auto">
                    <a:xfrm>
                      <a:off x="0" y="0"/>
                      <a:ext cx="5334000" cy="3485437"/>
                    </a:xfrm>
                    <a:prstGeom prst="rect">
                      <a:avLst/>
                    </a:prstGeom>
                    <a:noFill/>
                    <a:ln w="9525">
                      <a:noFill/>
                      <a:headEnd/>
                      <a:tailEnd/>
                    </a:ln>
                  </pic:spPr>
                </pic:pic>
              </a:graphicData>
            </a:graphic>
          </wp:inline>
        </w:drawing>
      </w:r>
      <w:r>
        <w:t xml:space="preserve">{width=6.5in}</w:t>
      </w:r>
    </w:p>
    <w:bookmarkEnd w:id="46"/>
    <w:bookmarkStart w:id="47" w:name="Xf60927d55a91114fea779cf36ab4cc04d3fbe2b"/>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7"/>
    <w:bookmarkStart w:id="51" w:name="Xfa6d62402842924c5c02d4fc334ff0a94d1ce6a"/>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 * p &lt; 0.05, ** p &lt; 0.01, *** p &lt; 0.001. Controls (ln(Employees), firm age, foreign ownership) included but suppressed for space.</w:t>
      </w:r>
    </w:p>
    <w:p>
      <w:pPr>
        <w:pStyle w:val="BodyText"/>
      </w:pPr>
      <w:r>
        <w:drawing>
          <wp:inline>
            <wp:extent cx="5334000" cy="3738442"/>
            <wp:effectExtent b="0" l="0" r="0" t="0"/>
            <wp:docPr descr="Figure 4. UPI rollout and Indian institutional shocks, 2014-2025." title="" id="49" name="Picture"/>
            <a:graphic>
              <a:graphicData uri="http://schemas.openxmlformats.org/drawingml/2006/picture">
                <pic:pic>
                  <pic:nvPicPr>
                    <pic:cNvPr descr="/home/user/MY_THESIS_PHD_CANDIDATE_26/p9_india/replication/figures/figure_4_upi_timeline.png" id="50" name="Picture"/>
                    <pic:cNvPicPr>
                      <a:picLocks noChangeArrowheads="1" noChangeAspect="1"/>
                    </pic:cNvPicPr>
                  </pic:nvPicPr>
                  <pic:blipFill>
                    <a:blip r:embed="rId48"/>
                    <a:stretch>
                      <a:fillRect/>
                    </a:stretch>
                  </pic:blipFill>
                  <pic:spPr bwMode="auto">
                    <a:xfrm>
                      <a:off x="0" y="0"/>
                      <a:ext cx="5334000" cy="3738442"/>
                    </a:xfrm>
                    <a:prstGeom prst="rect">
                      <a:avLst/>
                    </a:prstGeom>
                    <a:noFill/>
                    <a:ln w="9525">
                      <a:noFill/>
                      <a:headEnd/>
                      <a:tailEnd/>
                    </a:ln>
                  </pic:spPr>
                </pic:pic>
              </a:graphicData>
            </a:graphic>
          </wp:inline>
        </w:drawing>
      </w:r>
      <w:r>
        <w:t xml:space="preserve">{width=6.5in}</w:t>
      </w:r>
    </w:p>
    <w:bookmarkEnd w:id="51"/>
    <w:bookmarkStart w:id="52" w:name="X7b68f907ed55e65a2ee44288bf21fafeaedb955"/>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 * 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2"/>
    <w:bookmarkEnd w:id="53"/>
    <w:bookmarkStart w:id="60" w:name="X735612638e4e736e4693e459c258977262c0dfc"/>
    <w:p>
      <w:pPr>
        <w:pStyle w:val="Heading2"/>
      </w:pPr>
      <w:r>
        <w:t xml:space="preserve">5. Discussion</w:t>
      </w:r>
    </w:p>
    <w:bookmarkStart w:id="54" w:name="Xc19094a4c16362caac43b24a1cfd1e566bed788"/>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4"/>
    <w:bookmarkStart w:id="55" w:name="X5aa2e568177abc248bc73a150f5dd80385661c2"/>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5"/>
    <w:bookmarkStart w:id="56" w:name="Xfb124a5024cf96d638b9a68daad9b3c0689502a"/>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6"/>
    <w:bookmarkStart w:id="57" w:name="Xba25a0532df081593fbba6823962c8a78aab254"/>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 "what is the optimal export intensity?" but "under what institutional conditions does an optimum re-emerge?" 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7"/>
    <w:bookmarkStart w:id="58" w:name="X6fb952f48fe7386a51cacff4bb40301fd98916c"/>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8"/>
    <w:bookmarkStart w:id="59" w:name="X5106f0fe7d7b3d0e8858d892c327902f1f4cfd1"/>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9"/>
    <w:bookmarkEnd w:id="60"/>
    <w:bookmarkStart w:id="61" w:name="Xf3d63d3bef15b3e862b66ed5bd48a577996a1bc"/>
    <w:p>
      <w:pPr>
        <w:pStyle w:val="Heading2"/>
      </w:pPr>
      <w:r>
        <w:t xml:space="preserve">6. Limitations and Future Research</w:t>
      </w:r>
    </w:p>
    <w:p>
      <w:pPr>
        <w:pStyle w:val="FirstParagraph"/>
      </w:pPr>
      <w:r>
        <w:t xml:space="preserve">The substantive limitations are detailed in §5.6. One further measurement caveat warrants emphasis: the 2025 wave coincides with a sharp contraction in export engagement (mean FSTS falls from 7.2 per cent in 2014 to 2.7 per cent in 2025, and the number of firms above 50 per cent FSTS falls from 536 to 141), so the loss of significant quadratic curvature in 2025 partly reflects reduced identifying variation in the high-export tail. The threshold-dissolution finding should therefore be read as conditional on the post-Atmanirbhar export contraction. Importantly, however, the sign of the low-export slope itself reverses, from a positive ascending limb in 2014 to a monotone negative relationship in 2025, a qualitative change that thinner tail support alone does not generate.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1"/>
    <w:bookmarkStart w:id="62"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2"/>
    <w:bookmarkStart w:id="63" w:name="conflict-of-interest"/>
    <w:p>
      <w:pPr>
        <w:pStyle w:val="Heading2"/>
      </w:pPr>
      <w:r>
        <w:t xml:space="preserve">Conflict of Interest</w:t>
      </w:r>
    </w:p>
    <w:p>
      <w:pPr>
        <w:pStyle w:val="FirstParagraph"/>
      </w:pPr>
      <w:r>
        <w:t xml:space="preserve">The authors declare no conflict of interest.</w:t>
      </w:r>
    </w:p>
    <w:bookmarkEnd w:id="63"/>
    <w:bookmarkStart w:id="6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4"/>
    <w:bookmarkStart w:id="65" w:name="data-availability-statement"/>
    <w:p>
      <w:pPr>
        <w:pStyle w:val="Heading2"/>
      </w:pPr>
      <w:r>
        <w:t xml:space="preserve">Data availability statement</w:t>
      </w:r>
    </w:p>
    <w:p>
      <w:pPr>
        <w:pStyle w:val="FirstParagraph"/>
      </w:pPr>
      <w:r>
        <w:t xml:space="preserve">WBES India 2014, 2022, and 2025 microdata are publicly available via</w:t>
      </w:r>
      <w:r>
        <w:t xml:space="preserve"> </w:t>
      </w:r>
      <w:hyperlink r:id="rId32">
        <w:r>
          <w:rPr>
            <w:rStyle w:val="Hyperlink"/>
          </w:rPr>
          <w:t xml:space="preserve">https://www.enterprisesurveys.org</w:t>
        </w:r>
      </w:hyperlink>
      <w:r>
        <w:t xml:space="preserve"> </w:t>
      </w:r>
      <w:r>
        <w:t xml:space="preserve">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5"/>
    <w:bookmarkStart w:id="6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6"/>
    <w:bookmarkStart w:id="69" w:name="references"/>
    <w:p>
      <w:pPr>
        <w:pStyle w:val="Heading2"/>
      </w:pPr>
      <w:r>
        <w:t xml:space="preserve">References</w:t>
      </w:r>
    </w:p>
    <w:p>
      <w:pPr>
        <w:pStyle w:val="FirstParagraph"/>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67">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 "The performance effects of 'added cultural distance' in multinational expansion paths: generalizable and contextual determinants",</w:t>
      </w:r>
      <w:r>
        <w:t xml:space="preserve"> </w:t>
      </w:r>
      <w:r>
        <w:rPr>
          <w:iCs/>
          <w:i/>
        </w:rPr>
        <w:t xml:space="preserve">Multinational Business Review</w:t>
      </w:r>
      <w:r>
        <w:t xml:space="preserve">, available at:</w:t>
      </w:r>
      <w:r>
        <w:t xml:space="preserve"> </w:t>
      </w:r>
      <w:hyperlink r:id="rId68">
        <w:r>
          <w:rPr>
            <w:rStyle w:val="Hyperlink"/>
          </w:rPr>
          <w:t xml:space="preserve">https://doi.org/10.1108/mbr-04-2025-0104</w:t>
        </w:r>
      </w:hyperlink>
    </w:p>
    <w:p>
      <w:pPr>
        <w:pStyle w:val="BodyText"/>
      </w:pPr>
      <w:r>
        <w:t xml:space="preserve">Hutzschenreuter, T. and Voll, J.C. (2008), "Performance effects of ‘added cultural distance’ in the path of international expansion",</w:t>
      </w:r>
      <w:r>
        <w:t xml:space="preserve"> </w:t>
      </w:r>
      <w:r>
        <w:rPr>
          <w:iCs/>
          <w:i/>
        </w:rPr>
        <w:t xml:space="preserve">Journal of International Business Studies</w:t>
      </w:r>
      <w:r>
        <w:t xml:space="preserve">, Vol. 39 No. 1, pp. 53–70.</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2026-06-10T04:22:37Z</dcterms:created>
  <dcterms:modified xsi:type="dcterms:W3CDTF">2026-06-10T04:22:37Z</dcterms:modified>
</cp:coreProperties>
</file>

<file path=docProps/custom.xml><?xml version="1.0" encoding="utf-8"?>
<Properties xmlns="http://schemas.openxmlformats.org/officeDocument/2006/custom-properties" xmlns:vt="http://schemas.openxmlformats.org/officeDocument/2006/docPropsVTypes"/>
</file>