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2014–2025 institutional and digital transformation decade,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(2014, 2022, 2025; analytic N = 28,717) are estimated by OLS with HC1 errors, quadratic FSTS terms and capability interactions; Lind–Mehlum U-tests and Paternoster cross-wave z-tests assess curvature and coefficient equality, exploiting the 2016 UPI rollout as a quasi-experiment.</w:t>
      </w:r>
    </w:p>
    <w:p>
      <w:pPr>
        <w:pStyle w:val="BodyText"/>
      </w:pPr>
      <w:r>
        <w:rPr>
          <w:bCs/>
          <w:b/>
        </w:rPr>
        <w:t xml:space="preserve">Findings.</w:t>
      </w:r>
      <w:r>
        <w:t xml:space="preserve"> </w:t>
      </w:r>
      <w:r>
        <w:t xml:space="preserve">The inverted-U collapses: the turning point migrates from 61.8% FSTS (2014) to 40.7% (2022), and by 2025 curvature is insignificant (β₂ = −0.16, p = 0.42). Paternoster z-tests reject coefficient equality (linear z = −7.94; quadratic z = +4.17; both p &lt; 0.0001). The UPI Tier-2 e-payment interaction is negative (FSTS × DAI_epay = −4.02, p = 0.004).</w:t>
      </w:r>
    </w:p>
    <w:p>
      <w:pPr>
        <w:pStyle w:val="BodyText"/>
      </w:pPr>
      <w:r>
        <w:rPr>
          <w:bCs/>
          <w:b/>
        </w:rPr>
        <w:t xml:space="preserve">Research limitations/implications.</w:t>
      </w:r>
      <w:r>
        <w:t xml:space="preserve"> </w:t>
      </w:r>
      <w:r>
        <w:t xml:space="preserve">The waves are independent cross-sections, supporting cross-wave comparison but not within-firm causal inference; Tier-2 adoption is observed only in 2025.</w:t>
      </w:r>
    </w:p>
    <w:p>
      <w:pPr>
        <w:pStyle w:val="BodyText"/>
      </w:pPr>
      <w:r>
        <w:rPr>
          <w:bCs/>
          <w:b/>
        </w:rPr>
        <w:t xml:space="preserve">Practical implications.</w:t>
      </w:r>
      <w:r>
        <w:t xml:space="preserve"> </w:t>
      </w:r>
      <w:r>
        <w:t xml:space="preserve">Fixed export-intensity targets are no longer empirically defensible for 2025; the binding constraint on exporter productivity is cross-border-specific digital infrastructure, not domestic UPI rails.</w:t>
      </w:r>
    </w:p>
    <w:p>
      <w:pPr>
        <w:pStyle w:val="BodyText"/>
      </w:pPr>
      <w:r>
        <w:rPr>
          <w:bCs/>
          <w:b/>
        </w:rPr>
        <w:t xml:space="preserve">Social implications.</w:t>
      </w:r>
      <w:r>
        <w:t xml:space="preserve"> </w:t>
      </w:r>
      <w:r>
        <w:t xml:space="preserve">Inclusive South Asian SME participation in global value chains requires both domestic (UPI, Aadhaar, ONDC) and cross-border digital infrastructure, which are complements rather than substitutes.</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the threshold is conditional on institutional stability.</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Hutzschenreuter, T. and Voll, J.C. (2008), "Performance effects of ‘added cultural distance’ in the path of international expansion",</w:t>
      </w:r>
      <w:r>
        <w:t xml:space="preserve"> </w:t>
      </w:r>
      <w:r>
        <w:rPr>
          <w:iCs/>
          <w:i/>
        </w:rPr>
        <w:t xml:space="preserve">Journal of International Business Studies</w:t>
      </w:r>
      <w:r>
        <w:t xml:space="preserve">, Vol. 39 No. 1, pp. 53–70.</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2026-06-10T04:22:37Z</dcterms:created>
  <dcterms:modified xsi:type="dcterms:W3CDTF">2026-06-10T04:22:37Z</dcterms:modified>
</cp:coreProperties>
</file>

<file path=docProps/custom.xml><?xml version="1.0" encoding="utf-8"?>
<Properties xmlns="http://schemas.openxmlformats.org/officeDocument/2006/custom-properties" xmlns:vt="http://schemas.openxmlformats.org/officeDocument/2006/docPropsVTypes"/>
</file>