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 to P) relationship</w:t>
      </w:r>
      <w:r>
        <w:t xml:space="preserve"> </w:t>
      </w:r>
      <w:r>
        <w:t xml:space="preserve">three theoretically motivated moderators that prior meta-analyses have</w:t>
      </w:r>
      <w:r>
        <w:t xml:space="preserve"> </w:t>
      </w:r>
      <w:r>
        <w:t xml:space="preserve">not examined. 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t xml:space="preserve">This is the first three-level MARA of I to 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 to 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2023).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 to 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 to 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 to 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 to 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 to 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 to 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 to 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 to 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 to 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 to 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 to 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 to 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II–III to FR), these</w:t>
      </w:r>
      <w:r>
        <w:t xml:space="preserve"> </w:t>
      </w:r>
      <w:r>
        <w:t xml:space="preserve">substitute governance costs accumulate, progressively depressing the I to P</w:t>
      </w:r>
      <w:r>
        <w:t xml:space="preserve"> </w:t>
      </w:r>
      <w:r>
        <w:t xml:space="preserve">effect toward zero and potentially negative territory.</w:t>
      </w:r>
    </w:p>
    <w:p>
      <w:pPr>
        <w:pStyle w:val="BodyText"/>
      </w:pPr>
      <w:r>
        <w:t xml:space="preserve">CIMT predicts between-regime heterogeneity in I to 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 to 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 to 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 to 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 to 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 to 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 to 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 to 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 to 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 to 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 to 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 to 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 to 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 to 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 to 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 to 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 to 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 to 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 to 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 to 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10.17605/OSF.IO/Z37KN).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 to 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Section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Section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Section 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 to 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(Section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 to 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 to 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p>
    <w:p>
      <w:pPr>
        <w:pStyle w:val="BodyText"/>
      </w:pPr>
      <w:r>
        <w:t xml:space="preserve">Authors. (2024, December). Details omitted for double-blind review.</w:t>
      </w:r>
    </w:p>
    <w:p>
      <w:pPr>
        <w:pStyle w:val="BodyText"/>
      </w:pPr>
      <w:r>
        <w:t xml:space="preserve">Authors. (2025). Details omitted for double-blind review.</w:t>
      </w:r>
      <w:r>
        <w:t xml:space="preserve"> </w:t>
      </w:r>
      <w:hyperlink r:id="rId58">
        <w:r>
          <w:rPr>
            <w:rStyle w:val="Hyperlink"/>
          </w:rPr>
          <w:t xml:space="preserve">https://doi.org/10.5772/intechopen.1011012</w:t>
        </w:r>
      </w:hyperlink>
    </w:p>
    <w:p>
      <w:pPr>
        <w:pStyle w:val="BodyText"/>
      </w:pPr>
      <w:r>
        <w:t xml:space="preserve">Dunning, J. H. (2000). The eclectic paradigm as an envelope for economic and business theories of MNE activity.</w:t>
      </w:r>
      <w:r>
        <w:t xml:space="preserve"> </w:t>
      </w:r>
      <w:r>
        <w:rPr>
          <w:iCs/>
          <w:i/>
        </w:rPr>
        <w:t xml:space="preserve">International Business Review, 9</w:t>
      </w:r>
      <w:r>
        <w:t xml:space="preserve">(1), 163–190.</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Perryman, A. A.,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Rugman, A. M. (1976). Risk reduction by international diversification.</w:t>
      </w:r>
      <w:r>
        <w:t xml:space="preserve"> </w:t>
      </w:r>
      <w:r>
        <w:rPr>
          <w:iCs/>
          <w:i/>
        </w:rPr>
        <w:t xml:space="preserve">Journal of International Business Studies, 7</w:t>
      </w:r>
      <w:r>
        <w:t xml:space="preserve">(2), 75–80.</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Valentine, J. C., Pigott, T. D., &amp; Rothstein, H. R. (2010). How many studies do you need? A primer on statistical power for meta-analysis.</w:t>
      </w:r>
      <w:r>
        <w:t xml:space="preserve"> </w:t>
      </w:r>
      <w:r>
        <w:rPr>
          <w:iCs/>
          <w:i/>
        </w:rPr>
        <w:t xml:space="preserve">Journal of Educational and Behavioral Statistics, 35</w:t>
      </w:r>
      <w:r>
        <w:t xml:space="preserve">(2), 215–247.</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Vernon, R. (1971).</w:t>
      </w:r>
      <w:r>
        <w:t xml:space="preserve"> </w:t>
      </w:r>
      <w:r>
        <w:rPr>
          <w:iCs/>
          <w:i/>
        </w:rPr>
        <w:t xml:space="preserve">Sovereignty at bay: The multinational spread of U.S. enterprises</w:t>
      </w:r>
      <w:r>
        <w:t xml:space="preserve">. Basic Books.</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2026-06-20T21:09:54Z</dcterms:created>
  <dcterms:modified xsi:type="dcterms:W3CDTF">2026-06-20T21:09:54Z</dcterms:modified>
</cp:coreProperties>
</file>

<file path=docProps/custom.xml><?xml version="1.0" encoding="utf-8"?>
<Properties xmlns="http://schemas.openxmlformats.org/officeDocument/2006/custom-properties" xmlns:vt="http://schemas.openxmlformats.org/officeDocument/2006/docPropsVTypes"/>
</file>