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§5.1 for the</w:t>
      </w:r>
      <w:r>
        <w:t xml:space="preserve"> </w:t>
      </w:r>
      <w:r>
        <w:t xml:space="preserve">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 "digital adoption" is more defensible than "digital capability" 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 "digital capability" 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and</w:t>
      </w:r>
      <w:r>
        <w:t xml:space="preserve"> </w:t>
      </w:r>
      <w:r>
        <w:t xml:space="preserve">Levinthal 1990), before any additional moderation of the I–P curve shape</w:t>
      </w:r>
      <w:r>
        <w:t xml:space="preserve"> </w:t>
      </w:r>
      <w:r>
        <w:t xml:space="preserve">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§4 and substitution/selection retained as alternatives assessed against the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§5.1 for the construct-boundary discussion). The Lind–Mehlum equivalence</w:t>
      </w:r>
      <w:r>
        <w:t xml:space="preserve"> </w:t>
      </w:r>
      <w:r>
        <w:t xml:space="preserve">test result (p = .303) reported in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and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§1.2 and</w:t>
      </w:r>
      <w:r>
        <w:t xml:space="preserve"> </w:t>
      </w:r>
      <w:r>
        <w:t xml:space="preserve">§3.2.3: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§1.3</w:t>
      </w:r>
      <w:r>
        <w:t xml:space="preserve"> </w:t>
      </w:r>
      <w:r>
        <w:t xml:space="preserve">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Four boundary conditions delimit the inferential reach of the OLS specification; the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after the complete-case restriction on model covariates, from the roughly 18 per cent of firms with positive exports) is the natural setting for the intensity-margin mechanism but is underpowered for the small moderation block (f² ≈ 0.018; power ≈ 16% at N = 84, against N ≳ 430 for 80% power; Leon 2004).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88.6%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 "no inverted-U" from "an inverted-U whose decline lies in the unobserved upper tail";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25,000 attendees and record 6,800 startup applications from</w:t>
      </w:r>
      <w:r>
        <w:t xml:space="preserve"> </w:t>
      </w:r>
      <w:r>
        <w:t xml:space="preserve">150 markets at the 2025 Singapore Week of Innovation and Technology</w:t>
      </w:r>
      <w:r>
        <w:t xml:space="preserve"> </w:t>
      </w:r>
      <w:r>
        <w:t xml:space="preserve">(Enterprise Singapore, 2025), and 22,000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hyperlink r:id="rId55">
          <w:r>
            <w:rPr>
              <w:rStyle w:val="Hyperlink"/>
            </w:rPr>
            <w:t xml:space="preserve">www.enterprisesurveys.org</w:t>
          </w:r>
        </w:hyperlink>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92"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2">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3">
        <w:r>
          <w:rPr>
            <w:rStyle w:val="Hyperlink"/>
          </w:rPr>
          <w:t xml:space="preserve">https://doi.org/10.1057/s41287-020-00328-2</w:t>
        </w:r>
      </w:hyperlink>
      <w:r>
        <w:t xml:space="preserve"> </w:t>
      </w:r>
      <w:r>
        <w:t xml:space="preserve">Banalieva, E. R., and</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4">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65">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66">
        <w:r>
          <w:rPr>
            <w:rStyle w:val="Hyperlink"/>
          </w:rPr>
          <w:t xml:space="preserve">https://doi.org/10.25300/MISQ/2013/37:2.3</w:t>
        </w:r>
      </w:hyperlink>
      <w:r>
        <w:t xml:space="preserve"> </w:t>
      </w:r>
      <w:r>
        <w:t xml:space="preserve">Coase, R. H. (1937). The nature</w:t>
      </w:r>
      <w:r>
        <w:t xml:space="preserve"> </w:t>
      </w:r>
      <w:r>
        <w:t xml:space="preserve">of the firm.</w:t>
      </w:r>
      <w:r>
        <w:t xml:space="preserve"> </w:t>
      </w:r>
      <w:r>
        <w:rPr>
          <w:iCs/>
          <w:i/>
        </w:rPr>
        <w:t xml:space="preserve">Economica, 4</w:t>
      </w:r>
      <w:r>
        <w:t xml:space="preserve">(16), 386–405.</w:t>
      </w:r>
      <w:r>
        <w:t xml:space="preserve"> </w:t>
      </w:r>
      <w:hyperlink r:id="rId67">
        <w:r>
          <w:rPr>
            <w:rStyle w:val="Hyperlink"/>
          </w:rPr>
          <w:t xml:space="preserve">https://doi.org/10.1111/j.1468-0335.1937.tb00002.x</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68">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69">
        <w:r>
          <w:rPr>
            <w:rStyle w:val="Hyperlink"/>
          </w:rPr>
          <w:t xml:space="preserve">https://doi.org/10.1016/j.jbusres.2008.01.013</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0">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1">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2">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3">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74">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75">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76">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77">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78">
        <w:r>
          <w:rPr>
            <w:rStyle w:val="Hyperlink"/>
          </w:rPr>
          <w:t xml:space="preserve">https://doi.org/10.5465/20159604</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79">
        <w:r>
          <w:rPr>
            <w:rStyle w:val="Hyperlink"/>
          </w:rPr>
          <w:t xml:space="preserve">https://doi.org/10.1177/0149206315624963</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0">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1">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82">
        <w:r>
          <w:rPr>
            <w:rStyle w:val="Hyperlink"/>
          </w:rPr>
          <w:t xml:space="preserve">https://doi.org/10.1057/palgrave.jibs.8400377</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83">
        <w:r>
          <w:rPr>
            <w:rStyle w:val="Hyperlink"/>
          </w:rPr>
          <w:t xml:space="preserve">https://doi.org/10.1002/gsj.1336</w:t>
        </w:r>
      </w:hyperlink>
      <w:r>
        <w:t xml:space="preserve"> </w:t>
      </w:r>
      <w:r>
        <w:t xml:space="preserve">Teece, D. J. (2007). Explicating</w:t>
      </w:r>
      <w:r>
        <w:t xml:space="preserve"> </w:t>
      </w:r>
      <w:r>
        <w:t xml:space="preserve">dynamic capabilities: The nature and microfoundations of (sustainable)</w:t>
      </w:r>
      <w:r>
        <w:t xml:space="preserve"> </w:t>
      </w:r>
      <w:r>
        <w:t xml:space="preserve">enterprise performance.</w:t>
      </w:r>
      <w:r>
        <w:t xml:space="preserve"> </w:t>
      </w:r>
      <w:r>
        <w:rPr>
          <w:iCs/>
          <w:i/>
        </w:rPr>
        <w:t xml:space="preserve">Strategic Management Journal, 28</w:t>
      </w:r>
      <w:r>
        <w:t xml:space="preserve">(13),</w:t>
      </w:r>
      <w:r>
        <w:t xml:space="preserve"> </w:t>
      </w:r>
      <w:r>
        <w:t xml:space="preserve">1319–1350.</w:t>
      </w:r>
      <w:r>
        <w:t xml:space="preserve"> </w:t>
      </w:r>
      <w:hyperlink r:id="rId84">
        <w:r>
          <w:rPr>
            <w:rStyle w:val="Hyperlink"/>
          </w:rPr>
          <w:t xml:space="preserve">https://doi.org/10.1002/smj.640</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85">
        <w:r>
          <w:rPr>
            <w:rStyle w:val="Hyperlink"/>
          </w:rPr>
          <w:t xml:space="preserve">https://doi.org/10.1016/j.jbusres.2019.09.022</w:t>
        </w:r>
      </w:hyperlink>
      <w:r>
        <w:t xml:space="preserve"> </w:t>
      </w:r>
      <w:r>
        <w:t xml:space="preserve">Williamson, O. E.</w:t>
      </w:r>
      <w:r>
        <w:t xml:space="preserve"> </w:t>
      </w:r>
      <w:r>
        <w:t xml:space="preserve">(1985).</w:t>
      </w:r>
      <w:r>
        <w:t xml:space="preserve"> </w:t>
      </w:r>
      <w:r>
        <w:rPr>
          <w:iCs/>
          <w:i/>
        </w:rPr>
        <w:t xml:space="preserve">The economic institutions of capitalism</w:t>
      </w:r>
      <w:r>
        <w:t xml:space="preserve">. Free Press.</w:t>
      </w:r>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86">
        <w:r>
          <w:rPr>
            <w:rStyle w:val="Hyperlink"/>
          </w:rPr>
          <w:t xml:space="preserve">https://doi.org/10.1002/smj.2995</w:t>
        </w:r>
      </w:hyperlink>
    </w:p>
    <w:p>
      <w:pPr>
        <w:pStyle w:val="BodyText"/>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25,000 attendees</w:t>
      </w:r>
      <w:r>
        <w:t xml:space="preserve"> </w:t>
      </w:r>
      <w:r>
        <w:t xml:space="preserve">[Press release].</w:t>
      </w:r>
      <w:r>
        <w:t xml:space="preserve"> </w:t>
      </w:r>
      <w:r>
        <w:t xml:space="preserve">Enterprise Singapore.</w:t>
      </w:r>
      <w:r>
        <w:t xml:space="preserve"> </w:t>
      </w:r>
      <w:hyperlink r:id="rId8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8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8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91">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3" Target="https://doi.org/10.1002/gsj.1336" TargetMode="External" /><Relationship Type="http://schemas.openxmlformats.org/officeDocument/2006/relationships/hyperlink" Id="rId71" Target="https://doi.org/10.1002/smj.2399" TargetMode="External" /><Relationship Type="http://schemas.openxmlformats.org/officeDocument/2006/relationships/hyperlink" Id="rId86" Target="https://doi.org/10.1002/smj.2995" TargetMode="External" /><Relationship Type="http://schemas.openxmlformats.org/officeDocument/2006/relationships/hyperlink" Id="rId84" Target="https://doi.org/10.1002/smj.640" TargetMode="External" /><Relationship Type="http://schemas.openxmlformats.org/officeDocument/2006/relationships/hyperlink" Id="rId80" Target="https://doi.org/10.1007/s11135-006-9018-6" TargetMode="External" /><Relationship Type="http://schemas.openxmlformats.org/officeDocument/2006/relationships/hyperlink" Id="rId76" Target="https://doi.org/10.1016/0305-750X(92)90097-F" TargetMode="External" /><Relationship Type="http://schemas.openxmlformats.org/officeDocument/2006/relationships/hyperlink" Id="rId74" Target="https://doi.org/10.1016/j.ibusrev.2017.07.003" TargetMode="External" /><Relationship Type="http://schemas.openxmlformats.org/officeDocument/2006/relationships/hyperlink" Id="rId69" Target="https://doi.org/10.1016/j.jbusres.2008.01.013" TargetMode="External" /><Relationship Type="http://schemas.openxmlformats.org/officeDocument/2006/relationships/hyperlink" Id="rId85" Target="https://doi.org/10.1016/j.jbusres.2019.09.022" TargetMode="External" /><Relationship Type="http://schemas.openxmlformats.org/officeDocument/2006/relationships/hyperlink" Id="rId62" Target="https://doi.org/10.1037/0021-9010.90.1.94" TargetMode="External" /><Relationship Type="http://schemas.openxmlformats.org/officeDocument/2006/relationships/hyperlink" Id="rId70" Target="https://doi.org/10.1057/palgrave.jibs.8400003" TargetMode="External" /><Relationship Type="http://schemas.openxmlformats.org/officeDocument/2006/relationships/hyperlink" Id="rId82" Target="https://doi.org/10.1057/palgrave.jibs.8400377" TargetMode="External" /><Relationship Type="http://schemas.openxmlformats.org/officeDocument/2006/relationships/hyperlink" Id="rId64" Target="https://doi.org/10.1057/s41267-019-00243-7" TargetMode="External" /><Relationship Type="http://schemas.openxmlformats.org/officeDocument/2006/relationships/hyperlink" Id="rId63" Target="https://doi.org/10.1057/s41287-020-00328-2" TargetMode="External" /><Relationship Type="http://schemas.openxmlformats.org/officeDocument/2006/relationships/hyperlink" Id="rId77" Target="https://doi.org/10.1111/j.1468-0084.2009.00569.x" TargetMode="External" /><Relationship Type="http://schemas.openxmlformats.org/officeDocument/2006/relationships/hyperlink" Id="rId67" Target="https://doi.org/10.1111/j.1468-0335.1937.tb00002.x" TargetMode="External" /><Relationship Type="http://schemas.openxmlformats.org/officeDocument/2006/relationships/hyperlink" Id="rId79" Target="https://doi.org/10.1177/0149206315624963" TargetMode="External" /><Relationship Type="http://schemas.openxmlformats.org/officeDocument/2006/relationships/hyperlink" Id="rId65" Target="https://doi.org/10.1177/014920639101700108" TargetMode="External" /><Relationship Type="http://schemas.openxmlformats.org/officeDocument/2006/relationships/hyperlink" Id="rId75" Target="https://doi.org/10.1177/2515245918770963" TargetMode="External" /><Relationship Type="http://schemas.openxmlformats.org/officeDocument/2006/relationships/hyperlink" Id="rId68" Target="https://doi.org/10.2307/2393553" TargetMode="External" /><Relationship Type="http://schemas.openxmlformats.org/officeDocument/2006/relationships/hyperlink" Id="rId66" Target="https://doi.org/10.25300/MISQ/2013/37:2.3" TargetMode="External" /><Relationship Type="http://schemas.openxmlformats.org/officeDocument/2006/relationships/hyperlink" Id="rId78" Target="https://doi.org/10.5465/20159604" TargetMode="External" /><Relationship Type="http://schemas.openxmlformats.org/officeDocument/2006/relationships/hyperlink" Id="rId73" Target="https://doi.org/10.5465/256948" TargetMode="External" /><Relationship Type="http://schemas.openxmlformats.org/officeDocument/2006/relationships/hyperlink" Id="rId72"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89" Target="https://www.imda.gov.sg/resources/press-releases-factsheets-and-speeches/press-releases/2025/asia-tech-x-singapore-turns-five" TargetMode="External" /><Relationship Type="http://schemas.openxmlformats.org/officeDocument/2006/relationships/hyperlink" Id="rId91" Target="https://www.startupblink.com/blog/innovators-business-environment-index/" TargetMode="External" /><Relationship Type="http://schemas.openxmlformats.org/officeDocument/2006/relationships/hyperlink" Id="rId90" Target="https://www.startupblink.com/startup-ecosystem/singapore" TargetMode="External" /><Relationship Type="http://schemas.openxmlformats.org/officeDocument/2006/relationships/hyperlink" Id="rId8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2026-06-09T19:06:22Z</dcterms:created>
  <dcterms:modified xsi:type="dcterms:W3CDTF">2026-06-09T19:06:22Z</dcterms:modified>
</cp:coreProperties>
</file>

<file path=docProps/custom.xml><?xml version="1.0" encoding="utf-8"?>
<Properties xmlns="http://schemas.openxmlformats.org/officeDocument/2006/custom-properties" xmlns:vt="http://schemas.openxmlformats.org/officeDocument/2006/docPropsVTypes"/>
</file>