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9b5f3ba5bba408b82921015e95d86c099effac"/>
    <w:p>
      <w:pPr>
        <w:pStyle w:val="Heading1"/>
      </w:pPr>
      <w:r>
        <w:t xml:space="preserve">Cover Letter, Management International Review</w:t>
      </w:r>
    </w:p>
    <w:p>
      <w:pPr>
        <w:pStyle w:val="FirstParagraph"/>
      </w:pPr>
      <w:r>
        <w:t xml:space="preserve">The Editor-in-Chief</w:t>
      </w:r>
      <w:r>
        <w:t xml:space="preserve"> </w:t>
      </w:r>
      <w:r>
        <w:t xml:space="preserve">Management International Review (MIR)</w:t>
      </w:r>
      <w:r>
        <w:t xml:space="preserve"> </w:t>
      </w:r>
      <w:r>
        <w:t xml:space="preserve">Springer Nature</w:t>
      </w:r>
    </w:p>
    <w:p>
      <w:pPr>
        <w:pStyle w:val="BodyText"/>
      </w:pPr>
      <w:r>
        <w:t xml:space="preserve">Dear Editor-in-Chief,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"Technological Capability, Digital Adoption, and the Internationalization–Performance Relationship: A Firm-Level Study of Singapore,"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Management International Review (MIR)</w:t>
      </w:r>
      <w:r>
        <w:t xml:space="preserve">.</w:t>
      </w:r>
    </w:p>
    <w:p>
      <w:pPr>
        <w:pStyle w:val="BodyText"/>
      </w:pPr>
      <w:r>
        <w:t xml:space="preserve">We examine how technological capability and digital adoption condition the I–P relationship among firms in Singapore, an advanced-economy boundary case, using WBES B-READY 2023 data.</w:t>
      </w:r>
    </w:p>
    <w:p>
      <w:pPr>
        <w:pStyle w:val="BodyText"/>
      </w:pPr>
      <w:r>
        <w:t xml:space="preserve">This study fits MIR's focus on rigorous, theory-driven international business and management research, particularly work that examines the boundary conditions of the internationalization–performance relationship and the role of firm-level technological capability in international strategy.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2026-06-09T15:48:21Z</dcterms:created>
  <dcterms:modified xsi:type="dcterms:W3CDTF">2026-06-09T15:48:21Z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