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pPr>
        <w:pStyle w:val="BodyText"/>
      </w:pPr>
      <w:r>
        <w:rPr>
          <w:bCs/>
          <w:b/>
        </w:rPr>
        <w:t xml:space="preserve">Submission of Manuscript:</w:t>
      </w:r>
      <w:r>
        <w:rPr>
          <w:bCs/>
          <w:b/>
        </w:rPr>
        <w:t xml:space="preserve"> </w:t>
      </w:r>
      <w:r>
        <w:rPr>
          <w:bCs/>
          <w:b/>
        </w:rPr>
        <w:t xml:space="preserve">“</w:t>
      </w:r>
      <w:r>
        <w:rPr>
          <w:bCs/>
          <w:b/>
        </w:rPr>
        <w:t xml:space="preserve">The Export Intensity–Performance Relationship in Chinese Private Firms: A Threshold-Stability Perspective</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an empirical study of the export intensity–performance relationship across two waves of World Bank Enterprise Survey data for Chinese private firms (the full WBES private-firm frame, spanning manufacturing, services, retail, IT, and construction; 2012 and 2024), with a focus on the stability of nonlinear turning points and the moderating roles of technological capability and digital adoption.</w:t>
      </w:r>
    </w:p>
    <w:p>
      <w:pPr>
        <w:pStyle w:val="BodyText"/>
      </w:pPr>
      <w:r>
        <w:rPr>
          <w:bCs/>
          <w:b/>
        </w:rPr>
        <w:t xml:space="preserve">Relevance to IJOEM</w:t>
      </w:r>
    </w:p>
    <w:p>
      <w:pPr>
        <w:pStyle w:val="BodyText"/>
      </w:pPr>
      <w:r>
        <w:t xml:space="preserve">The study contributes directly to IJOEM’s core interest in firm-level dynamics in emerging markets. China’s private sector represents one of the largest and most institutionally complex emerging-market contexts for I–P research, and the cross-wave design (2012 and 2024) allows the study to test whether the curvilinear I–P relationship is structurally durable or wave-specific across a decade of China’s institutional and digital transition, a question of direct relevance to IJOEM’s readership. The study also advances understanding of how foundational digital adoption and technological capability operate in China relative to less and more advanced emerging economies.</w:t>
      </w:r>
    </w:p>
    <w:p>
      <w:pPr>
        <w:pStyle w:val="BodyText"/>
      </w:pPr>
      <w:r>
        <w:rPr>
          <w:bCs/>
          <w:b/>
        </w:rPr>
        <w:t xml:space="preserve">Key Contributions</w:t>
      </w:r>
    </w:p>
    <w:p>
      <w:pPr>
        <w:pStyle w:val="BodyText"/>
      </w:pPr>
      <w:r>
        <w:t xml:space="preserve">First, a robust inverted-U relationship between export intensity and labour productivity is confirmed in both waves, with turning points clustered in a tight band (49.4% in 2012, 47.2% in 2024, 48.8% pooled) with overlapping confidence intervals. Paternoster (1998) tests do not reject coefficient equality across waves (FSTS z = +0.82, p = .412; FSTS² z = −0.61, p = .545), providing evidence for the structural durability of the coordination-cost mechanism (H2b) over an environmental-shift account (H2a) in a rapidly changing emerging-market context.</w:t>
      </w:r>
    </w:p>
    <w:p>
      <w:pPr>
        <w:pStyle w:val="BodyText"/>
      </w:pPr>
      <w:r>
        <w:t xml:space="preserve">Second, technological capability (TCI) is robustly and positively associated with labour productivity in both waves (β_z = +0.28 in 2012, +0.43 in 2024; both p &lt; .001), with returns that increase over the period, although TCI does not robustly moderate the I–P curvature. This is consistent with a resource-based reading in which the productivity value of technological capability rises as market institutions support more knowledge-intensive production.</w:t>
      </w:r>
    </w:p>
    <w:p>
      <w:pPr>
        <w:pStyle w:val="BodyText"/>
      </w:pPr>
      <w:r>
        <w:t xml:space="preserve">Third, digital adoption (DAI), measured by a single-item digital-presence proxy, is positively associated with productivity but is retained as a baseline control rather than a capability construct, consistent with the Conditional Digital Capability Moderation (CDCM) framework’s prediction that in economies where internet diffusion is widespread but foundational digital infrastructure remains heterogeneous, a selection effect dominates the causal productivity premium. This finding complements P3 Vietnam (IV-null DAI) and P4 Singapore (DAI as a high-export contingent resource), providing three-country triangulation of the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 A writing-assistance tool (Grammarly) was used for language only; no generative AI produced substantive content.</w:t>
      </w:r>
    </w:p>
    <w:p>
      <w:pPr>
        <w:pStyle w:val="BodyText"/>
      </w:pPr>
      <w:r>
        <w:rPr>
          <w:bCs/>
          <w:b/>
        </w:rPr>
        <w:t xml:space="preserve">Manuscript Classification</w:t>
      </w:r>
    </w:p>
    <w:p>
      <w:pPr>
        <w:pStyle w:val="BodyText"/>
      </w:pPr>
      <w:r>
        <w:t xml:space="preserve">Paper type: Research article</w:t>
      </w:r>
      <w:r>
        <w:t xml:space="preserve"> </w:t>
      </w:r>
      <w:r>
        <w:t xml:space="preserve">Word count (main text, excluding abstract, references, tables, and figures): approximately 7,200 words</w:t>
      </w:r>
      <w:r>
        <w:t xml:space="preserve"> </w:t>
      </w:r>
      <w:r>
        <w:t xml:space="preserve">Tables: 3; Figures: 4</w:t>
      </w:r>
      <w:r>
        <w:t xml:space="preserve"> </w:t>
      </w:r>
      <w:r>
        <w:t xml:space="preserve">Keywords: internationalisation–performance; export intensity; threshold stability; technological capability; digital adoption; Chinese private firms; World Bank Enterprise Survey</w:t>
      </w:r>
      <w:r>
        <w:t xml:space="preserve"> </w:t>
      </w:r>
      <w:r>
        <w:t xml:space="preserve">JEL classification: F23, O33, D22, L25, O53</w:t>
      </w:r>
    </w:p>
    <w:p>
      <w:pPr>
        <w:pStyle w:val="BodyText"/>
      </w:pPr>
      <w:r>
        <w:t xml:space="preserve">We hope the manuscript will be of interest to IJOEM’s readership and look forward to the review process.</w:t>
      </w:r>
    </w:p>
    <w:p>
      <w:pPr>
        <w:pStyle w:val="BodyText"/>
      </w:pPr>
      <w:r>
        <w:t xml:space="preserve">Yours sincerely,</w:t>
      </w:r>
    </w:p>
    <w:p>
      <w:pPr>
        <w:pStyle w:val="BodyText"/>
      </w:pPr>
      <w:r>
        <w:t xml:space="preserve">Đỗ Thùy Hương (Do Thuy Huong)</w:t>
      </w:r>
      <w:r>
        <w:t xml:space="preserve"> </w:t>
      </w:r>
      <w:r>
        <w:t xml:space="preserve">PhD Candidate, College of Economics, Can Tho University (CTU), Vietnam</w:t>
      </w:r>
      <w:r>
        <w:t xml:space="preserve"> </w:t>
      </w:r>
      <w:r>
        <w:t xml:space="preserve">Email: huongp1323001@gstudent.ctu.edu.vn | ORCID: 0000-0002-7711-2487</w:t>
      </w:r>
    </w:p>
    <w:p>
      <w:pPr>
        <w:pStyle w:val="BodyText"/>
      </w:pPr>
      <w:r>
        <w:t xml:space="preserve">PGS.TS. Phan Anh Tú (Phan Anh Tu)</w:t>
      </w:r>
      <w:r>
        <w:t xml:space="preserve"> </w:t>
      </w:r>
      <w:r>
        <w:t xml:space="preserve">Associate Professor, College of Economics, Can Tho University (CTU), Vietnam, 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2026-06-09T08:53:32Z</dcterms:created>
  <dcterms:modified xsi:type="dcterms:W3CDTF">2026-06-09T08:53:32Z</dcterms:modified>
</cp:coreProperties>
</file>

<file path=docProps/custom.xml><?xml version="1.0" encoding="utf-8"?>
<Properties xmlns="http://schemas.openxmlformats.org/officeDocument/2006/custom-properties" xmlns:vt="http://schemas.openxmlformats.org/officeDocument/2006/docPropsVTypes"/>
</file>